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 SySS Hub Communication Architecture V1</w:t>
      </w:r>
    </w:p>
    <w:p>
      <w:r>
        <w:t>Status: Frozen Design</w:t>
      </w:r>
    </w:p>
    <w:p>
      <w:pPr>
        <w:pStyle w:val="Heading1"/>
      </w:pPr>
      <w:r>
        <w:t>Architectural Decision</w:t>
      </w:r>
    </w:p>
    <w:p>
      <w:r>
        <w:t>All SySS Hubs communicate through an inherited abstract call() capability. Concrete Hubs never communicate by exposing internal implementation.</w:t>
      </w:r>
    </w:p>
    <w:p>
      <w:pPr>
        <w:pStyle w:val="Heading1"/>
      </w:pPr>
      <w:r>
        <w:t>Hub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Hub ID</w:t>
            </w:r>
          </w:p>
        </w:tc>
        <w:tc>
          <w:tcPr>
            <w:tcW w:type="dxa" w:w="4320"/>
          </w:tcPr>
          <w:p>
            <w:r>
              <w:t>Hub</w:t>
            </w:r>
          </w:p>
        </w:tc>
      </w:tr>
      <w:tr>
        <w:tc>
          <w:tcPr>
            <w:tcW w:type="dxa" w:w="4320"/>
          </w:tcPr>
          <w:p>
            <w:r>
              <w:t>WH001</w:t>
            </w:r>
          </w:p>
        </w:tc>
        <w:tc>
          <w:tcPr>
            <w:tcW w:type="dxa" w:w="4320"/>
          </w:tcPr>
          <w:p>
            <w:r>
              <w:t>Workspace Hub</w:t>
            </w:r>
          </w:p>
        </w:tc>
      </w:tr>
      <w:tr>
        <w:tc>
          <w:tcPr>
            <w:tcW w:type="dxa" w:w="4320"/>
          </w:tcPr>
          <w:p>
            <w:r>
              <w:t>PH001</w:t>
            </w:r>
          </w:p>
        </w:tc>
        <w:tc>
          <w:tcPr>
            <w:tcW w:type="dxa" w:w="4320"/>
          </w:tcPr>
          <w:p>
            <w:r>
              <w:t>Project Hub</w:t>
            </w:r>
          </w:p>
        </w:tc>
      </w:tr>
      <w:tr>
        <w:tc>
          <w:tcPr>
            <w:tcW w:type="dxa" w:w="4320"/>
          </w:tcPr>
          <w:p>
            <w:r>
              <w:t>PK001</w:t>
            </w:r>
          </w:p>
        </w:tc>
        <w:tc>
          <w:tcPr>
            <w:tcW w:type="dxa" w:w="4320"/>
          </w:tcPr>
          <w:p>
            <w:r>
              <w:t>Package Hub</w:t>
            </w:r>
          </w:p>
        </w:tc>
      </w:tr>
      <w:tr>
        <w:tc>
          <w:tcPr>
            <w:tcW w:type="dxa" w:w="4320"/>
          </w:tcPr>
          <w:p>
            <w:r>
              <w:t>LF001</w:t>
            </w:r>
          </w:p>
        </w:tc>
        <w:tc>
          <w:tcPr>
            <w:tcW w:type="dxa" w:w="4320"/>
          </w:tcPr>
          <w:p>
            <w:r>
              <w:t>Loaded File Hub</w:t>
            </w:r>
          </w:p>
        </w:tc>
      </w:tr>
      <w:tr>
        <w:tc>
          <w:tcPr>
            <w:tcW w:type="dxa" w:w="4320"/>
          </w:tcPr>
          <w:p>
            <w:r>
              <w:t>SH001</w:t>
            </w:r>
          </w:p>
        </w:tc>
        <w:tc>
          <w:tcPr>
            <w:tcW w:type="dxa" w:w="4320"/>
          </w:tcPr>
          <w:p>
            <w:r>
              <w:t>Settings Hub</w:t>
            </w:r>
          </w:p>
        </w:tc>
      </w:tr>
      <w:tr>
        <w:tc>
          <w:tcPr>
            <w:tcW w:type="dxa" w:w="4320"/>
          </w:tcPr>
          <w:p>
            <w:r>
              <w:t>HH001</w:t>
            </w:r>
          </w:p>
        </w:tc>
        <w:tc>
          <w:tcPr>
            <w:tcW w:type="dxa" w:w="4320"/>
          </w:tcPr>
          <w:p>
            <w:r>
              <w:t>History Hub</w:t>
            </w:r>
          </w:p>
        </w:tc>
      </w:tr>
      <w:tr>
        <w:tc>
          <w:tcPr>
            <w:tcW w:type="dxa" w:w="4320"/>
          </w:tcPr>
          <w:p>
            <w:r>
              <w:t>LG001</w:t>
            </w:r>
          </w:p>
        </w:tc>
        <w:tc>
          <w:tcPr>
            <w:tcW w:type="dxa" w:w="4320"/>
          </w:tcPr>
          <w:p>
            <w:r>
              <w:t>Log Hub</w:t>
            </w:r>
          </w:p>
        </w:tc>
      </w:tr>
      <w:tr>
        <w:tc>
          <w:tcPr>
            <w:tcW w:type="dxa" w:w="4320"/>
          </w:tcPr>
          <w:p>
            <w:r>
              <w:t>AH001</w:t>
            </w:r>
          </w:p>
        </w:tc>
        <w:tc>
          <w:tcPr>
            <w:tcW w:type="dxa" w:w="4320"/>
          </w:tcPr>
          <w:p>
            <w:r>
              <w:t>Artifact Hub</w:t>
            </w:r>
          </w:p>
        </w:tc>
      </w:tr>
    </w:tbl>
    <w:p>
      <w:pPr>
        <w:pStyle w:val="Heading1"/>
      </w:pPr>
      <w:r>
        <w:t>Abstract Hub Core</w:t>
      </w:r>
    </w:p>
    <w:p>
      <w:r>
        <w:t>Every concrete Hub inherits communication behavior from Abstract Hub.</w:t>
      </w:r>
    </w:p>
    <w:p>
      <w:pPr>
        <w:pStyle w:val="ListBullet"/>
      </w:pPr>
      <w:r>
        <w:t>call(HubID)</w:t>
      </w:r>
    </w:p>
    <w:p>
      <w:pPr>
        <w:pStyle w:val="ListBullet"/>
      </w:pPr>
      <w:r>
        <w:t>reply()</w:t>
      </w:r>
    </w:p>
    <w:p>
      <w:pPr>
        <w:pStyle w:val="ListBullet"/>
      </w:pPr>
      <w:r>
        <w:t>status()</w:t>
      </w:r>
    </w:p>
    <w:p>
      <w:pPr>
        <w:pStyle w:val="Heading1"/>
      </w:pPr>
      <w:r>
        <w:t>Communication Flow</w:t>
      </w:r>
    </w:p>
    <w:p>
      <w:r>
        <w:t>WH001.call(PH001)</w:t>
        <w:br/>
        <w:br/>
        <w:t xml:space="preserve">      |</w:t>
        <w:br/>
        <w:t xml:space="preserve">      v</w:t>
        <w:br/>
        <w:t>Abstract Hub Core</w:t>
        <w:br/>
        <w:t>(Hidden Implementation)</w:t>
        <w:br/>
        <w:br/>
        <w:t xml:space="preserve">      |</w:t>
        <w:br/>
        <w:t xml:space="preserve">      v</w:t>
        <w:br/>
        <w:t>PH001</w:t>
        <w:br/>
        <w:br/>
        <w:t>The caller only knows the destination Hub ID. Routing and execution are hidden inside the Abstract Hub Core.</w:t>
      </w:r>
    </w:p>
    <w:p>
      <w:pPr>
        <w:pStyle w:val="Heading1"/>
      </w:pPr>
      <w:r>
        <w:t>Principles</w:t>
      </w:r>
    </w:p>
    <w:p>
      <w:pPr>
        <w:pStyle w:val="ListBullet"/>
      </w:pPr>
      <w:r>
        <w:t>Hubs communicate through abstract calls.</w:t>
      </w:r>
    </w:p>
    <w:p>
      <w:pPr>
        <w:pStyle w:val="ListBullet"/>
      </w:pPr>
      <w:r>
        <w:t>Hub implementation remains encapsulated.</w:t>
      </w:r>
    </w:p>
    <w:p>
      <w:pPr>
        <w:pStyle w:val="ListBullet"/>
      </w:pPr>
      <w:r>
        <w:t>Hub IDs are permanent identities.</w:t>
      </w:r>
    </w:p>
    <w:p>
      <w:pPr>
        <w:pStyle w:val="ListBullet"/>
      </w:pPr>
      <w:r>
        <w:t>Each Hub exposes only public operations.</w:t>
      </w:r>
    </w:p>
    <w:p>
      <w:pPr>
        <w:pStyle w:val="ListBullet"/>
      </w:pPr>
      <w:r>
        <w:t>Relationships are established through call(HubID).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