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Software Boot Architecture Decision v1.0</w:t>
      </w:r>
    </w:p>
    <w:p>
      <w:r>
        <w:t>Approved architectural decision before Phase 7D.2</w:t>
      </w:r>
    </w:p>
    <w:p>
      <w:pPr>
        <w:pStyle w:val="Heading2"/>
      </w:pPr>
      <w:r>
        <w:t>Decision</w:t>
      </w:r>
    </w:p>
    <w:p>
      <w:r>
        <w:t>PlatformInterface becomes the single public entry point into the RA Software Platform. Bootstrap communicates only with PlatformInterface. SySS remains an internal implementation detail.</w:t>
      </w:r>
    </w:p>
    <w:p>
      <w:pPr>
        <w:pStyle w:val="Heading2"/>
      </w:pPr>
      <w:r>
        <w:t>Approved Startup Chain</w:t>
      </w:r>
    </w:p>
    <w:p>
      <w:r>
        <w:t>User</w:t>
        <w:br/>
        <w:t>↓</w:t>
        <w:br/>
        <w:t>Double-click RA Software.exe</w:t>
        <w:br/>
        <w:t>↓</w:t>
        <w:br/>
        <w:t>Windows</w:t>
        <w:br/>
        <w:t>↓</w:t>
        <w:br/>
        <w:t>Bootstrap</w:t>
        <w:br/>
        <w:t>↓</w:t>
        <w:br/>
        <w:t>PlatformInterface::start()</w:t>
        <w:br/>
        <w:t>↓</w:t>
        <w:br/>
        <w:t>SySS::initialize()</w:t>
        <w:br/>
        <w:t>↓</w:t>
        <w:br/>
        <w:t>Initialize Platform State</w:t>
        <w:br/>
        <w:t>↓</w:t>
        <w:br/>
        <w:t>Initialize Hub Graph</w:t>
        <w:br/>
        <w:t>↓</w:t>
        <w:br/>
        <w:t>Initialize FSS</w:t>
        <w:br/>
        <w:t>↓</w:t>
        <w:br/>
        <w:t>Initialize PSS</w:t>
        <w:br/>
        <w:t>↓</w:t>
        <w:br/>
        <w:t>Initialize Recovery</w:t>
        <w:br/>
        <w:t>↓</w:t>
        <w:br/>
        <w:t>Initialize Device Connector</w:t>
        <w:br/>
        <w:t>↓</w:t>
        <w:br/>
        <w:t>Initialize RA Core Gateway</w:t>
        <w:br/>
        <w:t>↓</w:t>
        <w:br/>
        <w:t>Initialize RA Core</w:t>
        <w:br/>
        <w:t>↓</w:t>
        <w:br/>
        <w:t>Platform Ready</w:t>
        <w:br/>
        <w:t>↓</w:t>
        <w:br/>
        <w:t>Frontend Loading = 100%</w:t>
        <w:br/>
        <w:t>↓</w:t>
        <w:br/>
        <w:t>Press Enter / Left Click</w:t>
        <w:br/>
        <w:t>↓</w:t>
        <w:br/>
        <w:t>RA Terminal / IDE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Bootstrap validates the environment and starts the platform.</w:t>
      </w:r>
    </w:p>
    <w:p>
      <w:pPr>
        <w:pStyle w:val="ListBullet"/>
      </w:pPr>
      <w:r>
        <w:t>PlatformInterface is the only public platform API.</w:t>
      </w:r>
    </w:p>
    <w:p>
      <w:pPr>
        <w:pStyle w:val="ListBullet"/>
      </w:pPr>
      <w:r>
        <w:t>SySS initializes and manages the RA Software Platform.</w:t>
      </w:r>
    </w:p>
    <w:p>
      <w:pPr>
        <w:pStyle w:val="ListBullet"/>
      </w:pPr>
      <w:r>
        <w:t>RA Core Gateway connects SySS to the RA Core.</w:t>
      </w:r>
    </w:p>
    <w:p>
      <w:pPr>
        <w:pStyle w:val="ListBullet"/>
      </w:pPr>
      <w:r>
        <w:t>RA Core contains the Compiler, Execution Manager, Runtime, Memory Manager and VM.</w:t>
      </w:r>
    </w:p>
    <w:p>
      <w:pPr>
        <w:pStyle w:val="Heading2"/>
      </w:pPr>
      <w:r>
        <w:t>Architecture Rules</w:t>
      </w:r>
    </w:p>
    <w:p>
      <w:pPr>
        <w:pStyle w:val="ListBullet"/>
      </w:pPr>
      <w:r>
        <w:t>Bootstrap never calls SySS internals directly.</w:t>
      </w:r>
    </w:p>
    <w:p>
      <w:pPr>
        <w:pStyle w:val="ListBullet"/>
      </w:pPr>
      <w:r>
        <w:t>Platform startup always begins with PlatformInterface::start().</w:t>
      </w:r>
    </w:p>
    <w:p>
      <w:pPr>
        <w:pStyle w:val="ListBullet"/>
      </w:pPr>
      <w:r>
        <w:t>SySS remains encapsulated behind the Platform Interface.</w:t>
      </w:r>
    </w:p>
    <w:p>
      <w:pPr>
        <w:pStyle w:val="ListBullet"/>
      </w:pPr>
      <w:r>
        <w:t>RA Core is accessed only through the RA Core Gateway.</w:t>
      </w:r>
    </w:p>
    <w:p>
      <w:pPr>
        <w:pStyle w:val="Heading2"/>
      </w:pPr>
      <w:r>
        <w:t>Benefits</w:t>
      </w:r>
    </w:p>
    <w:p>
      <w:r>
        <w:t>This design creates a single public entry point, improves encapsulation, separates the software platform from the language engine, and keeps Bootstrap independent of SySS implementation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