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Japan and the United States Agree to Establish AMRAAM Final Assembly in Japan</w:t>
      </w:r>
    </w:p>
    <w:p>
      <w:pPr>
        <w:pStyle w:val="Subtitle"/>
      </w:pPr>
      <w:r>
        <w:t xml:space="preserve">Defense ministers turned an April possibility into a commitment and agreed to share technical information for SM-3 interceptor production. Their summaries name no site, operator, contract or production rate.</w:t>
      </w:r>
    </w:p>
    <w:p>
      <w:pPr>
        <w:pStyle w:val="Byline"/>
      </w:pPr>
      <w:r>
        <w:t xml:space="preserve">Indo-Pacific Record Editorial Desk · Draft for editing · Reporting week 25–31 October 2026</w:t>
      </w:r>
    </w:p>
    <w:p>
      <w:pPr>
        <w:pStyle w:val="Heading1"/>
      </w:pPr>
      <w:r>
        <w:t xml:space="preserve">What the ministers agreed</w:t>
      </w:r>
    </w:p>
    <w:p>
      <w:r>
        <w:t xml:space="preserve">Japan’s defense minister, Koizumi Shinjiro, and U.S. Secretary of War Pete Hegseth agreed on 28 October to establish a facility in Japan for the final assembly and check-out of the AIM-120 Advanced Medium-Range Air-to-Air Missile (AMRAAM). They met for about 30 minutes in the Philippines, where both were attending the ASEAN Defence Ministers’ Meeting-Plus (ADMM-Plus). According to </w:t>
      </w:r>
      <w:hyperlink r:id="rId10">
        <w:r>
          <w:rPr>
            <w:rStyle w:val="Hyperlink"/>
          </w:rPr>
          <w:t xml:space="preserve">the Japanese Defense Ministry’s summary of the talks</w:t>
        </w:r>
      </w:hyperlink>
      <w:r>
        <w:t xml:space="preserve">, the two also agreed to share the technical information needed to increase production of the SM-3 Block IIA interceptor. </w:t>
      </w:r>
      <w:hyperlink r:id="rId11">
        <w:r>
          <w:rPr>
            <w:rStyle w:val="Hyperlink"/>
          </w:rPr>
          <w:t xml:space="preserve">The ministry’s Japanese-language summary</w:t>
        </w:r>
      </w:hyperlink>
      <w:r>
        <w:t xml:space="preserve"> records the first decision as agreement on establishing (設置) a final assembly and inspection (最終組立・検査) facility inside Japan. </w:t>
      </w:r>
      <w:hyperlink r:id="rId12">
        <w:r>
          <w:rPr>
            <w:rStyle w:val="Hyperlink"/>
          </w:rPr>
          <w:t xml:space="preserve">The U.S. Department of War’s readout</w:t>
        </w:r>
      </w:hyperlink>
      <w:r>
        <w:t xml:space="preserve"> of the meeting mentions neither decision. It says only that the two ministers committed to continue close coordination on critical munitions production.</w:t>
      </w:r>
    </w:p>
    <w:p>
      <w:r>
        <w:t xml:space="preserve">Both decisions came as Koizumi followed up on “Operation Supercharge,” which </w:t>
      </w:r>
      <w:hyperlink r:id="rId10">
        <w:r>
          <w:rPr>
            <w:rStyle w:val="Hyperlink"/>
          </w:rPr>
          <w:t xml:space="preserve">the ministry describes</w:t>
        </w:r>
      </w:hyperlink>
      <w:r>
        <w:t xml:space="preserve"> as an initiative to accelerate bilateral cooperation on defense equipment and technology. The rest of the meeting covered air and missile defense, larger joint training, the dispersal of aircraft, wider access to facilities, a stronger allied presence in southwestern Japan and base issues on Okinawa. The two missile items are the only passages that commit the governments to a specific production step.</w:t>
      </w:r>
    </w:p>
    <w:p>
      <w:pPr>
        <w:pStyle w:val="Heading1"/>
      </w:pPr>
      <w:r>
        <w:t xml:space="preserve">An April possibility becomes a commitment</w:t>
      </w:r>
    </w:p>
    <w:p>
      <w:r>
        <w:t xml:space="preserve">October’s decision closes a question the allies left open in April. At the fourth plenary of their Defense Industrial Cooperation, Acquisition, and Sustainment forum (DICAS), held in Washington on 14 April, </w:t>
      </w:r>
      <w:hyperlink r:id="rId13">
        <w:r>
          <w:rPr>
            <w:rStyle w:val="Hyperlink"/>
          </w:rPr>
          <w:t xml:space="preserve">the two sides agreed</w:t>
        </w:r>
      </w:hyperlink>
      <w:r>
        <w:t xml:space="preserve"> that circuit-card assembly would form part of AMRAAM co-production and that they would keep discussing “the possibility” of final assembly and check-out in Japan. That scope came out of a feasibility study conducted with Mitsubishi Electric and Raytheon. The same meeting upgraded the forum to “DICAS 2.0.”</w:t>
      </w:r>
    </w:p>
    <w:p>
      <w:r>
        <w:t xml:space="preserve">Two weeks later, </w:t>
      </w:r>
      <w:hyperlink r:id="rId14">
        <w:r>
          <w:rPr>
            <w:rStyle w:val="Hyperlink"/>
          </w:rPr>
          <w:t xml:space="preserve">Mitsubishi Electric said</w:t>
        </w:r>
      </w:hyperlink>
      <w:r>
        <w:t xml:space="preserve"> it would move forward discussions with Raytheon and other industry partners on the scope of Japan’s participation, including circuit-card work and “the possibility of a future” final assembly and check-out in Japan. The company said it had been studying whether it could contribute to AMRAAM production under defense ministry contracts awarded in 2024 and 2025. It did not present itself as the future assembler.</w:t>
      </w:r>
    </w:p>
    <w:p>
      <w:r>
        <w:t xml:space="preserve">The SM-3 item continues an existing effort rather than starting a new one. In April the allies confirmed </w:t>
      </w:r>
      <w:hyperlink r:id="rId13">
        <w:r>
          <w:rPr>
            <w:rStyle w:val="Hyperlink"/>
          </w:rPr>
          <w:t xml:space="preserve">concrete measures to raise SM-3 Block IIA production roughly fourfold</w:t>
        </w:r>
      </w:hyperlink>
      <w:r>
        <w:t xml:space="preserve"> and agreed to assess whether it could be accelerated and expanded further. October’s commitment to share technical information belongs to that track. Neither document reports how far output has actually risen.</w:t>
      </w:r>
    </w:p>
    <w:p>
      <w:pPr>
        <w:pStyle w:val="Heading1"/>
      </w:pPr>
      <w:r>
        <w:t xml:space="preserve">Why the assembly step matters</w:t>
      </w:r>
    </w:p>
    <w:p>
      <w:r>
        <w:t xml:space="preserve">The AMRAAM decision is more consequential. </w:t>
      </w:r>
      <w:hyperlink r:id="rId13">
        <w:r>
          <w:rPr>
            <w:rStyle w:val="Hyperlink"/>
          </w:rPr>
          <w:t xml:space="preserve">April’s answer</w:t>
        </w:r>
      </w:hyperlink>
      <w:r>
        <w:t xml:space="preserve"> to what Japanese industry would contribute was a component: circuit cards. October’s answer reaches the end of the production line. Final assembly and check-out is where components become a complete missile that is tested before delivery. If a facility is built, Japan would host that step rather than only supplying parts to an American plant.</w:t>
      </w:r>
    </w:p>
    <w:p>
      <w:r>
        <w:t xml:space="preserve">What the ministers recorded is an agreement to establish a facility, not a facility. </w:t>
      </w:r>
      <w:hyperlink r:id="rId11">
        <w:r>
          <w:rPr>
            <w:rStyle w:val="Hyperlink"/>
          </w:rPr>
          <w:t xml:space="preserve">Neither language version</w:t>
        </w:r>
      </w:hyperlink>
      <w:r>
        <w:t xml:space="preserve"> names a site, an operator, a contract, a schedule or an output target. Those details will show whether the arrangement adds production capacity or chiefly moves the final stage of an existing American line to Japan. Until they appear, the decision is best read as a political commitment whose industrial form is still undefined.</w:t>
      </w:r>
    </w:p>
    <w:p>
      <w:pPr>
        <w:pStyle w:val="Heading1"/>
      </w:pPr>
      <w:r>
        <w:t xml:space="preserve">A separate track with the Philippines</w:t>
      </w:r>
    </w:p>
    <w:p>
      <w:r>
        <w:t xml:space="preserve">On the same day, Koizumi and the Philippine Secretary of National Defense, Gilberto C. Teodoro Jr., issued </w:t>
      </w:r>
      <w:hyperlink r:id="rId15">
        <w:r>
          <w:rPr>
            <w:rStyle w:val="Hyperlink"/>
          </w:rPr>
          <w:t xml:space="preserve">a joint press statement</w:t>
        </w:r>
      </w:hyperlink>
      <w:r>
        <w:t xml:space="preserve"> on Japan’s Abukuma-class destroyers. Their defense authorities concurred in aiming to transfer the first ship “at the earliest possible date” after its expected decommissioning “in the coming years,” to train Philippine Navy personnel before the transfer and to cooperate on maintenance. Each government is now to carry out the necessary internal coordination. The statement also kept a goal of transferring one TC-90 aircraft by the end of Japan’s fiscal year 2027. </w:t>
      </w:r>
      <w:hyperlink r:id="rId16">
        <w:r>
          <w:rPr>
            <w:rStyle w:val="Hyperlink"/>
          </w:rPr>
          <w:t xml:space="preserve">The Japanese-language text</w:t>
        </w:r>
      </w:hyperlink>
      <w:r>
        <w:t xml:space="preserve"> is more guarded than the English: it presents the destroyer aim as a matter on which the two sides will continue consultations (協議を継続).</w:t>
      </w:r>
    </w:p>
    <w:p>
      <w:r>
        <w:t xml:space="preserve">Much of this predates the week. When the two ministers met in Singapore on 31 May, they </w:t>
      </w:r>
      <w:hyperlink r:id="rId17">
        <w:r>
          <w:rPr>
            <w:rStyle w:val="Hyperlink"/>
          </w:rPr>
          <w:t xml:space="preserve">reached a broad consensus</w:t>
        </w:r>
      </w:hyperlink>
      <w:r>
        <w:t xml:space="preserve"> to proceed with discussions toward transferring the destroyers promptly after decommissioning and one TC-90 within fiscal 2027, with training and maintenance to be worked out in a working group formed on 5 May. October’s increment is a stated aim for the first ship, training that begins before the handover and a move to coordination inside each government. No destroyer has been decommissioned or transferred. The Philippine arrangement and the missile decisions came on the same trip, but the published summaries do not link them.</w:t>
      </w:r>
    </w:p>
    <w:p>
      <w:pPr>
        <w:pStyle w:val="Heading1"/>
      </w:pPr>
      <w:r>
        <w:t xml:space="preserve">What to watch</w:t>
      </w:r>
    </w:p>
    <w:p>
      <w:r>
        <w:t xml:space="preserve">The next signs will be practical ones: a named site or operator for the AMRAAM facility, a contract or budget line, the outcome of the next </w:t>
      </w:r>
      <w:hyperlink r:id="rId13">
        <w:r>
          <w:rPr>
            <w:rStyle w:val="Hyperlink"/>
          </w:rPr>
          <w:t xml:space="preserve">DICAS plenary</w:t>
        </w:r>
      </w:hyperlink>
      <w:r>
        <w:t xml:space="preserve">, and evidence that SM-3 technical data is moving under the </w:t>
      </w:r>
      <w:hyperlink r:id="rId10">
        <w:r>
          <w:rPr>
            <w:rStyle w:val="Hyperlink"/>
          </w:rPr>
          <w:t xml:space="preserve">October agreement</w:t>
        </w:r>
      </w:hyperlink>
      <w:r>
        <w:t xml:space="preserve">. On the Philippine side, the markers are a decommissioning date for the first Abukuma-class destroyer and the start of </w:t>
      </w:r>
      <w:hyperlink r:id="rId15">
        <w:r>
          <w:rPr>
            <w:rStyle w:val="Hyperlink"/>
          </w:rPr>
          <w:t xml:space="preserve">pre-transfer training</w:t>
        </w:r>
      </w:hyperlink>
      <w:r>
        <w:t xml:space="preserv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eastAsia="Hiragino Mincho ProN" w:cs="Georgia"/>
        <w:sz w:val="23"/>
        <w:lang w:val="en-US" w:eastAsia="ja-JP"/>
      </w:rPr>
    </w:rPrDefault>
    <w:pPrDefault>
      <w:pPr>
        <w:spacing w:after="200" w:line="300" w:lineRule="auto"/>
      </w:pPr>
    </w:pPrDefault>
  </w:docDefaults>
  <w:style w:type="paragraph" w:default="1" w:styleId="Normal">
    <w:name w:val="Normal"/>
    <w:qFormat/>
  </w:style>
  <w:style w:type="paragraph" w:styleId="Title">
    <w:name w:val="Title"/>
    <w:basedOn w:val="Normal"/>
    <w:next w:val="Normal"/>
    <w:qFormat/>
    <w:pPr>
      <w:keepNext/>
      <w:spacing w:before="240" w:after="120"/>
    </w:pPr>
    <w:rPr>
      <w:rFonts w:ascii="Georgia" w:hAnsi="Georgia" w:eastAsia="Hiragino Mincho ProN" w:cs="Georgia"/>
      <w:b/>
      <w:sz w:val="40"/>
    </w:rPr>
  </w:style>
  <w:style w:type="paragraph" w:styleId="Subtitle">
    <w:name w:val="Subtitle"/>
    <w:basedOn w:val="Normal"/>
    <w:next w:val="Normal"/>
    <w:qFormat/>
    <w:pPr>
      <w:keepNext/>
      <w:spacing w:before="240" w:after="120"/>
    </w:pPr>
    <w:rPr>
      <w:rFonts w:ascii="Georgia" w:hAnsi="Georgia" w:eastAsia="Hiragino Mincho ProN" w:cs="Georgia"/>
      <w:i/>
      <w:color w:val="444444"/>
      <w:sz w:val="26"/>
    </w:rPr>
  </w:style>
  <w:style w:type="paragraph" w:styleId="Byline">
    <w:name w:val="Byline"/>
    <w:basedOn w:val="Normal"/>
    <w:next w:val="Normal"/>
    <w:qFormat/>
    <w:pPr>
      <w:keepNext/>
      <w:spacing w:before="240" w:after="240"/>
    </w:pPr>
    <w:rPr>
      <w:rFonts w:ascii="Georgia" w:hAnsi="Georgia" w:eastAsia="Hiragino Mincho ProN" w:cs="Georgia"/>
      <w:color w:val="666666"/>
      <w:sz w:val="19"/>
    </w:rPr>
  </w:style>
  <w:style w:type="paragraph" w:styleId="Heading1">
    <w:name w:val="heading 1"/>
    <w:basedOn w:val="Normal"/>
    <w:next w:val="Normal"/>
    <w:qFormat/>
    <w:pPr>
      <w:keepNext/>
      <w:spacing w:before="240" w:after="120"/>
      <w:outlineLvl w:val="0"/>
    </w:pPr>
    <w:rPr>
      <w:rFonts w:ascii="Georgia" w:hAnsi="Georgia" w:eastAsia="Hiragino Mincho ProN" w:cs="Georgia"/>
      <w:b/>
      <w:sz w:val="28"/>
    </w:r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hyperlink" Target="https://www.mod.go.jp/en/article/2026/10/8dbc5c2ef47ef3843a13f3bb48dc6b00fff7ba03.html" TargetMode="External"/><Relationship Id="rId11" Type="http://schemas.openxmlformats.org/officeDocument/2006/relationships/hyperlink" Target="https://www.mod.go.jp/j/approach/anpo/2026/1028a_usa-j.html" TargetMode="External"/><Relationship Id="rId12" Type="http://schemas.openxmlformats.org/officeDocument/2006/relationships/hyperlink" Target="https://www.war.gov/News/Releases/Release/Article/4635148/readout-of-secretary-of-war-pete-hegseths-meeting-with-japanese-minister-of-def/" TargetMode="External"/><Relationship Id="rId13" Type="http://schemas.openxmlformats.org/officeDocument/2006/relationships/hyperlink" Target="https://www.mod.go.jp/en/article/2026/04/119520c9725a022e137f982c87f919e8b7d95cb4.html" TargetMode="External"/><Relationship Id="rId14" Type="http://schemas.openxmlformats.org/officeDocument/2006/relationships/hyperlink" Target="https://www.mitsubishielectric.com/en/pr/2026/0428_ds/" TargetMode="External"/><Relationship Id="rId15" Type="http://schemas.openxmlformats.org/officeDocument/2006/relationships/hyperlink" Target="https://www.mod.go.jp/en/article/2026/10/be6559883d95cd90fa6b2446b99b206cf7a33dd8.html" TargetMode="External"/><Relationship Id="rId16" Type="http://schemas.openxmlformats.org/officeDocument/2006/relationships/hyperlink" Target="https://www.mod.go.jp/j/approach/exchange/area/2026/20261028_phl-j.html" TargetMode="External"/><Relationship Id="rId17" Type="http://schemas.openxmlformats.org/officeDocument/2006/relationships/hyperlink" Target="https://www.mod.go.jp/en/article/2026/05/45c008f13e32cdb63ef16520e4337fe3fd601788.html" TargetMode="External"/></Relationships>
</file>