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7376FB" w:rsidRPr="008024F6" w:rsidRDefault="00197922" w:rsidP="00E01FF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7376FB"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  <w:p w:rsidR="00197922" w:rsidRPr="008024F6" w:rsidRDefault="008024F6" w:rsidP="007376FB">
            <w:pPr>
              <w:jc w:val="center"/>
            </w:pPr>
            <w:r w:rsidRPr="008024F6">
              <w:t>Тепловое расширение твёрдых тел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8024F6" w:rsidRDefault="00197922" w:rsidP="00167B54">
      <w:pPr>
        <w:pStyle w:val="Style1"/>
        <w:widowControl/>
        <w:spacing w:line="240" w:lineRule="auto"/>
        <w:ind w:firstLine="0"/>
        <w:rPr>
          <w:sz w:val="28"/>
          <w:szCs w:val="28"/>
          <w:lang w:val="en-US"/>
        </w:rPr>
      </w:pPr>
      <w:r w:rsidRPr="008024F6">
        <w:rPr>
          <w:sz w:val="28"/>
          <w:szCs w:val="28"/>
          <w:u w:val="single"/>
        </w:rPr>
        <w:t>Цель работы</w:t>
      </w:r>
      <w:r w:rsidR="00167B54">
        <w:rPr>
          <w:sz w:val="28"/>
          <w:szCs w:val="28"/>
          <w:u w:val="single"/>
        </w:rPr>
        <w:t>:</w:t>
      </w:r>
      <w:r w:rsidR="00167B54" w:rsidRPr="00167B54">
        <w:rPr>
          <w:sz w:val="28"/>
          <w:szCs w:val="28"/>
        </w:rPr>
        <w:t xml:space="preserve"> Определение температурного коэффици</w:t>
      </w:r>
      <w:r w:rsidR="00167B54">
        <w:rPr>
          <w:sz w:val="28"/>
          <w:szCs w:val="28"/>
        </w:rPr>
        <w:t>ента линейного расширения метал</w:t>
      </w:r>
      <w:r w:rsidR="00167B54" w:rsidRPr="00167B54">
        <w:rPr>
          <w:sz w:val="28"/>
          <w:szCs w:val="28"/>
        </w:rPr>
        <w:t>лического стержня в некотором интервале температур.</w:t>
      </w:r>
    </w:p>
    <w:p w:rsidR="00167B54" w:rsidRPr="00167B54" w:rsidRDefault="00167B54" w:rsidP="00167B54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:rsidR="0026308F" w:rsidRPr="00167B54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Основные формулы</w:t>
      </w:r>
      <w:r w:rsidRPr="00167B54">
        <w:rPr>
          <w:bCs/>
          <w:sz w:val="28"/>
          <w:szCs w:val="28"/>
          <w:u w:val="single"/>
        </w:rPr>
        <w:t>:</w:t>
      </w:r>
    </w:p>
    <w:p w:rsidR="00A96679" w:rsidRPr="00A96679" w:rsidRDefault="0026308F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 w:rsidRPr="00A96679">
        <w:rPr>
          <w:bCs/>
          <w:sz w:val="22"/>
          <w:szCs w:val="22"/>
        </w:rPr>
        <w:t>Коэффициенты в методе наименьших квадратов:</w:t>
      </w:r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T=al+b</m:t>
          </m:r>
        </m:oMath>
      </m:oMathPara>
    </w:p>
    <w:p w:rsidR="0026308F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&lt;Tl&gt; - &lt;l&gt;&lt;T&gt;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&gt;-&lt;l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P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&lt;T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 - 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&gt;&lt;T&gt;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&gt;-&lt;l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A96679" w:rsidRDefault="00A96679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A96679" w:rsidRPr="004704A8" w:rsidRDefault="004704A8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</m:t>
                          </m:r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&gt; 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(n-2)(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&gt;-&lt;l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4704A8" w:rsidRPr="004704A8" w:rsidRDefault="004704A8" w:rsidP="004704A8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</m:t>
                          </m:r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-al-b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&gt; 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(n-2)(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&gt;-&lt;l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b=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b</m:t>
              </m:r>
            </m:sub>
          </m:sSub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Коэффициент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La</m:t>
              </m:r>
            </m:den>
          </m:f>
        </m:oMath>
      </m:oMathPara>
    </w:p>
    <w:p w:rsid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Абсолютная ошибка коэффициента температурного расширения твёрдых тел</w:t>
      </w:r>
      <w:r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 w:rsidRPr="00E01FFA">
        <w:rPr>
          <w:rFonts w:eastAsiaTheme="majorEastAsia"/>
          <w:sz w:val="22"/>
          <w:szCs w:val="22"/>
        </w:rPr>
        <w:t>Относительная ошибка коэффициента температурного расширения твёрдых тел:</w:t>
      </w:r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η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den>
          </m:f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4C69F4" w:rsidRPr="00E01FFA" w:rsidRDefault="004C69F4" w:rsidP="004C69F4">
      <w:pPr>
        <w:pStyle w:val="afd"/>
        <w:keepNext/>
        <w:rPr>
          <w:color w:val="auto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1433"/>
        <w:gridCol w:w="1827"/>
        <w:gridCol w:w="1701"/>
        <w:gridCol w:w="1433"/>
        <w:gridCol w:w="1770"/>
      </w:tblGrid>
      <w:tr w:rsidR="004C69F4" w:rsidTr="00A96679">
        <w:trPr>
          <w:tblHeader/>
        </w:trPr>
        <w:tc>
          <w:tcPr>
            <w:tcW w:w="817" w:type="dxa"/>
            <w:vAlign w:val="center"/>
          </w:tcPr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l,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мкм</w:t>
            </w:r>
          </w:p>
        </w:tc>
        <w:tc>
          <w:tcPr>
            <w:tcW w:w="1701" w:type="dxa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Сопротивление</w:t>
            </w:r>
          </w:p>
          <w:p w:rsidR="00655FED" w:rsidRPr="00295307" w:rsidRDefault="00655FED" w:rsidP="004C69F4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vAlign w:val="center"/>
          </w:tcPr>
          <w:p w:rsidR="00655FED" w:rsidRDefault="00655FED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827" w:type="dxa"/>
            <w:vAlign w:val="center"/>
          </w:tcPr>
          <w:p w:rsidR="00655FED" w:rsidRPr="004C69F4" w:rsidRDefault="00E01FFA" w:rsidP="000203E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:rsidR="00655FED" w:rsidRPr="00655FED" w:rsidRDefault="00655FED" w:rsidP="004C69F4">
            <w:pPr>
              <w:jc w:val="center"/>
            </w:pPr>
            <w:r>
              <w:t>Сопротивление</w:t>
            </w:r>
          </w:p>
          <w:p w:rsidR="00655FED" w:rsidRPr="00655FED" w:rsidRDefault="00655FED" w:rsidP="004C69F4">
            <w:pPr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Pr="00655FE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кОм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lang w:val="en-US"/>
              </w:rPr>
            </w:pPr>
            <w:r>
              <w:t>Температура</w:t>
            </w:r>
          </w:p>
          <w:p w:rsidR="00655FED" w:rsidRPr="00295307" w:rsidRDefault="004C69F4" w:rsidP="004C69F4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, </w:t>
            </w:r>
            <w:r>
              <w:t>К</w:t>
            </w:r>
          </w:p>
        </w:tc>
        <w:tc>
          <w:tcPr>
            <w:tcW w:w="1770" w:type="dxa"/>
            <w:vAlign w:val="center"/>
          </w:tcPr>
          <w:p w:rsidR="00655FED" w:rsidRDefault="00E01FFA" w:rsidP="004C69F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-a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Style w:val="FontStyle64"/>
                        <w:rFonts w:ascii="Cambria Math" w:eastAsiaTheme="majorEastAsia" w:hAnsi="Cambria Math" w:cs="Cambria Math"/>
                        <w:sz w:val="16"/>
                        <w:szCs w:val="16"/>
                      </w:rPr>
                      <m:t>-b)</m:t>
                    </m:r>
                    <m:ctrlPr>
                      <w:rPr>
                        <w:rStyle w:val="FontStyle64"/>
                        <w:rFonts w:ascii="Cambria Math" w:eastAsiaTheme="majorEastAsia" w:hAnsi="Cambria Math" w:cs="Cambria Math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30,97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74,0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73,0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0,77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66,4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10,93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25,24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</w:tr>
      <w:tr w:rsidR="004C69F4" w:rsidTr="004C69F4">
        <w:trPr>
          <w:trHeight w:val="64"/>
        </w:trPr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64,3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</w:tr>
      <w:tr w:rsidR="004C69F4" w:rsidRPr="003B5B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0,60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53,3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51,6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57,5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1,96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56,3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lastRenderedPageBreak/>
              <w:t>120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54,2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3,13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1,74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50,8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49,3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48,1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40,5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47,0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0,04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46,0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0,91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45,0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43,4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41,9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0,73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32,8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0,13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6,9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39,6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31,3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38,3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29,7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37,2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0,62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1,37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36,1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1,42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34,6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0,49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11,2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25,7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1,27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33,1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11,8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0,39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31,7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0,05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12,4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24,1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9,4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13,1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23,0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0,01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0,26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26,9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0,69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14,3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21,2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11,4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25,4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1,18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15,0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20,0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0,38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13,5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22,5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8,08</w:t>
            </w:r>
          </w:p>
        </w:tc>
      </w:tr>
      <w:tr w:rsidR="004C69F4" w:rsidTr="004C69F4">
        <w:tc>
          <w:tcPr>
            <w:tcW w:w="81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827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</w:t>
            </w:r>
          </w:p>
        </w:tc>
        <w:tc>
          <w:tcPr>
            <w:tcW w:w="1701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15,7</w:t>
            </w:r>
          </w:p>
        </w:tc>
        <w:tc>
          <w:tcPr>
            <w:tcW w:w="1433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18,6</w:t>
            </w:r>
          </w:p>
        </w:tc>
        <w:tc>
          <w:tcPr>
            <w:tcW w:w="1770" w:type="dxa"/>
            <w:vAlign w:val="center"/>
          </w:tcPr>
          <w:p w:rsidR="004C69F4" w:rsidRDefault="004C69F4" w:rsidP="004C69F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30,34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1761"/>
        <w:gridCol w:w="3758"/>
        <w:gridCol w:w="1721"/>
        <w:gridCol w:w="1721"/>
      </w:tblGrid>
      <w:tr w:rsidR="00A06DF8" w:rsidTr="00751450">
        <w:trPr>
          <w:jc w:val="center"/>
        </w:trPr>
        <w:tc>
          <w:tcPr>
            <w:tcW w:w="1721" w:type="dxa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&lt;l&gt;, мкм</m:t>
                </m:r>
              </m:oMath>
            </m:oMathPara>
          </w:p>
        </w:tc>
        <w:tc>
          <w:tcPr>
            <w:tcW w:w="1761" w:type="dxa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l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>&gt;, мк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м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&lt;T&gt;, К</m:t>
                </m:r>
              </m:oMath>
            </m:oMathPara>
          </w:p>
        </w:tc>
        <w:tc>
          <w:tcPr>
            <w:tcW w:w="3442" w:type="dxa"/>
            <w:gridSpan w:val="2"/>
            <w:vAlign w:val="center"/>
          </w:tcPr>
          <w:p w:rsidR="00A06DF8" w:rsidRPr="00C83CD0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&lt;Tl&gt;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, К⋅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</w:tr>
      <w:tr w:rsidR="00A06DF8" w:rsidRPr="00CF03EF" w:rsidTr="00D34EB1">
        <w:trPr>
          <w:jc w:val="center"/>
        </w:trPr>
        <w:tc>
          <w:tcPr>
            <w:tcW w:w="172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  <w:lang w:val="en-US"/>
              </w:rPr>
              <w:t>100</w:t>
            </w:r>
          </w:p>
        </w:tc>
        <w:tc>
          <w:tcPr>
            <w:tcW w:w="1761" w:type="dxa"/>
            <w:vMerge w:val="restart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</w:rPr>
              <w:t>13500</w:t>
            </w:r>
          </w:p>
        </w:tc>
        <w:tc>
          <w:tcPr>
            <w:tcW w:w="3758" w:type="dxa"/>
            <w:vAlign w:val="center"/>
          </w:tcPr>
          <w:p w:rsidR="00A06DF8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43,1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5190</w:t>
            </w:r>
          </w:p>
        </w:tc>
      </w:tr>
      <w:tr w:rsidR="00A06DF8" w:rsidRPr="00CF03EF" w:rsidTr="00C44A41">
        <w:trPr>
          <w:jc w:val="center"/>
        </w:trPr>
        <w:tc>
          <w:tcPr>
            <w:tcW w:w="172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CF03EF">
              <w:rPr>
                <w:rStyle w:val="FontStyle64"/>
                <w:rFonts w:eastAsiaTheme="majorEastAsia"/>
                <w:lang w:val="en-US"/>
              </w:rPr>
              <w:t>48,7</w:t>
            </w:r>
          </w:p>
        </w:tc>
        <w:tc>
          <w:tcPr>
            <w:tcW w:w="3442" w:type="dxa"/>
            <w:gridSpan w:val="2"/>
            <w:vAlign w:val="center"/>
          </w:tcPr>
          <w:p w:rsidR="00A06DF8" w:rsidRPr="00CF03EF" w:rsidRDefault="00A06DF8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5730</w:t>
            </w:r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83CD0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a, К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/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мкм</m:t>
                </m:r>
              </m:oMath>
            </m:oMathPara>
          </w:p>
        </w:tc>
        <w:tc>
          <w:tcPr>
            <w:tcW w:w="176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b, К</m:t>
                </m:r>
              </m:oMath>
            </m:oMathPara>
          </w:p>
        </w:tc>
        <w:tc>
          <w:tcPr>
            <w:tcW w:w="3758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&lt;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T-al-b</m:t>
                        </m:r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 xml:space="preserve">&gt;,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К</m:t>
                    </m: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2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0,250</w:t>
            </w:r>
          </w:p>
        </w:tc>
        <w:tc>
          <w:tcPr>
            <w:tcW w:w="1761" w:type="dxa"/>
            <w:vAlign w:val="center"/>
          </w:tcPr>
          <w:p w:rsidR="00DD1185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 w:rsidRPr="00CF03EF">
              <w:rPr>
                <w:rStyle w:val="FontStyle64"/>
                <w:rFonts w:eastAsiaTheme="majorEastAsia"/>
              </w:rPr>
              <w:t>18,1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1,37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0,00316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0,127</w:t>
            </w:r>
          </w:p>
        </w:tc>
      </w:tr>
      <w:tr w:rsidR="00DD1185" w:rsidRPr="00CF03EF" w:rsidTr="008024F6">
        <w:trPr>
          <w:jc w:val="center"/>
        </w:trPr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0,246</w:t>
            </w:r>
          </w:p>
        </w:tc>
        <w:tc>
          <w:tcPr>
            <w:tcW w:w="176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24,0</w:t>
            </w:r>
          </w:p>
        </w:tc>
        <w:tc>
          <w:tcPr>
            <w:tcW w:w="3758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3,11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0,00477</w:t>
            </w:r>
          </w:p>
        </w:tc>
        <w:tc>
          <w:tcPr>
            <w:tcW w:w="1721" w:type="dxa"/>
            <w:vAlign w:val="center"/>
          </w:tcPr>
          <w:p w:rsidR="00DD1185" w:rsidRPr="00CF03EF" w:rsidRDefault="00DD1185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0,285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76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α</m:t>
                </m:r>
              </m:oMath>
            </m:oMathPara>
          </w:p>
        </w:tc>
        <w:tc>
          <w:tcPr>
            <w:tcW w:w="3758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αn</m:t>
                    </m:r>
                  </m:sub>
                </m:sSub>
              </m:oMath>
            </m:oMathPara>
          </w:p>
        </w:tc>
        <w:tc>
          <w:tcPr>
            <w:tcW w:w="1721" w:type="dxa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21" w:type="dxa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FontStyle64"/>
                    <w:rFonts w:ascii="Cambria Math" w:eastAsiaTheme="majorEastAsia" w:hAnsi="Cambria Math"/>
                  </w:rPr>
                  <m:t>Δ</m:t>
                </m:r>
                <m:r>
                  <w:rPr>
                    <w:rStyle w:val="FontStyle64"/>
                    <w:rFonts w:ascii="Cambria Math" w:eastAsiaTheme="majorEastAsia" w:hAnsi="Cambria Math"/>
                  </w:rPr>
                  <m:t>b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 w:val="restart"/>
            <w:vAlign w:val="center"/>
          </w:tcPr>
          <w:p w:rsidR="000C53FB" w:rsidRPr="003900C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41</w:t>
            </w:r>
          </w:p>
        </w:tc>
        <w:tc>
          <w:tcPr>
            <w:tcW w:w="1761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0,95</w:t>
            </w:r>
          </w:p>
        </w:tc>
        <w:tc>
          <w:tcPr>
            <w:tcW w:w="3758" w:type="dxa"/>
            <w:vMerge w:val="restart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>
              <w:rPr>
                <w:rStyle w:val="FontStyle64"/>
                <w:rFonts w:eastAsiaTheme="majorEastAsia"/>
                <w:lang w:val="en-US"/>
              </w:rPr>
              <w:t>2.0</w:t>
            </w: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0,00632</w:t>
            </w:r>
          </w:p>
        </w:tc>
        <w:tc>
          <w:tcPr>
            <w:tcW w:w="1721" w:type="dxa"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0,254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1761" w:type="dxa"/>
            <w:vMerge/>
            <w:vAlign w:val="center"/>
          </w:tcPr>
          <w:p w:rsidR="000C53FB" w:rsidRPr="00CF03EF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  <w:tc>
          <w:tcPr>
            <w:tcW w:w="3758" w:type="dxa"/>
            <w:vMerge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  <w:tc>
          <w:tcPr>
            <w:tcW w:w="1721" w:type="dxa"/>
            <w:vAlign w:val="center"/>
          </w:tcPr>
          <w:p w:rsidR="000C53FB" w:rsidRP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  <w:r>
              <w:rPr>
                <w:rStyle w:val="FontStyle64"/>
                <w:rFonts w:eastAsiaTheme="majorEastAsia"/>
              </w:rPr>
              <w:t>0,00954</w:t>
            </w:r>
          </w:p>
        </w:tc>
        <w:tc>
          <w:tcPr>
            <w:tcW w:w="1721" w:type="dxa"/>
            <w:vAlign w:val="center"/>
          </w:tcPr>
          <w:p w:rsidR="000C53FB" w:rsidRDefault="000C53FB" w:rsidP="008024F6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  <w:r w:rsidRPr="000C53FB">
              <w:rPr>
                <w:rStyle w:val="FontStyle64"/>
                <w:rFonts w:eastAsiaTheme="majorEastAsia"/>
                <w:lang w:val="en-US"/>
              </w:rPr>
              <w:t>0,570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L,мм</m:t>
                </m:r>
              </m:oMath>
            </m:oMathPara>
          </w:p>
        </w:tc>
        <w:tc>
          <w:tcPr>
            <w:tcW w:w="1761" w:type="dxa"/>
            <w:vAlign w:val="center"/>
          </w:tcPr>
          <w:p w:rsidR="000C53FB" w:rsidRPr="008024F6" w:rsidRDefault="000C53FB" w:rsidP="008024F6">
            <w:pPr>
              <w:jc w:val="center"/>
              <w:rPr>
                <w:rFonts w:ascii="Times New Roman" w:eastAsiaTheme="majorEastAsia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η</m:t>
                </m:r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0C53FB" w:rsidRDefault="008024F6" w:rsidP="008024F6">
            <w:pPr>
              <w:jc w:val="center"/>
              <w:rPr>
                <w:rFonts w:ascii="Times New Roman" w:eastAsiaTheme="majorEastAsia" w:hAnsi="Times New Roman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Δη</m:t>
                </m:r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</w:rPr>
                      <m:t>К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</m:t>
                </m:r>
              </m:oMath>
            </m:oMathPara>
          </w:p>
        </w:tc>
        <w:tc>
          <w:tcPr>
            <w:tcW w:w="172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Δη/η,%</m:t>
                </m:r>
              </m:oMath>
            </m:oMathPara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  <w:r w:rsidRPr="00096C36">
              <w:t>243</w:t>
            </w:r>
          </w:p>
        </w:tc>
        <w:tc>
          <w:tcPr>
            <w:tcW w:w="176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DD4CF5" w:rsidRDefault="008024F6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4,15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0,0253</w:t>
            </w:r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2,53</w:t>
            </w:r>
          </w:p>
        </w:tc>
      </w:tr>
      <w:tr w:rsidR="000C53FB" w:rsidRPr="00CF03EF" w:rsidTr="008024F6">
        <w:trPr>
          <w:jc w:val="center"/>
        </w:trPr>
        <w:tc>
          <w:tcPr>
            <w:tcW w:w="1721" w:type="dxa"/>
            <w:vAlign w:val="center"/>
          </w:tcPr>
          <w:p w:rsidR="000C53FB" w:rsidRPr="00096C36" w:rsidRDefault="000C53FB" w:rsidP="008024F6">
            <w:pPr>
              <w:jc w:val="center"/>
            </w:pPr>
          </w:p>
        </w:tc>
        <w:tc>
          <w:tcPr>
            <w:tcW w:w="1761" w:type="dxa"/>
            <w:vAlign w:val="center"/>
          </w:tcPr>
          <w:p w:rsidR="000C53FB" w:rsidRPr="00DD4CF5" w:rsidRDefault="000C53FB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758" w:type="dxa"/>
            <w:vAlign w:val="center"/>
          </w:tcPr>
          <w:p w:rsidR="000C53FB" w:rsidRPr="00DD4CF5" w:rsidRDefault="008024F6" w:rsidP="008024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3,2</m:t>
                </m:r>
                <m:r>
                  <w:rPr>
                    <w:rFonts w:ascii="Cambria Math" w:hAnsi="Cambria Math"/>
                  </w:rPr>
                  <m:t>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0,0194</w:t>
            </w:r>
          </w:p>
        </w:tc>
        <w:tc>
          <w:tcPr>
            <w:tcW w:w="1721" w:type="dxa"/>
            <w:vAlign w:val="center"/>
          </w:tcPr>
          <w:p w:rsidR="000C53FB" w:rsidRPr="008024F6" w:rsidRDefault="008024F6" w:rsidP="00802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1,94</w:t>
            </w:r>
          </w:p>
        </w:tc>
      </w:tr>
    </w:tbl>
    <w:p w:rsidR="00E01FFA" w:rsidRPr="00CF03EF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7376FB">
        <w:tc>
          <w:tcPr>
            <w:tcW w:w="10682" w:type="dxa"/>
            <w:vAlign w:val="center"/>
          </w:tcPr>
          <w:p w:rsidR="008024F6" w:rsidRDefault="007376F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447015" wp14:editId="148C8A75">
                  <wp:extent cx="5534024" cy="6181725"/>
                  <wp:effectExtent l="0" t="0" r="10160" b="952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температуры от удлинения</w:t>
            </w:r>
          </w:p>
          <w:p w:rsidR="007376FB" w:rsidRPr="00CF03EF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lang w:val="en-US"/>
              </w:rPr>
            </w:pPr>
          </w:p>
        </w:tc>
      </w:tr>
    </w:tbl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p w:rsidR="007376FB" w:rsidRPr="00CF03E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  <w:lang w:val="en-US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  <w:tr w:rsidR="00CB1D25" w:rsidRPr="00CF03EF" w:rsidTr="00CB1D25">
        <w:tc>
          <w:tcPr>
            <w:tcW w:w="10682" w:type="dxa"/>
          </w:tcPr>
          <w:p w:rsidR="00CB1D25" w:rsidRDefault="00CB1D25">
            <w:pPr>
              <w:rPr>
                <w:lang w:val="en-US"/>
              </w:rPr>
            </w:pPr>
          </w:p>
        </w:tc>
      </w:tr>
    </w:tbl>
    <w:p w:rsidR="00CB1D25" w:rsidRPr="004F2475" w:rsidRDefault="00CB1D25">
      <w:pPr>
        <w:rPr>
          <w:lang w:val="en-US"/>
        </w:rPr>
      </w:pPr>
    </w:p>
    <w:sectPr w:rsidR="00CB1D25" w:rsidRPr="004F2475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76C" w:rsidRDefault="004C676C" w:rsidP="00CB1D25">
      <w:pPr>
        <w:spacing w:after="0" w:line="240" w:lineRule="auto"/>
      </w:pPr>
      <w:r>
        <w:separator/>
      </w:r>
    </w:p>
  </w:endnote>
  <w:endnote w:type="continuationSeparator" w:id="0">
    <w:p w:rsidR="004C676C" w:rsidRDefault="004C676C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FFA" w:rsidRDefault="00E01FFA">
    <w:pPr>
      <w:pStyle w:val="af9"/>
      <w:jc w:val="center"/>
    </w:pPr>
  </w:p>
  <w:p w:rsidR="00E01FFA" w:rsidRDefault="00E01FFA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76C" w:rsidRDefault="004C676C" w:rsidP="00CB1D25">
      <w:pPr>
        <w:spacing w:after="0" w:line="240" w:lineRule="auto"/>
      </w:pPr>
      <w:r>
        <w:separator/>
      </w:r>
    </w:p>
  </w:footnote>
  <w:footnote w:type="continuationSeparator" w:id="0">
    <w:p w:rsidR="004C676C" w:rsidRDefault="004C676C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67B54"/>
    <w:rsid w:val="00182843"/>
    <w:rsid w:val="00197922"/>
    <w:rsid w:val="001D23E8"/>
    <w:rsid w:val="0026308F"/>
    <w:rsid w:val="00295307"/>
    <w:rsid w:val="003900CF"/>
    <w:rsid w:val="003B5BF4"/>
    <w:rsid w:val="00451A82"/>
    <w:rsid w:val="004704A8"/>
    <w:rsid w:val="004C676C"/>
    <w:rsid w:val="004C69F4"/>
    <w:rsid w:val="004F2475"/>
    <w:rsid w:val="00504DB7"/>
    <w:rsid w:val="00525622"/>
    <w:rsid w:val="005A1F2A"/>
    <w:rsid w:val="00655FED"/>
    <w:rsid w:val="006B7C09"/>
    <w:rsid w:val="007376FB"/>
    <w:rsid w:val="00764A31"/>
    <w:rsid w:val="00781744"/>
    <w:rsid w:val="008024F6"/>
    <w:rsid w:val="00827C48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F03EF"/>
    <w:rsid w:val="00DD1185"/>
    <w:rsid w:val="00E01FFA"/>
    <w:rsid w:val="00EB1BF4"/>
    <w:rsid w:val="00E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91755070540119E-2"/>
          <c:y val="4.4536597794304987E-2"/>
          <c:w val="0.85197835061491833"/>
          <c:h val="0.835748293326161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Sheet1!$D$17</c:f>
              <c:strCache>
                <c:ptCount val="1"/>
                <c:pt idx="0">
                  <c:v>Обратный ход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>
                <a:prstDash val="lgDash"/>
              </a:ln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plus>
            <c:minus>
              <c:numRef>
                <c:f>Sheet1!$E$63</c:f>
                <c:numCache>
                  <c:formatCode>General</c:formatCode>
                  <c:ptCount val="1"/>
                  <c:pt idx="0">
                    <c:v>1.3691604874094943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Sheet1!$D$18:$D$58</c:f>
              <c:numCache>
                <c:formatCode>0.0</c:formatCode>
                <c:ptCount val="41"/>
                <c:pt idx="0">
                  <c:v>62.5</c:v>
                </c:pt>
                <c:pt idx="1">
                  <c:v>65</c:v>
                </c:pt>
                <c:pt idx="2">
                  <c:v>64.659099999999995</c:v>
                </c:pt>
                <c:pt idx="3">
                  <c:v>64.345500000000001</c:v>
                </c:pt>
                <c:pt idx="4">
                  <c:v>63.890900000000002</c:v>
                </c:pt>
                <c:pt idx="5">
                  <c:v>63.127299999999998</c:v>
                </c:pt>
                <c:pt idx="6">
                  <c:v>61.886400000000002</c:v>
                </c:pt>
                <c:pt idx="7">
                  <c:v>59.343800000000002</c:v>
                </c:pt>
                <c:pt idx="8">
                  <c:v>58.714300000000001</c:v>
                </c:pt>
                <c:pt idx="9">
                  <c:v>57.5</c:v>
                </c:pt>
                <c:pt idx="10">
                  <c:v>56.897300000000001</c:v>
                </c:pt>
                <c:pt idx="11">
                  <c:v>55.656300000000002</c:v>
                </c:pt>
                <c:pt idx="12">
                  <c:v>54.175699999999999</c:v>
                </c:pt>
                <c:pt idx="13">
                  <c:v>53.336199999999998</c:v>
                </c:pt>
                <c:pt idx="14">
                  <c:v>51.646299999999997</c:v>
                </c:pt>
                <c:pt idx="15">
                  <c:v>50</c:v>
                </c:pt>
                <c:pt idx="16">
                  <c:v>48.101100000000002</c:v>
                </c:pt>
                <c:pt idx="17">
                  <c:v>46.989100000000001</c:v>
                </c:pt>
                <c:pt idx="18">
                  <c:v>45.965400000000002</c:v>
                </c:pt>
                <c:pt idx="19">
                  <c:v>45</c:v>
                </c:pt>
                <c:pt idx="20">
                  <c:v>43.4221</c:v>
                </c:pt>
                <c:pt idx="21">
                  <c:v>41.906300000000002</c:v>
                </c:pt>
                <c:pt idx="22">
                  <c:v>40.463099999999997</c:v>
                </c:pt>
                <c:pt idx="23">
                  <c:v>39.148899999999998</c:v>
                </c:pt>
                <c:pt idx="24">
                  <c:v>37.941099999999999</c:v>
                </c:pt>
                <c:pt idx="25">
                  <c:v>36.800199999999997</c:v>
                </c:pt>
                <c:pt idx="26">
                  <c:v>35.708799999999997</c:v>
                </c:pt>
                <c:pt idx="27">
                  <c:v>34.241399999999999</c:v>
                </c:pt>
                <c:pt idx="28">
                  <c:v>32.758000000000003</c:v>
                </c:pt>
                <c:pt idx="29">
                  <c:v>31.3371</c:v>
                </c:pt>
                <c:pt idx="30">
                  <c:v>29.6813</c:v>
                </c:pt>
                <c:pt idx="31">
                  <c:v>28.197800000000001</c:v>
                </c:pt>
                <c:pt idx="32">
                  <c:v>26.928000000000001</c:v>
                </c:pt>
                <c:pt idx="33">
                  <c:v>25.744599999999998</c:v>
                </c:pt>
                <c:pt idx="34">
                  <c:v>25</c:v>
                </c:pt>
                <c:pt idx="35">
                  <c:v>24.063800000000001</c:v>
                </c:pt>
                <c:pt idx="36">
                  <c:v>23.037700000000001</c:v>
                </c:pt>
                <c:pt idx="37">
                  <c:v>22.157399999999999</c:v>
                </c:pt>
                <c:pt idx="38">
                  <c:v>21.223700000000001</c:v>
                </c:pt>
                <c:pt idx="39">
                  <c:v>20</c:v>
                </c:pt>
                <c:pt idx="40">
                  <c:v>18.555900000000001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Sheet1!$G$17</c:f>
              <c:strCache>
                <c:ptCount val="1"/>
                <c:pt idx="0">
                  <c:v>Прямой ход</c:v>
                </c:pt>
              </c:strCache>
            </c:strRef>
          </c:tx>
          <c:spPr>
            <a:ln w="28575"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noFill/>
              </a:ln>
            </c:spPr>
          </c:marker>
          <c:trendline>
            <c:spPr>
              <a:ln w="25400"/>
            </c:spPr>
            <c:trendlineType val="linear"/>
            <c:forward val="10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plus>
            <c:minus>
              <c:numRef>
                <c:f>Sheet1!$H$63</c:f>
                <c:numCache>
                  <c:formatCode>General</c:formatCode>
                  <c:ptCount val="1"/>
                  <c:pt idx="0">
                    <c:v>3.1108897834630755</c:v>
                  </c:pt>
                </c:numCache>
              </c:numRef>
            </c:minus>
          </c:errBars>
          <c:xVal>
            <c:numRef>
              <c:f>Sheet1!$B$18:$B$58</c:f>
              <c:numCache>
                <c:formatCode>General</c:formatCode>
                <c:ptCount val="41"/>
                <c:pt idx="0">
                  <c:v>200</c:v>
                </c:pt>
                <c:pt idx="1">
                  <c:v>195</c:v>
                </c:pt>
                <c:pt idx="2">
                  <c:v>190</c:v>
                </c:pt>
                <c:pt idx="3">
                  <c:v>185</c:v>
                </c:pt>
                <c:pt idx="4">
                  <c:v>180</c:v>
                </c:pt>
                <c:pt idx="5">
                  <c:v>175</c:v>
                </c:pt>
                <c:pt idx="6">
                  <c:v>170</c:v>
                </c:pt>
                <c:pt idx="7">
                  <c:v>165</c:v>
                </c:pt>
                <c:pt idx="8">
                  <c:v>160</c:v>
                </c:pt>
                <c:pt idx="9">
                  <c:v>155</c:v>
                </c:pt>
                <c:pt idx="10">
                  <c:v>150</c:v>
                </c:pt>
                <c:pt idx="11">
                  <c:v>145</c:v>
                </c:pt>
                <c:pt idx="12">
                  <c:v>140</c:v>
                </c:pt>
                <c:pt idx="13">
                  <c:v>135</c:v>
                </c:pt>
                <c:pt idx="14">
                  <c:v>130</c:v>
                </c:pt>
                <c:pt idx="15">
                  <c:v>125</c:v>
                </c:pt>
                <c:pt idx="16">
                  <c:v>120</c:v>
                </c:pt>
                <c:pt idx="17">
                  <c:v>115</c:v>
                </c:pt>
                <c:pt idx="18">
                  <c:v>110</c:v>
                </c:pt>
                <c:pt idx="19">
                  <c:v>105</c:v>
                </c:pt>
                <c:pt idx="20">
                  <c:v>100</c:v>
                </c:pt>
                <c:pt idx="21">
                  <c:v>95</c:v>
                </c:pt>
                <c:pt idx="22">
                  <c:v>90</c:v>
                </c:pt>
                <c:pt idx="23">
                  <c:v>85</c:v>
                </c:pt>
                <c:pt idx="24">
                  <c:v>80</c:v>
                </c:pt>
                <c:pt idx="25">
                  <c:v>75</c:v>
                </c:pt>
                <c:pt idx="26">
                  <c:v>70</c:v>
                </c:pt>
                <c:pt idx="27">
                  <c:v>65</c:v>
                </c:pt>
                <c:pt idx="28">
                  <c:v>60</c:v>
                </c:pt>
                <c:pt idx="29">
                  <c:v>55</c:v>
                </c:pt>
                <c:pt idx="30">
                  <c:v>50</c:v>
                </c:pt>
                <c:pt idx="31">
                  <c:v>45</c:v>
                </c:pt>
                <c:pt idx="32">
                  <c:v>40</c:v>
                </c:pt>
                <c:pt idx="33">
                  <c:v>35</c:v>
                </c:pt>
                <c:pt idx="34">
                  <c:v>30</c:v>
                </c:pt>
                <c:pt idx="35">
                  <c:v>25</c:v>
                </c:pt>
                <c:pt idx="36">
                  <c:v>20</c:v>
                </c:pt>
                <c:pt idx="37">
                  <c:v>15</c:v>
                </c:pt>
                <c:pt idx="38">
                  <c:v>10</c:v>
                </c:pt>
                <c:pt idx="39">
                  <c:v>5</c:v>
                </c:pt>
                <c:pt idx="40">
                  <c:v>0</c:v>
                </c:pt>
              </c:numCache>
            </c:numRef>
          </c:xVal>
          <c:yVal>
            <c:numRef>
              <c:f>Sheet1!$G$18:$G$58</c:f>
              <c:numCache>
                <c:formatCode>0.0</c:formatCode>
                <c:ptCount val="41"/>
                <c:pt idx="0">
                  <c:v>74</c:v>
                </c:pt>
                <c:pt idx="1">
                  <c:v>73</c:v>
                </c:pt>
                <c:pt idx="2">
                  <c:v>70</c:v>
                </c:pt>
                <c:pt idx="3">
                  <c:v>66.349999999999994</c:v>
                </c:pt>
                <c:pt idx="4">
                  <c:v>63.4</c:v>
                </c:pt>
                <c:pt idx="5">
                  <c:v>62.5</c:v>
                </c:pt>
                <c:pt idx="6">
                  <c:v>65</c:v>
                </c:pt>
                <c:pt idx="7">
                  <c:v>64.659099999999995</c:v>
                </c:pt>
                <c:pt idx="8">
                  <c:v>64.345500000000001</c:v>
                </c:pt>
                <c:pt idx="9">
                  <c:v>63.127299999999998</c:v>
                </c:pt>
                <c:pt idx="10">
                  <c:v>61.886400000000002</c:v>
                </c:pt>
                <c:pt idx="11">
                  <c:v>60</c:v>
                </c:pt>
                <c:pt idx="12">
                  <c:v>59.343800000000002</c:v>
                </c:pt>
                <c:pt idx="13">
                  <c:v>58.102699999999999</c:v>
                </c:pt>
                <c:pt idx="14">
                  <c:v>57.5</c:v>
                </c:pt>
                <c:pt idx="15">
                  <c:v>56.285699999999999</c:v>
                </c:pt>
                <c:pt idx="16">
                  <c:v>55.656300000000002</c:v>
                </c:pt>
                <c:pt idx="17">
                  <c:v>54.175699999999999</c:v>
                </c:pt>
                <c:pt idx="18">
                  <c:v>52.490200000000002</c:v>
                </c:pt>
                <c:pt idx="19">
                  <c:v>50.813299999999998</c:v>
                </c:pt>
                <c:pt idx="20">
                  <c:v>49.331200000000003</c:v>
                </c:pt>
                <c:pt idx="21">
                  <c:v>48.101100000000002</c:v>
                </c:pt>
                <c:pt idx="22">
                  <c:v>46.989100000000001</c:v>
                </c:pt>
                <c:pt idx="23">
                  <c:v>45.965400000000002</c:v>
                </c:pt>
                <c:pt idx="24">
                  <c:v>45</c:v>
                </c:pt>
                <c:pt idx="25">
                  <c:v>43.4221</c:v>
                </c:pt>
                <c:pt idx="26">
                  <c:v>41.906300000000002</c:v>
                </c:pt>
                <c:pt idx="27">
                  <c:v>40.935400000000001</c:v>
                </c:pt>
                <c:pt idx="28">
                  <c:v>39.569499999999998</c:v>
                </c:pt>
                <c:pt idx="29">
                  <c:v>38.3354</c:v>
                </c:pt>
                <c:pt idx="30">
                  <c:v>37.174199999999999</c:v>
                </c:pt>
                <c:pt idx="31">
                  <c:v>36.068199999999997</c:v>
                </c:pt>
                <c:pt idx="32">
                  <c:v>34.619599999999998</c:v>
                </c:pt>
                <c:pt idx="33">
                  <c:v>33.123800000000003</c:v>
                </c:pt>
                <c:pt idx="34">
                  <c:v>31.685300000000002</c:v>
                </c:pt>
                <c:pt idx="35">
                  <c:v>30.325299999999999</c:v>
                </c:pt>
                <c:pt idx="36">
                  <c:v>28.4787</c:v>
                </c:pt>
                <c:pt idx="37">
                  <c:v>26.928000000000001</c:v>
                </c:pt>
                <c:pt idx="38">
                  <c:v>25.444099999999999</c:v>
                </c:pt>
                <c:pt idx="39">
                  <c:v>22.4543</c:v>
                </c:pt>
                <c:pt idx="40">
                  <c:v>18.555900000000001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81408"/>
        <c:axId val="304481984"/>
      </c:scatterChart>
      <c:valAx>
        <c:axId val="304481408"/>
        <c:scaling>
          <c:orientation val="minMax"/>
          <c:min val="0"/>
        </c:scaling>
        <c:delete val="0"/>
        <c:axPos val="b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l</a:t>
                </a:r>
                <a:r>
                  <a:rPr lang="ru-RU" b="0" i="1"/>
                  <a:t>,</a:t>
                </a:r>
                <a:r>
                  <a:rPr lang="ru-RU" b="0" i="1" baseline="0"/>
                  <a:t> мкм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4481984"/>
        <c:crosses val="autoZero"/>
        <c:crossBetween val="midCat"/>
      </c:valAx>
      <c:valAx>
        <c:axId val="304481984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minorGridlines>
          <c:spPr>
            <a:ln>
              <a:prstDash val="sysDash"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 b="0" i="1"/>
                  <a:t>T, </a:t>
                </a:r>
                <a:r>
                  <a:rPr lang="ru-RU" sz="1600" b="0" i="1"/>
                  <a:t>К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044814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68523519233021"/>
          <c:y val="0.71380917138824518"/>
          <c:w val="0.34021789569398325"/>
          <c:h val="0.13940768960120356"/>
        </c:manualLayout>
      </c:layout>
      <c:overlay val="0"/>
      <c:spPr>
        <a:solidFill>
          <a:schemeClr val="bg1"/>
        </a:solidFill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F6AAA27-774C-445E-855F-A7911CEA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cp:lastPrinted>2015-03-20T07:40:00Z</cp:lastPrinted>
  <dcterms:created xsi:type="dcterms:W3CDTF">2015-04-21T19:20:00Z</dcterms:created>
  <dcterms:modified xsi:type="dcterms:W3CDTF">2015-04-22T04:28:00Z</dcterms:modified>
</cp:coreProperties>
</file>