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dependent-forensic-audit"/>
    <w:p>
      <w:pPr>
        <w:pStyle w:val="Heading1"/>
      </w:pPr>
      <w:r>
        <w:t xml:space="preserve">INDEPENDENT FORENSIC AUDIT</w:t>
      </w:r>
    </w:p>
    <w:bookmarkStart w:id="21" w:name="Xb941ed7ea6733cbf15189d95b093bda2a1a6def"/>
    <w:p>
      <w:pPr>
        <w:pStyle w:val="Heading2"/>
      </w:pPr>
      <w:r>
        <w:t xml:space="preserve">Biometric Surveillance, Consent Validity, and Procurement Governance in UK Higher Education</w:t>
      </w:r>
    </w:p>
    <w:bookmarkStart w:id="20" w:name="a-case-study"/>
    <w:p>
      <w:pPr>
        <w:pStyle w:val="Heading3"/>
      </w:pPr>
      <w:r>
        <w:t xml:space="preserve">A Case Study</w:t>
      </w:r>
    </w:p>
    <w:p>
      <w:pPr>
        <w:pStyle w:val="FirstParagraph"/>
      </w:pPr>
      <w:r>
        <w:rPr>
          <w:bCs/>
          <w:b/>
        </w:rPr>
        <w:t xml:space="preserve">Author:</w:t>
      </w:r>
      <w:r>
        <w:t xml:space="preserve"> </w:t>
      </w:r>
      <w:r>
        <w:t xml:space="preserve">Valentina Bozhilova, MIAB</w:t>
      </w:r>
    </w:p>
    <w:p>
      <w:pPr>
        <w:pStyle w:val="BodyText"/>
      </w:pPr>
      <w:r>
        <w:rPr>
          <w:bCs/>
          <w:b/>
        </w:rPr>
        <w:t xml:space="preserve">Version:</w:t>
      </w:r>
      <w:r>
        <w:t xml:space="preserve"> </w:t>
      </w:r>
      <w:r>
        <w:t>11 October 2026 (first drafted April 2026; updated as further evidence is obtained)</w:t>
      </w:r>
    </w:p>
    <w:p>
      <w:pPr>
        <w:pStyle w:val="BodyText"/>
      </w:pPr>
      <w:r>
        <w:rPr>
          <w:bCs/>
          <w:b/>
        </w:rPr>
        <w:t xml:space="preserve">Version note:</w:t>
      </w:r>
      <w:r>
        <w:t xml:space="preserve"> </w:t>
      </w:r>
      <w:r>
        <w:t>This version (11 October 2026) adds Section 24 (the Data Protection Officer details recorded on the Information Commissioner’s public register entry for the University, Z5521375, compared against the University’s own published details), and corrects Sections 1 and 2 to distinguish the Jisc Chest agreement under which Meazure Learning is offered to the sector from the University’s own procurement (OUPA11152), whose route is not established on the public record; and expands Section 17 with the University’s Responsible Procurement Strategy in force at the time of the procurement, the records it requires, the University’s own 2024 recognition of personal-data risk in buying digital services, and Senate’s question of 2 April 2025 on the ProctorU relationship; adds to Section 16 the University’s published contract signatories and repudiation clause; adds to Section 17 the controls the University’s own procurement rules required; and adds to Section 23 the University’s own assessment’s omission of the third-party remote-control software, under Articles 35(7) and 28(2). It also removes remaining references to a utilisation-linked financial incentive for the framework administrator, which the published agreement page does not support. The 7 October 2026 version added Section 21 (expansion of mandatory scope from the five-module procurement pilot to fourteen modules, outside the DPIA and Senate’s record), Section 22 (the artificial intelligence the University’s assessment describes and then denies, LogMeIn Rescue’s AI features, and Meazure’s own declared purposes) and Section 23 (biometric processing recorded as fact in the University’s own assessment, pre-examination photographs, continuous biometric capture in the examination recording, the non-existent Article 9 condition relied on, the necessity answer that describes a different product, and remote viewing and control as a standard feature of the service line). The 2 October 2026 version updated Section 20 with the Department for Education’s substantive response to the Section 50/HERA 2017 commissioning request referenced in the 6 September 2026 version as outstanding: a refusal under Section 12 of the Freedom of Information Act 2000, and the narrower follow-up request submitted the same day under the Department’s own Section 16 advice. The 6 September 2026 version added Part IV (Sections 19–20), covering the sector regulator’s own admitted absence of a framework for assessing this category of complaint, and a structural conflict of interest between the sector funding regulator’s commissioning and oversight roles. The 18 August 2026 version added Part III (Sections 15–18) and corrected two internal cross-references present in the 31 July 2026 version. See OSF/Archive.org version history for prior versions. This version also harmonises the 2024/2025 deployment chronology, updates the unapproved DPIA duration to 46 months, incorporates Section 173 DPA 2018 regulatory analysis in Section 11, adds architectural evidence from GoTo’s published Rescue Administrator Guide in Section 18, and integrates sub-processor AI-training compliance analysis under DfE safety standards in Section 3.</w:t>
      </w:r>
    </w:p>
    <w:bookmarkEnd w:id="20"/>
    <w:bookmarkEnd w:id="21"/>
    <w:bookmarkStart w:id="23" w:name="disclaimer-authors-note"/>
    <w:p>
      <w:pPr>
        <w:pStyle w:val="Heading2"/>
      </w:pPr>
      <w:r>
        <w:t xml:space="preserve">DISCLAIMER &amp; AUTHOR’S NOTE</w:t>
      </w:r>
    </w:p>
    <w:p>
      <w:pPr>
        <w:pStyle w:val="FirstParagraph"/>
      </w:pPr>
      <w:r>
        <w:t>This independent forensic audit is published strictly for public interest, academic analysis, and educational research purposes. All findings, figures, and statements contained herein are grounded exclusively in statutory Freedom of Information (FOI) disclosures, official institutional records, court filings, and publicly accessible documentation valid as of 11 October 2026. This report reflects independent analytical research and does not constitute formal legal counsel or formal legal advice. References to third-party litigation, vendor performance, or regulatory proceedings accurately reflect cited public dockets and official records and do not assert liability beyond cited sources.</w:t>
      </w:r>
    </w:p>
    <w:bookmarkStart w:id="22" w:name="how-this-case-study-is-built"/>
    <w:p>
      <w:pPr>
        <w:pStyle w:val="FirstParagraph"/>
      </w:pPr>
      <w:r>
        <w:t>Quotations from the University’s internal governance documents — including the Data Protection Questionnaire, its Risk Assessment and Business Impact Assessment BIA-460 — and from vendor documents are reproduced verbatim from the disclosed or published copies, retaining their original spelling, grammar and typography. Errors such as “proces”, “simular”, “Alogrithims” and “whoa re” are in the source documents, not introduced by this report; “[sic]” is added only where an error could otherwise affect the meaning.</w:t>
      </w:r>
    </w:p>
    <w:p>
      <w:pPr>
        <w:pStyle w:val="Heading3"/>
      </w:pPr>
      <w:r>
        <w:t xml:space="preserve">How this case study is built</w:t>
      </w:r>
    </w:p>
    <w:p>
      <w:pPr>
        <w:pStyle w:val="FirstParagraph"/>
      </w:pPr>
      <w:r>
        <w:t>Part I sets out the findings on the deployment itself, beginning with the Executive Summary below. Part II (Sections 10–14) adds what has come to light since: the University’s own written admission of the legal test for when consent is invalid, applied to its own separately-published policy; a reversal in the University’s own account of how it handles personal data; the settlement of related litigation in the United States and the litigation that remains unresolved; and the University’s own internal IT department’s written uncertainty about the platform it deployed. Part III (Sections 15–18) turns from the deployment itself to its governance and procurement context: an unassessed public-record adjacency between a University office-holder and the investment group whose credit division financed the vendor’s ultimate owner; the unresolved question of who signed the Meazure contract and under what delegated authority; the absence of any data-protection category in the University’s own procurement risk framework; and a narrower, still-live assurance gap in the compliance record of GoTo, the remote-access sub-contractor whose software was used to invigilate the examinations at the centre of this case. Part IV (Sections 19–24) turns to the sector’s own regulators: the data protection regulator’s own written admission that it holds no framework for assessing this category of complaint, set against its own published sector-wide casework data; and a structural conflict of interest in which the same body that regulates the University’s financial viability is also, concurrently, its commissioning funder for a separate national project; Sections 21–23 then examine the University’s own records on scope, artificial intelligence and biometric processing, and Section 24 the Data Protection Officer details on the Commissioner’s own public register for the University. The Open University’s own written evidence to Parliament’s Education Committee (AIE0218, May 2026) is examined in Part II, Section 10; it is public.</w:t>
      </w:r>
    </w:p>
    <w:bookmarkEnd w:id="22"/>
    <w:bookmarkEnd w:id="23"/>
    <w:bookmarkEnd w:id="24"/>
    <w:bookmarkStart w:id="37" w:name="part-i-the-deployment"/>
    <w:p>
      <w:pPr>
        <w:pStyle w:val="Heading1"/>
      </w:pPr>
      <w:r>
        <w:t xml:space="preserve">PART I — THE DEPLOYMENT</w:t>
      </w:r>
    </w:p>
    <w:bookmarkStart w:id="25" w:name="executive-summary"/>
    <w:p>
      <w:pPr>
        <w:pStyle w:val="Heading2"/>
      </w:pPr>
      <w:r>
        <w:t xml:space="preserve">Executive Summary</w:t>
      </w:r>
    </w:p>
    <w:p>
      <w:pPr>
        <w:pStyle w:val="FirstParagraph"/>
      </w:pPr>
      <w:r>
        <w:t xml:space="preserve">In September 2024 a major UK university made remote invigilation software (ProctorU, operated by Meazure Learning) mandatory for high-stakes summative assessments. Internal governance documents, obtained under the Freedom of Information Act, reveal that the deployment proceeded despite an unsigned Data Protection Questionnaire (DPQ) containing explicit</w:t>
      </w:r>
      <w:r>
        <w:t xml:space="preserve"> </w:t>
      </w:r>
      <w:r>
        <w:t xml:space="preserve">“</w:t>
      </w:r>
      <w:r>
        <w:t xml:space="preserve">DO NOT PROCEED</w:t>
      </w:r>
      <w:r>
        <w:t xml:space="preserve">”</w:t>
      </w:r>
      <w:r>
        <w:t xml:space="preserve"> </w:t>
      </w:r>
      <w:r>
        <w:t xml:space="preserve">red-cell warnings, international transfers of biometric data to non-adequate countries, undisclosed sub-processor risks, and a requirement for 16- and 17-year-old students to have a guardian sign a contract with the provider. Two distinct dates recur through this case study and are not interchangeable: September 2024 is when the University’s mandate decision took effect and the platform began onboarding students; September 2025 is when the specific mandatory summative examinations this case study examines in closest detail — including the B252 and B253 sittings discussed throughout — were actually sat. The governance failures documented in Part I predate and span both dates; where a specific month matters to a specific finding, the text below distinguishes the two.</w:t>
      </w:r>
    </w:p>
    <w:bookmarkEnd w:id="25"/>
    <w:bookmarkStart w:id="26" w:name="Xabdf2fe9c027d2aab3a948e22ad7bb861ee37fd"/>
    <w:p>
      <w:pPr>
        <w:pStyle w:val="Heading2"/>
      </w:pPr>
      <w:r>
        <w:t xml:space="preserve">Section 1: The Deployment Decision — Procurement Conflicts and Financial Incentives</w:t>
      </w:r>
    </w:p>
    <w:p>
      <w:pPr>
        <w:pStyle w:val="FirstParagraph"/>
      </w:pPr>
      <w:r>
        <w:t>In September 2024 the University made ProctorU mandatory for high-stakes summative assessments. Meazure Learning is made available to UK higher education institutions through the Jisc Chest agreement for Meazure Learning (agreement start 1 May 2023; original end date 30 April 2026; now shown as available to purchase until 31 October 2026). Jisc simultaneously operates the UK’s National Research and Education Network, administers the procurement framework, and issues cybersecurity advisories for the sector. Under the Chest agreement, the standard $10,000 implementation fee is waived for Chest customers. The University evaluated a tender for online invigilation in January 2024 (OUPA11152). The University’s published procurement page lists three purchasing routes — “Formal tendering”, “Public sector collaborative frameworks” and “Direct Request For Quote (RFQ) - for lower value non contracted purchases” — and its Procurement Strategy 2021–2027 (Release 2, January 2025) states that “High value and higher risk sourcing activity is led by the Procurement Services Team”. Which of those routes was used for OUPA11152, and whether it proceeded by an order under the Chest agreement or by a separate direct agreement, is not established on the public record (Section 17, below). Either way, the body that administers the framework through which the platform is offered to the sector is also the body that issues the sector’s cybersecurity advisories.</w:t>
      </w:r>
    </w:p>
    <w:p>
      <w:pPr>
        <w:pStyle w:val="BodyText"/>
      </w:pPr>
      <w:r>
        <w:t xml:space="preserve">At the time of deployment, three major institutions — ACCA, the British Council, and the University of London — had already exited the platform for security and integrity reasons. The University proceeded regardless.</w:t>
      </w:r>
    </w:p>
    <w:p>
      <w:pPr>
        <w:pStyle w:val="BodyText"/>
      </w:pPr>
      <w:r>
        <w:t>On 26 February 2026 JISC published a news release summarising its annual cyber threat intelligence report (the full report itself restricted to its members’ cyber security community group), confirming total incidents against UK education and research rose from over 11,000 to over 16,000 in 2025, with a companion cyber posture survey the same day naming ransomware and phishing as the sector’s top threats and flagging AI-enabled attacks as an emerging concern. Separately, LogMeIn — a remote-access tool associated with the ProctorU platform’s technical operation — is the subject of a documented HIGH/HIGH-classified security advisory (NCC-CSIRT-2025-025, Nigeria Communications Commission CSIRT) identifying it as actively abused by threat actors to disguise malware as legitimate remote-access software and establish persistent backdoor access. That advisory concerns LogMeIn/GoTo Resolve — a separate GoTo remote-access product from LogMeIn Rescue, the product actually deployed for invigilation and examined on its own compliance record in Part III, Section 18. This is cited here as independent, dated sector-context corroboration that the class of tool involved carries a documented high-severity abuse profile, not as a finding about Rescue specifically. The structural point identified above — that the body administering the agreement through which the platform is offered to the sector, with a $10,000 implementation fee waived for its customers, is also the body that issues the sector’s cybersecurity advisories — stands independently of this advisory and does not depend on it.</w:t>
      </w:r>
    </w:p>
    <w:p>
      <w:pPr>
        <w:pStyle w:val="BodyText"/>
      </w:pPr>
      <w:r>
        <w:t xml:space="preserve">On 11 March 2026 (Los Angeles Superior Court) — while students at the University were sitting mandatory ProctorU examinations — the State Bar of California filed an amended complaint against Meazure Learning. The amended complaint was filed after receiving Meazure Learning’s own internal documents through discovery. The State Bar’s amended complaint opens:</w:t>
      </w:r>
      <w:r>
        <w:t xml:space="preserve"> </w:t>
      </w:r>
      <w:r>
        <w:t xml:space="preserve">“</w:t>
      </w:r>
      <w:r>
        <w:t xml:space="preserve">Meazure sold competence but delivered chaos.</w:t>
      </w:r>
      <w:r>
        <w:t xml:space="preserve">”</w:t>
      </w:r>
      <w:r>
        <w:t xml:space="preserve"> </w:t>
      </w:r>
      <w:r>
        <w:t xml:space="preserve">The complaint documents that even as Meazure Learning externally pitched its capabilities, it internally questioned its ability to deliver. The amended complaint includes claims for fraud, negligent misrepresentation, and breach of contract, and seeks punitive damages. The State Bar confirmed that Meazure Learning deliberately concealed information and that its deception and delay tactics concealed the true nature and extent of its failures. These internal documents confirm that Meazure Learning was making false promises it knew it could not deliver — in September 2024, the exact month the University made ProctorU mandatory for its students.</w:t>
      </w:r>
    </w:p>
    <w:bookmarkEnd w:id="26"/>
    <w:bookmarkStart w:id="27" w:name="X31b4c65e585043bd3a6f387dc6ac91cc3730312"/>
    <w:p>
      <w:pPr>
        <w:pStyle w:val="Heading2"/>
      </w:pPr>
      <w:r>
        <w:t xml:space="preserve">Section 2: Biometric Data Collection — No Equivalent Protection to Financial Services</w:t>
      </w:r>
    </w:p>
    <w:p>
      <w:pPr>
        <w:pStyle w:val="FirstParagraph"/>
      </w:pPr>
      <w:r>
        <w:t xml:space="preserve">Open a banking app and the biometric checks are regulated, time-limited, and reviewable by a human if something goes wrong. Sit a University exam through ProctorU and none of that applies. Every examination session, according to documents released under FOI, ProctorU collects:</w:t>
      </w:r>
    </w:p>
    <w:p>
      <w:pPr>
        <w:numPr>
          <w:ilvl w:val="0"/>
          <w:numId w:val="1001"/>
        </w:numPr>
      </w:pPr>
      <w:r>
        <w:t xml:space="preserve">Facial recognition — continuous throughout the examination</w:t>
      </w:r>
    </w:p>
    <w:p>
      <w:pPr>
        <w:numPr>
          <w:ilvl w:val="0"/>
          <w:numId w:val="1001"/>
        </w:numPr>
      </w:pPr>
      <w:r>
        <w:t xml:space="preserve">Eye-movement tracking — continuous</w:t>
      </w:r>
    </w:p>
    <w:p>
      <w:pPr>
        <w:numPr>
          <w:ilvl w:val="0"/>
          <w:numId w:val="1001"/>
        </w:numPr>
      </w:pPr>
      <w:r>
        <w:t xml:space="preserve">Voice recording and analysis — continuous</w:t>
      </w:r>
    </w:p>
    <w:p>
      <w:pPr>
        <w:numPr>
          <w:ilvl w:val="0"/>
          <w:numId w:val="1001"/>
        </w:numPr>
      </w:pPr>
      <w:r>
        <w:t xml:space="preserve">Keystroke dynamics — continuous</w:t>
      </w:r>
    </w:p>
    <w:p>
      <w:pPr>
        <w:numPr>
          <w:ilvl w:val="0"/>
          <w:numId w:val="1001"/>
        </w:numPr>
      </w:pPr>
      <w:r>
        <w:t xml:space="preserve">Screen recording — continuous</w:t>
      </w:r>
    </w:p>
    <w:p>
      <w:pPr>
        <w:numPr>
          <w:ilvl w:val="0"/>
          <w:numId w:val="1001"/>
        </w:numPr>
      </w:pPr>
      <w:r>
        <w:t xml:space="preserve">Hardware profiling: CPU model, processor cores, RAM capacity, monitor resolution, graphics card, network card MAC address</w:t>
      </w:r>
    </w:p>
    <w:p>
      <w:pPr>
        <w:numPr>
          <w:ilvl w:val="0"/>
          <w:numId w:val="1001"/>
        </w:numPr>
      </w:pPr>
      <w:r>
        <w:t xml:space="preserve">Network profiling: IP address, upload/download speed, ISP information</w:t>
      </w:r>
    </w:p>
    <w:p>
      <w:pPr>
        <w:numPr>
          <w:ilvl w:val="0"/>
          <w:numId w:val="1001"/>
        </w:numPr>
      </w:pPr>
      <w:r>
        <w:t xml:space="preserve">Software environment: operating system version, browser type, installed extensions, device fingerprint</w:t>
      </w:r>
    </w:p>
    <w:p>
      <w:pPr>
        <w:numPr>
          <w:ilvl w:val="0"/>
          <w:numId w:val="1001"/>
        </w:numPr>
      </w:pPr>
      <w:r>
        <w:t xml:space="preserve">Multiple facial photographs stored for identity verification</w:t>
      </w:r>
    </w:p>
    <w:p>
      <w:pPr>
        <w:pStyle w:val="FirstParagraph"/>
      </w:pPr>
      <w:r>
        <w:t xml:space="preserve">None of the hardware, network, or software environment data serves any purpose related to examination integrity, in direct conflict with the UK GDPR data minimisation principle under Article 5(1)(c).</w:t>
      </w:r>
    </w:p>
    <w:p>
      <w:pPr>
        <w:pStyle w:val="BodyText"/>
      </w:pPr>
      <w:r>
        <w:t xml:space="preserve">Students subject to ProctorU receive none of the protections that apply to biometric authentication in financial services — FCA regulation, Strong Customer Authentication requirements, mandatory human review of automated decisions, or strict regulated retention limits. The University’s own DPQ confirms full examination video and audio is retained for three years, while students are routinely told data is kept for approximately seven days. The same document admits that</w:t>
      </w:r>
      <w:r>
        <w:t xml:space="preserve"> </w:t>
      </w:r>
      <w:r>
        <w:t xml:space="preserve">“</w:t>
      </w:r>
      <w:r>
        <w:t xml:space="preserve">part of a DSAR cannot be met</w:t>
      </w:r>
      <w:r>
        <w:t xml:space="preserve">”</w:t>
      </w:r>
      <w:r>
        <w:t xml:space="preserve"> </w:t>
      </w:r>
      <w:r>
        <w:t xml:space="preserve">— the University cannot fully comply with its legal obligation under UK GDPR Article 15 because the data has been designed to be unreachable.</w:t>
      </w:r>
    </w:p>
    <w:p>
      <w:pPr>
        <w:pStyle w:val="BodyText"/>
      </w:pPr>
      <w:r>
        <w:t>The DPQ denies the use of artificial intelligence. The published Jisc Chest agreement page for Meazure Learning (agreement term from 1 May 2023) describes</w:t>
      </w:r>
      <w:r>
        <w:t xml:space="preserve"> </w:t>
      </w:r>
      <w:r>
        <w:t xml:space="preserve">“</w:t>
      </w:r>
      <w:r>
        <w:t xml:space="preserve">machine-learning algorithms</w:t>
      </w:r>
      <w:r>
        <w:t xml:space="preserve">”</w:t>
      </w:r>
      <w:r>
        <w:t xml:space="preserve"> </w:t>
      </w:r>
      <w:r>
        <w:t xml:space="preserve">to detect</w:t>
      </w:r>
      <w:r>
        <w:t xml:space="preserve"> </w:t>
      </w:r>
      <w:r>
        <w:t xml:space="preserve">“</w:t>
      </w:r>
      <w:r>
        <w:t xml:space="preserve">aberrant behaviour</w:t>
      </w:r>
      <w:r>
        <w:t xml:space="preserve">”</w:t>
      </w:r>
      <w:r>
        <w:t>. The DPQ and the framework’s own description of the product cannot both be accurate.</w:t>
      </w:r>
    </w:p>
    <w:p>
      <w:pPr>
        <w:pStyle w:val="BodyText"/>
      </w:pPr>
      <w:r>
        <w:t xml:space="preserve">This contradiction has deepened following the acquisition of OP360 by iQor CXBPO on 5 January 2026. iQor’s infinityAiQ platform, launched in 2025, processes over 2.7 billion tokens weekly using large language models. Student biometric examination data now flows through a sub-processor operating an AI-first platform at industrial scale. The University’s own DPQ continues to deny the use of artificial intelligence.</w:t>
      </w:r>
    </w:p>
    <w:p>
      <w:pPr>
        <w:pStyle w:val="BodyText"/>
      </w:pPr>
      <w:r>
        <w:t xml:space="preserve">ProctorU is marketed and operated as live proctoring, and the examination is also continuously recorded on video and audio throughout (Section 2, above). Two separate review mechanisms therefore exist, not one: a human proctor watching in real time — often monitoring several students’ sessions simultaneously — and the recording itself, which may be reviewed after the fact by a proctor, by University staff investigating a specific incident, or not reviewed at all unless a complaint is raised. Neither of those is the same question as whether the automated</w:t>
      </w:r>
      <w:r>
        <w:t xml:space="preserve"> </w:t>
      </w:r>
      <w:r>
        <w:t xml:space="preserve">“</w:t>
      </w:r>
      <w:r>
        <w:t xml:space="preserve">aberrant behaviour</w:t>
      </w:r>
      <w:r>
        <w:t xml:space="preserve">”</w:t>
      </w:r>
      <w:r>
        <w:t xml:space="preserve"> </w:t>
      </w:r>
      <w:r>
        <w:t>scoring described on the Jisc Chest agreement page — the machine-learning layer that flags a session for review or escalation — is itself independently checked by a human before that flag is acted on, or whether it simply feeds a proctor’s real-time judgement or a later recording review without disclosed weight or process. Under UK GDPR Article 22, the right not to be subject to solely automated decision-making with significant effects turns on that distinction, not on whether a human is present in the room or a recording exists somewhere. Neither the DPQ nor any governance document disclosed to date specifies how the automated flag, the live proctor’s own observation, and any later recording review are weighted against each other, or which one determines the outcome recorded against a student.</w:t>
      </w:r>
    </w:p>
    <w:bookmarkEnd w:id="27"/>
    <w:bookmarkStart w:id="28" w:name="Xab71e57bc4c70cbae08e50b43517bae7c758a6c"/>
    <w:p>
      <w:pPr>
        <w:pStyle w:val="Heading2"/>
      </w:pPr>
      <w:r>
        <w:t xml:space="preserve">Section 3: Sub-Processor Risk and Supply Chain Opacity</w:t>
      </w:r>
    </w:p>
    <w:p>
      <w:pPr>
        <w:pStyle w:val="FirstParagraph"/>
      </w:pPr>
      <w:r>
        <w:t xml:space="preserve">UK GDPR Article 28 requires data controllers to conduct due diligence on sub-processors and to ensure sub-processing agreements provide equivalent data protection guarantees. Article 28(2) requires prior written authorisation before a processor engages a new sub-processor.</w:t>
      </w:r>
    </w:p>
    <w:p>
      <w:pPr>
        <w:pStyle w:val="BodyText"/>
      </w:pPr>
      <w:r>
        <w:t xml:space="preserve">Follow the sub-processor chain for ProctorU, documented in FOI responses, and the compliance failures are not isolated. They stack.</w:t>
      </w:r>
    </w:p>
    <w:p>
      <w:pPr>
        <w:pStyle w:val="BodyText"/>
      </w:pPr>
      <w:r>
        <w:t xml:space="preserve">Radius Global Solutions — a former sub-processor — suffered a data breach in June 2023 in which the Clop ransomware gang exposed 632,204 records through the MOVEit vulnerability. This breach was not disclosed to students. The University substituted Radius after the matter was raised in correspondence — a reactive response, not a proactive safeguarding measure. A named university official confirmed in writing that student exam data was permanently lost. Active class action litigation against Radius Global Solutions following this breach remains ongoing.</w:t>
      </w:r>
    </w:p>
    <w:p>
      <w:pPr>
        <w:pStyle w:val="BodyText"/>
      </w:pPr>
      <w:r>
        <w:t xml:space="preserve">On 5 January 2026, OP360 — a current sub-processor in the ProctorU chain — was acquired by iQor CXBPO. This acquisition expanded iQor’s global delivery presence across six countries. No student notification was issued. No Article 28(2) prior authorisation was documented. The six countries of operation and their UK GDPR adequacy status are set out below: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Country</w:t>
            </w:r>
          </w:p>
        </w:tc>
        <w:tc>
          <w:tcPr/>
          <w:p>
            <w:pPr>
              <w:pStyle w:val="Compact"/>
              <w:jc w:val="left"/>
            </w:pPr>
            <w:r>
              <w:t xml:space="preserve">UK GDPR Adequacy Status</w:t>
            </w:r>
          </w:p>
        </w:tc>
      </w:tr>
      <w:tr>
        <w:tc>
          <w:tcPr/>
          <w:p>
            <w:pPr>
              <w:pStyle w:val="Compact"/>
              <w:jc w:val="left"/>
            </w:pPr>
            <w:r>
              <w:t xml:space="preserve">Philippines</w:t>
            </w:r>
          </w:p>
        </w:tc>
        <w:tc>
          <w:tcPr/>
          <w:p>
            <w:pPr>
              <w:pStyle w:val="Compact"/>
              <w:jc w:val="left"/>
            </w:pPr>
            <w:r>
              <w:t xml:space="preserve">No UK adequacy decision</w:t>
            </w:r>
          </w:p>
        </w:tc>
      </w:tr>
      <w:tr>
        <w:tc>
          <w:tcPr/>
          <w:p>
            <w:pPr>
              <w:pStyle w:val="Compact"/>
              <w:jc w:val="left"/>
            </w:pPr>
            <w:r>
              <w:t xml:space="preserve">India</w:t>
            </w:r>
          </w:p>
        </w:tc>
        <w:tc>
          <w:tcPr/>
          <w:p>
            <w:pPr>
              <w:pStyle w:val="Compact"/>
              <w:jc w:val="left"/>
            </w:pPr>
            <w:r>
              <w:t xml:space="preserve">No UK adequacy decision</w:t>
            </w:r>
          </w:p>
        </w:tc>
      </w:tr>
      <w:tr>
        <w:tc>
          <w:tcPr/>
          <w:p>
            <w:pPr>
              <w:pStyle w:val="Compact"/>
              <w:jc w:val="left"/>
            </w:pPr>
            <w:r>
              <w:t xml:space="preserve">Colombia</w:t>
            </w:r>
          </w:p>
        </w:tc>
        <w:tc>
          <w:tcPr/>
          <w:p>
            <w:pPr>
              <w:pStyle w:val="Compact"/>
              <w:jc w:val="left"/>
            </w:pPr>
            <w:r>
              <w:t xml:space="preserve">No UK adequacy decision</w:t>
            </w:r>
          </w:p>
        </w:tc>
      </w:tr>
      <w:tr>
        <w:tc>
          <w:tcPr/>
          <w:p>
            <w:pPr>
              <w:pStyle w:val="Compact"/>
              <w:jc w:val="left"/>
            </w:pPr>
            <w:r>
              <w:t xml:space="preserve">Trinidad</w:t>
            </w:r>
          </w:p>
        </w:tc>
        <w:tc>
          <w:tcPr/>
          <w:p>
            <w:pPr>
              <w:pStyle w:val="Compact"/>
              <w:jc w:val="left"/>
            </w:pPr>
            <w:r>
              <w:t xml:space="preserve">No UK adequacy decision</w:t>
            </w:r>
          </w:p>
        </w:tc>
      </w:tr>
      <w:tr>
        <w:tc>
          <w:tcPr/>
          <w:p>
            <w:pPr>
              <w:pStyle w:val="Compact"/>
              <w:jc w:val="left"/>
            </w:pPr>
            <w:r>
              <w:t xml:space="preserve">Egypt</w:t>
            </w:r>
          </w:p>
        </w:tc>
        <w:tc>
          <w:tcPr/>
          <w:p>
            <w:pPr>
              <w:pStyle w:val="Compact"/>
              <w:jc w:val="left"/>
            </w:pPr>
            <w:r>
              <w:t xml:space="preserve">No UK adequacy decision</w:t>
            </w:r>
          </w:p>
        </w:tc>
      </w:tr>
      <w:tr>
        <w:tc>
          <w:tcPr/>
          <w:p>
            <w:pPr>
              <w:pStyle w:val="Compact"/>
              <w:jc w:val="left"/>
            </w:pPr>
            <w:r>
              <w:t xml:space="preserve">United States</w:t>
            </w:r>
          </w:p>
        </w:tc>
        <w:tc>
          <w:tcPr/>
          <w:p>
            <w:pPr>
              <w:pStyle w:val="Compact"/>
              <w:jc w:val="left"/>
            </w:pPr>
            <w:r>
              <w:t xml:space="preserve">No UK adequacy decision (limited frameworks only — not automatically applicable to all transfers)</w:t>
            </w:r>
          </w:p>
        </w:tc>
      </w:tr>
    </w:tbl>
    <w:p>
      <w:pPr>
        <w:pStyle w:val="BodyText"/>
      </w:pPr>
      <w:r>
        <w:t xml:space="preserve">Source: iQor press release, GlobeNewswire, 5 January 2026. UK adequacy decisions: UK Government adequacy decisions register.</w:t>
      </w:r>
    </w:p>
    <w:p>
      <w:pPr>
        <w:pStyle w:val="BodyText"/>
      </w:pPr>
      <w:r>
        <w:t xml:space="preserve">None of these six countries holds a UK adequacy decision. Under UK GDPR Article 44, transfers of personal data to third countries may only take place if the conditions in Chapter V are met. No such conditions were disclosed to students at any point. The University’s own DPQ confirms:</w:t>
      </w:r>
      <w:r>
        <w:t xml:space="preserve"> </w:t>
      </w:r>
      <w:r>
        <w:t xml:space="preserve">“</w:t>
      </w:r>
      <w:r>
        <w:t xml:space="preserve">India and the Philippines access the servers from their respective countries.</w:t>
      </w:r>
      <w:r>
        <w:t xml:space="preserve">”</w:t>
      </w:r>
      <w:r>
        <w:t xml:space="preserve"> </w:t>
      </w:r>
      <w:r>
        <w:t xml:space="preserve">This confirmation appears in a document that was never signed and carries an explicit DO NOT PROCEED directive — meaning the international data transfers were identified as a compliance risk before processing began, and processing proceeded anyway.</w:t>
      </w:r>
    </w:p>
    <w:p>
      <w:pPr>
        <w:pStyle w:val="BodyText"/>
      </w:pPr>
      <w:r>
        <w:t xml:space="preserve">A separate disclosure sits alongside this sub-processor chain, concerning a different vendor in it. Students raise Subject Access Requests and technical complaints with ProctorU through its chat-based customer support channel, which Meazure Learning’s own Privacy Policy (current version, last updated 6 May 2026) discloses is run through Zendesk. The policy states:</w:t>
      </w:r>
      <w:r>
        <w:t xml:space="preserve"> </w:t>
      </w:r>
      <w:r>
        <w:t xml:space="preserve">“</w:t>
      </w:r>
      <w:r>
        <w:t xml:space="preserve">Information you provide through our chat features (including the content of your messages) may be processed by Zendesk’s AI tools to facilitate and improve our support interactions. Your interaction data may be used by Zendesk in accordance with their Privacy Notice to help train and improve Zendesk’s AI systems.</w:t>
      </w:r>
      <w:r>
        <w:t xml:space="preserve">”</w:t>
      </w:r>
      <w:r>
        <w:t xml:space="preserve"> </w:t>
      </w:r>
      <w:r>
        <w:t xml:space="preserve">This sits against a standard published by the Department for Education for exactly the sector Meazure Learning supplies into. The DfE’s</w:t>
      </w:r>
      <w:r>
        <w:t xml:space="preserve"> </w:t>
      </w:r>
      <w:r>
        <w:t xml:space="preserve">“</w:t>
      </w:r>
      <w:r>
        <w:t xml:space="preserve">Generative AI: product safety standards,</w:t>
      </w:r>
      <w:r>
        <w:t xml:space="preserve">”</w:t>
      </w:r>
      <w:r>
        <w:t xml:space="preserve"> </w:t>
      </w:r>
      <w:r>
        <w:t xml:space="preserve">published 19 January 2026 and addressed to</w:t>
      </w:r>
      <w:r>
        <w:t xml:space="preserve"> </w:t>
      </w:r>
      <w:r>
        <w:t xml:space="preserve">“</w:t>
      </w:r>
      <w:r>
        <w:t xml:space="preserve">edtech developers and suppliers to schools and colleges,</w:t>
      </w:r>
      <w:r>
        <w:t xml:space="preserve">”</w:t>
      </w:r>
      <w:r>
        <w:t xml:space="preserve"> </w:t>
      </w:r>
      <w:r>
        <w:t xml:space="preserve">states that such products should</w:t>
      </w:r>
      <w:r>
        <w:t xml:space="preserve"> </w:t>
      </w:r>
      <w:r>
        <w:t xml:space="preserve">“</w:t>
      </w:r>
      <w:r>
        <w:t xml:space="preserve">not collect, store, share or use personal data for any commercial purposes, including further model training and fine-tuning, without confirmation of appropriate lawful basis.</w:t>
      </w:r>
      <w:r>
        <w:t xml:space="preserve">”</w:t>
      </w:r>
      <w:r>
        <w:t xml:space="preserve"> </w:t>
      </w:r>
      <w:r>
        <w:t xml:space="preserve">No lawful basis for using students’ support-chat content — raised, in part, to pursue their own data protection rights — to train a third party’s AI systems is disclosed anywhere in the materials provided to students. The DfE standard is sector guidance, not law, and does not itself bind Meazure Learning or the University; it is cited here as the sector’s own benchmark for the practice Meazure Learning’s Privacy Policy discloses, not as a finding that either body has breached it.</w:t>
      </w:r>
    </w:p>
    <w:bookmarkEnd w:id="28"/>
    <w:bookmarkStart w:id="29" w:name="Xea5c52b6aa80e5176857987841296a4a3221865"/>
    <w:p>
      <w:pPr>
        <w:pStyle w:val="Heading2"/>
      </w:pPr>
      <w:r>
        <w:t xml:space="preserve">Section 4: Governance Failure — The DO NOT PROCEED Problem</w:t>
      </w:r>
    </w:p>
    <w:p>
      <w:pPr>
        <w:pStyle w:val="FirstParagraph"/>
      </w:pPr>
      <w:r>
        <w:t xml:space="preserve">Under UK GDPR Article 35, a Data Protection Impact Assessment (DPIA) is mandatory before processing that is likely to result in a high risk to individuals. Remote invigilation meets multiple high-risk criteria: systematic monitoring, biometric data, processing on a large scale, vulnerable data subjects, innovative technology, location tracking, and risk of physical harm in a security breach. The document discussed throughout this case study as the Data Protection Questionnaire (DPQ) is the same document: the University’s own Information Rights team confirmed in writing that</w:t>
      </w:r>
      <w:r>
        <w:t xml:space="preserve"> </w:t>
      </w:r>
      <w:r>
        <w:t xml:space="preserve">“</w:t>
      </w:r>
      <w:r>
        <w:t xml:space="preserve">DPQ is the name used for DPIAs at the OU</w:t>
      </w:r>
      <w:r>
        <w:t xml:space="preserve">”</w:t>
      </w:r>
      <w:r>
        <w:t xml:space="preserve"> </w:t>
      </w:r>
      <w:r>
        <w:t xml:space="preserve">(FOI2025/238, Daniel Webb, Senior Manager Information Rights).</w:t>
      </w:r>
      <w:r>
        <w:t xml:space="preserve"> </w:t>
      </w:r>
      <w:r>
        <w:t xml:space="preserve">“</w:t>
      </w:r>
      <w:r>
        <w:t xml:space="preserve">DPQ</w:t>
      </w:r>
      <w:r>
        <w:t xml:space="preserve">”</w:t>
      </w:r>
      <w:r>
        <w:t xml:space="preserve"> </w:t>
      </w:r>
      <w:r>
        <w:t xml:space="preserve">and</w:t>
      </w:r>
      <w:r>
        <w:t xml:space="preserve"> </w:t>
      </w:r>
      <w:r>
        <w:t xml:space="preserve">“</w:t>
      </w:r>
      <w:r>
        <w:t xml:space="preserve">DPIA</w:t>
      </w:r>
      <w:r>
        <w:t xml:space="preserve">”</w:t>
      </w:r>
      <w:r>
        <w:t xml:space="preserve"> </w:t>
      </w:r>
      <w:r>
        <w:t xml:space="preserve">are therefore used interchangeably below to refer to the single document described here, consistent with the University’s own terminology.</w:t>
      </w:r>
    </w:p>
    <w:p>
      <w:pPr>
        <w:pStyle w:val="BodyText"/>
      </w:pPr>
      <w:r>
        <w:t xml:space="preserve">The University began this Data Protection Impact Assessment for ProctorU in December 2022. The document remains version 0.9, unsigned after 46 months of continuous processing, and contains the explicit instruction:</w:t>
      </w:r>
      <w:r>
        <w:t xml:space="preserve"> </w:t>
      </w:r>
      <w:r>
        <w:t xml:space="preserve">“</w:t>
      </w:r>
      <w:r>
        <w:t xml:space="preserve">If any cells are coloured red, please do not proceed with your activity until you have received authorisation.</w:t>
      </w:r>
      <w:r>
        <w:t xml:space="preserve">”</w:t>
      </w:r>
      <w:r>
        <w:t xml:space="preserve"> </w:t>
      </w:r>
      <w:r>
        <w:t xml:space="preserve">Multiple cells were coloured red. Processing proceeded. The ICO was never consulted. The DPIA remains unsigned to this day.</w:t>
      </w:r>
    </w:p>
    <w:p>
      <w:pPr>
        <w:pStyle w:val="BodyText"/>
      </w:pPr>
      <w:r>
        <w:t xml:space="preserve">An updated version was produced in March 2026 — during active OIA proceedings, active FOI scrutiny, and active discrimination complaint handling. It remains version 0.9. It remains unsigned. The DO NOT PROCEED directives remain present.</w:t>
      </w:r>
    </w:p>
    <w:p>
      <w:pPr>
        <w:pStyle w:val="BodyText"/>
      </w:pPr>
      <w:r>
        <w:t xml:space="preserve">The document’s own conclusions, not an outside reading of it, already record this as unresolved. Its Assessment tab records the Individual Rights requirement as met in general terms, then immediately qualifies that: because biometric data is destroyed after seven days, the right to withdraw consent and the right to data portability are recorded as only</w:t>
      </w:r>
      <w:r>
        <w:t xml:space="preserve"> </w:t>
      </w:r>
      <w:r>
        <w:t xml:space="preserve">“</w:t>
      </w:r>
      <w:r>
        <w:t xml:space="preserve">partially met.</w:t>
      </w:r>
      <w:r>
        <w:t xml:space="preserve">”</w:t>
      </w:r>
      <w:r>
        <w:t xml:space="preserve"> </w:t>
      </w:r>
      <w:r>
        <w:t xml:space="preserve">The same tab separately records the organisation’s own Security control — a backup process for the application — as only</w:t>
      </w:r>
      <w:r>
        <w:t xml:space="preserve"> </w:t>
      </w:r>
      <w:r>
        <w:t xml:space="preserve">“</w:t>
      </w:r>
      <w:r>
        <w:t xml:space="preserve">partially met</w:t>
      </w:r>
      <w:r>
        <w:t xml:space="preserve">”</w:t>
      </w:r>
      <w:r>
        <w:t xml:space="preserve"> </w:t>
      </w:r>
      <w:r>
        <w:t xml:space="preserve">too, because the backup process</w:t>
      </w:r>
      <w:r>
        <w:t xml:space="preserve"> </w:t>
      </w:r>
      <w:r>
        <w:t xml:space="preserve">“</w:t>
      </w:r>
      <w:r>
        <w:t xml:space="preserve">has been created, but not tested.</w:t>
      </w:r>
      <w:r>
        <w:t xml:space="preserve">”</w:t>
      </w:r>
      <w:r>
        <w:t xml:space="preserve"> </w:t>
      </w:r>
      <w:r>
        <w:t xml:space="preserve">This is the University’s own compliance function, in the same governance document, declining to record full compliance against the obligations the DPIA exists to verify.</w:t>
      </w:r>
    </w:p>
    <w:p>
      <w:pPr>
        <w:pStyle w:val="BodyText"/>
      </w:pPr>
      <w:r>
        <w:t xml:space="preserve">The same Assessment tab also contradicts the document’s own AI/ML tab. Q23 of the Questionnaire tab, and the AI/ML tab it triggers, confirm that the platform processes a student’s own webcam image to verify identity — the AI/ML tab’s own description states the system</w:t>
      </w:r>
      <w:r>
        <w:t xml:space="preserve"> </w:t>
      </w:r>
      <w:r>
        <w:t xml:space="preserve">“</w:t>
      </w:r>
      <w:r>
        <w:t xml:space="preserve">looks at a picture from the student’s webcamera prior to exam and during the exam looks if the person looks similar to the reference picture taken,</w:t>
      </w:r>
      <w:r>
        <w:t xml:space="preserve">”</w:t>
      </w:r>
      <w:r>
        <w:t xml:space="preserve"> </w:t>
      </w:r>
      <w:r>
        <w:t xml:space="preserve">and separately describes voice similarity matching. The Assessment tab, completed from the same questionnaire, nonetheless records:</w:t>
      </w:r>
      <w:r>
        <w:t xml:space="preserve"> </w:t>
      </w:r>
      <w:r>
        <w:t xml:space="preserve">“</w:t>
      </w:r>
      <w:r>
        <w:t xml:space="preserve">Artificial Intelligence, Machine Learning or Algorithms usage are not part of this activity, therefore this requirement has been met,</w:t>
      </w:r>
      <w:r>
        <w:t xml:space="preserve">”</w:t>
      </w:r>
      <w:r>
        <w:t xml:space="preserve"> </w:t>
      </w:r>
      <w:r>
        <w:t xml:space="preserve">and, separately,</w:t>
      </w:r>
      <w:r>
        <w:t xml:space="preserve"> </w:t>
      </w:r>
      <w:r>
        <w:t xml:space="preserve">“</w:t>
      </w:r>
      <w:r>
        <w:t xml:space="preserve">Profiling or automated decisions are not part of this activity, therefore this requirement has been met.</w:t>
      </w:r>
      <w:r>
        <w:t xml:space="preserve">”</w:t>
      </w:r>
      <w:r>
        <w:t xml:space="preserve"> </w:t>
      </w:r>
      <w:r>
        <w:t xml:space="preserve">The same document that describes continuous AI-driven facial and voice matching against a reference image, elsewhere in the same document, certifies that no AI, machine learning, or automated decision-making is involved at all.</w:t>
      </w:r>
    </w:p>
    <w:p>
      <w:pPr>
        <w:pStyle w:val="BodyText"/>
      </w:pPr>
      <w:r>
        <w:t xml:space="preserve">In November 2025 a senior university official confirmed in writing:</w:t>
      </w:r>
      <w:r>
        <w:t xml:space="preserve"> </w:t>
      </w:r>
      <w:r>
        <w:t xml:space="preserve">“</w:t>
      </w:r>
      <w:r>
        <w:t xml:space="preserve">We are not fully compliant with data protection law.</w:t>
      </w:r>
      <w:r>
        <w:t xml:space="preserve">”</w:t>
      </w:r>
      <w:r>
        <w:t xml:space="preserve"> </w:t>
      </w:r>
      <w:r>
        <w:t xml:space="preserve">This admission was made while mandatory biometric data collection from thousands of students was ongoing.</w:t>
      </w:r>
    </w:p>
    <w:p>
      <w:pPr>
        <w:pStyle w:val="BodyText"/>
      </w:pPr>
      <w:r>
        <w:t xml:space="preserve">A Freedom of Information response dated 26 March 2026 — FOI2026/039 — confirmed that the University has never obtained an independent SOC 2 Type II security audit report for Meazure Learning. The University’s own response states:</w:t>
      </w:r>
      <w:r>
        <w:t xml:space="preserve"> </w:t>
      </w:r>
      <w:r>
        <w:t xml:space="preserve">“</w:t>
      </w:r>
      <w:r>
        <w:t xml:space="preserve">A SOC 2 attestation report was not obtained as part of this process</w:t>
      </w:r>
      <w:r>
        <w:t xml:space="preserve">”</w:t>
      </w:r>
      <w:r>
        <w:t xml:space="preserve"> </w:t>
      </w:r>
      <w:r>
        <w:t xml:space="preserve">and</w:t>
      </w:r>
      <w:r>
        <w:t xml:space="preserve"> </w:t>
      </w:r>
      <w:r>
        <w:t xml:space="preserve">“</w:t>
      </w:r>
      <w:r>
        <w:t xml:space="preserve">We do not currently ask for SOC 2 attestation reports as part of this process.</w:t>
      </w:r>
      <w:r>
        <w:t xml:space="preserve">”</w:t>
      </w:r>
      <w:r>
        <w:t xml:space="preserve"> </w:t>
      </w:r>
      <w:r>
        <w:t xml:space="preserve">The University’s assessment of Meazure Learning’s security posture was conducted through an internal questionnaire in early 2024 and two unnamed continuous cyber security risk rating services. No independent auditor was engaged. No Bridge Letter or Letter of Attestation was obtained for 2024 or 2025. The University mandated biometric data collection from thousands of students on a platform whose independent security compliance was never verified by a qualified auditor.</w:t>
      </w:r>
    </w:p>
    <w:p>
      <w:pPr>
        <w:pStyle w:val="BodyText"/>
      </w:pPr>
      <w:r>
        <w:t xml:space="preserve">This constitutes a documented circular compliance failure. The DPQ drafted in December 2022 cited SOC 2 as the security basis before the certification existed. Meazure Learning announced SOC 2 Type II certification in January 2023 — at which point an independent audit report became publicly available and obtainable. The University conducted a formal procurement assessment of Meazure Learning in early 2024 and still did not request the report. Live biometric processing of students began in September 2025. The FOI response of 26 March 2026 confirms the report was never obtained and is not asked for. On the same date, the University released its updated DPQ — which continues to record the security requirement as</w:t>
      </w:r>
      <w:r>
        <w:t xml:space="preserve"> </w:t>
      </w:r>
      <w:r>
        <w:t xml:space="preserve">“</w:t>
      </w:r>
      <w:r>
        <w:t xml:space="preserve">met</w:t>
      </w:r>
      <w:r>
        <w:t xml:space="preserve">”</w:t>
      </w:r>
      <w:r>
        <w:t xml:space="preserve"> </w:t>
      </w:r>
      <w:r>
        <w:t xml:space="preserve">on the basis of SOC 2, citing</w:t>
      </w:r>
      <w:r>
        <w:t xml:space="preserve"> </w:t>
      </w:r>
      <w:r>
        <w:t xml:space="preserve">“</w:t>
      </w:r>
      <w:r>
        <w:t xml:space="preserve">SOC 2 Type II certification details in the contract.</w:t>
      </w:r>
      <w:r>
        <w:t xml:space="preserve">”</w:t>
      </w:r>
      <w:r>
        <w:t xml:space="preserve"> </w:t>
      </w:r>
      <w:r>
        <w:t xml:space="preserve">The document asserting compliance and the process that was supposed to produce that compliance describe entirely different things. The two unnamed commercial risk rating services cited as the operative assurance mechanism assess external-facing technical posture — open ports, SSL configuration, and network health — and do not assess internal data handling, retention practices, sub-processor compliance, or cross-border transfer safeguards. They are not a substitute for the independent audit the DPIA records as the basis for compliance.</w:t>
      </w:r>
    </w:p>
    <w:p>
      <w:pPr>
        <w:pStyle w:val="BodyText"/>
      </w:pPr>
      <w:r>
        <w:t xml:space="preserve">The structural failure documented in this case study — a DPIA recording a SOC 2 certification as its security basis without the University ever obtaining or reviewing the underlying report — has been independently validated by a sector-wide scandal that broke in March 2026. An investigation published on 19 March 2026 by an anonymous whistleblower writing as</w:t>
      </w:r>
      <w:r>
        <w:t xml:space="preserve"> </w:t>
      </w:r>
      <w:r>
        <w:t xml:space="preserve">“</w:t>
      </w:r>
      <w:r>
        <w:t xml:space="preserve">DeepDelver</w:t>
      </w:r>
      <w:r>
        <w:t xml:space="preserve">”</w:t>
      </w:r>
      <w:r>
        <w:t xml:space="preserve"> </w:t>
      </w:r>
      <w:r>
        <w:t xml:space="preserve">and reported by TechCrunch on 21 March 2026 documented that Delve, a Y Combinator-backed compliance automation startup valued at $300 million, allegedly produced 494 near-identical SOC 2 reports with auditor conclusions written before evidence was reviewed. In 99.8% of reports, Section 3 — which is supposed to describe each company’s specific security programme — contained identical text including the same grammatical errors and nonsensical descriptions regardless of each client’s size, industry, or technical architecture. One recurring error — the phrase</w:t>
      </w:r>
      <w:r>
        <w:t xml:space="preserve"> </w:t>
      </w:r>
      <w:r>
        <w:t xml:space="preserve">“</w:t>
      </w:r>
      <w:r>
        <w:t xml:space="preserve">because there no security incidents,</w:t>
      </w:r>
      <w:r>
        <w:t xml:space="preserve">”</w:t>
      </w:r>
      <w:r>
        <w:t xml:space="preserve"> </w:t>
      </w:r>
      <w:r>
        <w:t xml:space="preserve">with the same missing word — appeared identically across hundreds of reports, making independent authorship statistically and professionally impossible. Every single SOC 2 Type II report in the dataset recorded zero security incidents across all 259 companies over multi-month observation periods — a statistical impossibility. The auditor’s conclusions existed in draft reports before clients had provided their company description, network diagrams, or signatures — directly violating AICPA AT-C Section 205, which requires practitioners to form conclusions based on their own independent examination. DeepDelver described the structural consequence in terms that apply with equal force to the University’s own position:</w:t>
      </w:r>
      <w:r>
        <w:t xml:space="preserve"> </w:t>
      </w:r>
      <w:r>
        <w:t xml:space="preserve">“</w:t>
      </w:r>
      <w:r>
        <w:t xml:space="preserve">By generating auditor conclusions, test procedures, and final reports before any independent review occurs, Delve places itself in the role of both implementer and examiner. This is not a technicality. It is a structural fraud that invalidates the entire attestation.</w:t>
      </w:r>
      <w:r>
        <w:t xml:space="preserve">”</w:t>
      </w:r>
      <w:r>
        <w:t xml:space="preserve"> </w:t>
      </w:r>
      <w:r>
        <w:t xml:space="preserve">The University’s DPQ recorded SOC 2 as met — placing itself in the role of examiner — without ever obtaining the report that would have constituted independent review. The primary auditors — Accorp, Gradient Certification, Glocert, and DKPC — were alleged to be operated by junior teams in India rather than experienced US-based CPAs, using US shell companies and mailbox addresses, frequently in Montana, to appear as domestic accredited firms. The alleged workflow inverted the audit process entirely: Delve allegedly generated the final conclusions itself using internal templates and sent them to these Indian firms for rubber-stamping — the conclusions travelled from the platform to the auditor, not the other way around. The investigation was not uncovered by the SEC, the AICPA, or any compliance oversight organisation. It was uncovered by a whistleblower publishing anonymously on Substack. No regulator flagged 494 allegedly identical reports. This scandal has publicly confirmed what the University’s own FOI response demonstrates in this specific case: a SOC 2 certification is meaningless without independent verification of the auditor’s identity, the scope of the audit, and the methodology applied. The University cannot provide any of those three things for the certification it records as the basis for its security compliance determination. Bryan Geels, Partner at GN (a Smith + Howard Company), stated publicly in response to the Delve scandal:</w:t>
      </w:r>
      <w:r>
        <w:t xml:space="preserve"> </w:t>
      </w:r>
      <w:r>
        <w:t xml:space="preserve">“</w:t>
      </w:r>
      <w:r>
        <w:t xml:space="preserve">SOC 2 is not software. It is an attestation that depends on management representations, auditor independence, and adherence to professional standards. Automation platforms are tools. They do not transfer accountability away from management.</w:t>
      </w:r>
      <w:r>
        <w:t xml:space="preserve">”</w:t>
      </w:r>
      <w:r>
        <w:t xml:space="preserve"> </w:t>
      </w:r>
      <w:r>
        <w:t xml:space="preserve">That principle applies directly to the University’s position. Accepting a SOC 2 claim without obtaining the underlying report is a management decision. Switching EdTech platforms does not absolve it. The depth of the structural failure has been further documented by Taylor Gavigan, CPA, CISA, a named professional in internal control and risk advisory who was engaged as a SOC specialist on the AICPA peer review of one of the implicated audit firms and subsequently dismissed after reporting his findings. Gavigan disclosed publicly on LinkedIn that the audit files he reviewed showed engagement fees of between $1,200 and $1,500 per audit — a fraction of the $15,000–$50,000 a legitimate SOC 2 Type II engagement costs — with no workpapers outlining testing procedures, no documentation of observations, no inspection of documents, and no inquiry of personnel. The AICPA framework produces identical-looking reports regardless of audit quality or cost — a $1,500 rubber-stamp audit and an $80,000 rigorous engagement both result in the same SOC 2 Type II logo. The only mechanism to distinguish them is the underlying report. The University never obtained it. The assertion and management representation letter had been signed by the auditor rather than by management, as required. The control testing methodology consisted of generic placeholder language. When Gavigan communicated these findings to firm management, he was dismissed without payment. He stated:</w:t>
      </w:r>
      <w:r>
        <w:t xml:space="preserve"> </w:t>
      </w:r>
      <w:r>
        <w:t xml:space="preserve">“</w:t>
      </w:r>
      <w:r>
        <w:t xml:space="preserve">The Delve situation is merely scratching the surface</w:t>
      </w:r>
      <w:r>
        <w:t xml:space="preserve">”</w:t>
      </w:r>
      <w:r>
        <w:t xml:space="preserve"> </w:t>
      </w:r>
      <w:r>
        <w:t xml:space="preserve">— noting that the engagements he reviewed involved another well-known, internationally-based platform beyond Delve. It should be noted that this testimony comes from a credentialled professional who attempted to use the AICPA’s own peer review mechanism to flag the failure — and was removed for doing so. The mechanism designed to catch rubber-stamping actively suppressed the professional who identified it. The University’s own DPQ exhibits the same pathology in the opposite direction. The Delve reports were mass-produced with identical content because auditors were not independently assessing each company — they were applying a template. The University’s DPQ was completed to satisfy a process, not to assess a risk. Question 25 states</w:t>
      </w:r>
      <w:r>
        <w:t xml:space="preserve"> </w:t>
      </w:r>
      <w:r>
        <w:t xml:space="preserve">“</w:t>
      </w:r>
      <w:r>
        <w:t xml:space="preserve">picture is translated to a score, picture is not stored</w:t>
      </w:r>
      <w:r>
        <w:t xml:space="preserve">”</w:t>
      </w:r>
      <w:r>
        <w:t xml:space="preserve"> </w:t>
      </w:r>
      <w:r>
        <w:t xml:space="preserve">— a generic answer that remained unchanged in the March 2026 update even after the same document disclosed that eye colour is collected as biometric data and that the first SAR could not be fulfilled without routing student data through a personal OneDrive account outside the contracted system. Both documents — the Delve SOC 2 reports and the University’s DPQ — were produced to close a compliance gate, not to open a compliance process. The structural vulnerability this represents was documented by a credentialled practitioner before the scandal broke. Juan Carlos Munera, a Qualified Security Assessor (QSA), published an analysis on 8 March 2026 — eleven days before DeepDelver’s investigation and eighteen days before the OU’s FOI response confirmed the SOC 2 report was never obtained — warning that compliance automation platforms were producing packages that looked indistinguishable from organisations with mature security programmes. Writing from the assessor side, Munera described the operational reality:</w:t>
      </w:r>
      <w:r>
        <w:t xml:space="preserve"> </w:t>
      </w:r>
      <w:r>
        <w:t xml:space="preserve">“</w:t>
      </w:r>
      <w:r>
        <w:t xml:space="preserve">A SOC 2 report arrives, it gets filed, it satisfies a procurement requirement, and nobody reads past the opinion letter.</w:t>
      </w:r>
      <w:r>
        <w:t xml:space="preserve">”</w:t>
      </w:r>
      <w:r>
        <w:t xml:space="preserve"> </w:t>
      </w:r>
      <w:r>
        <w:t xml:space="preserve">He posed the question that the Delve scandal then made impossible to avoid:</w:t>
      </w:r>
      <w:r>
        <w:t xml:space="preserve"> </w:t>
      </w:r>
      <w:r>
        <w:t xml:space="preserve">“</w:t>
      </w:r>
      <w:r>
        <w:t xml:space="preserve">How would we know if a vendor’s compliance report was fabricated? The honest answer for most organisations is that they wouldn’t.</w:t>
      </w:r>
      <w:r>
        <w:t xml:space="preserve">”</w:t>
      </w:r>
      <w:r>
        <w:t xml:space="preserve"> </w:t>
      </w:r>
      <w:r>
        <w:t xml:space="preserve">That answer describes exactly the University’s position. The FOI response of 26 March 2026 confirmed they would not know — because they never obtained the report. No link between Meazure Learning and Delve specifically is alleged; the Delve scandal and associated testimony are cited as sector-wide evidence of the structural vulnerability that the University’s own procurement failure has left unaddressed.</w:t>
      </w:r>
    </w:p>
    <w:p>
      <w:pPr>
        <w:pStyle w:val="BodyText"/>
      </w:pPr>
      <w:r>
        <w:t xml:space="preserve">It is worth considering the University’s institutional knowledge in this context. The University’s Business School launched its BSc (Hons) Accounting and Finance degree in October 2022, specifically designed to grant graduates up to eight CIMA exam exemptions under its AICPA &amp; CIMA accreditation. The University has accepted CIMA professional qualifications for credit transfer for years, and in late 2025 reached new formal accreditation milestones, including recognition from the Institute of Chartered Accountants of Scotland, alongside its established AICPA &amp; CIMA-accredited status. AICPA &amp; CIMA is the body that both provides the professional qualifications the University markets to students and governs the SOC 2 standard the University cited as the security basis for mandatory biometric processing of those same students. Two months after launching that degree — in December 2022 — the University produced the DPQ that cited SOC 2 as met. The report that would verify that claim was never obtained. The University’s own Accounting and Finance faculty teach the governance and assurance frameworks that SOC 2 is designed to reflect. The University is not an institution unfamiliar with what an auditor’s report is, what it contains, or why it is the only mechanism by which a SOC 2 claim can be independently verified. There is no public registry of SOC 2 certifications. Unlike ISO certifications, the AICPA maintains no public database of certified organisations. The auditor’s report is the only verification mechanism that exists. The OU did not use it. The Delve investigation documented a further structural vulnerability: certification mills allegedly exploited specific state law loopholes — notably in Montana — that allow international entities to hold a US-based CPA licence without physical presence, enabling Indian operations to present as US-based audit firms to enterprise clients conducting due diligence. The University had no mechanism to detect this, because it never requested the report that would have identified the auditor. Against that background, the FOI response confirming that no SOC 2 report was ever obtained — and that the University does not ask for such reports as part of its process — requires explanation that goes beyond administrative oversight. Three explanations are possible: the University did not ask; the University asked and Meazure Learning declined to provide the report; or the University understood that citing SOC 2 in the DPQ would satisfy an internal compliance process that would not require the underlying document. None of these explanations is compatible with adequate governance of mandatory biometric data collection from thousands of students by an institution with the University’s level of professional familiarity with the standard it failed to verify. Industry guidance confirms that a fraudulently obtained certification provides zero legal protection under GDPR and may increase regulatory penalties where the relying institution had the professional knowledge to identify the red flags of a certification mill but did not verify the underlying report. The circular structure of this arrangement — in which the same body accredits the degree, governs the security standard, and licenses the auditors whose independence has been called into question — is not a coincidence of institutional geography. It is the assurance architecture that UK higher education has built around EdTech procurement. Whether that architecture is adequate is precisely the question this case study puts on the record.</w:t>
      </w:r>
    </w:p>
    <w:p>
      <w:pPr>
        <w:pStyle w:val="BodyText"/>
      </w:pPr>
      <w:r>
        <w:t xml:space="preserve">The second assurance mechanism cited by the University — SecurityScorecard — has been independently confirmed as non-functional for this purpose since before the September 2025 exam sittings began. SecurityScorecard’s own platform documentation confirms that Public Scorecards were fully deprecated on 27 August 2025 — three weeks before mandatory biometric processing commenced. The previously public-facing view of scorecards, accessible at scores.securityscorecard.io, is no longer available to the general public. SecurityScorecard’s own support documentation states that the supported replacement is a Trust Centre, and identifies the only remaining option for external parties as:</w:t>
      </w:r>
      <w:r>
        <w:t xml:space="preserve"> </w:t>
      </w:r>
      <w:r>
        <w:t xml:space="preserve">“</w:t>
      </w:r>
      <w:r>
        <w:t xml:space="preserve">Ask Meazure Learning to share their Trust Centre link with you.</w:t>
      </w:r>
      <w:r>
        <w:t xml:space="preserve">”</w:t>
      </w:r>
      <w:r>
        <w:t xml:space="preserve"> </w:t>
      </w:r>
      <w:r>
        <w:t xml:space="preserve">Meazure Learning has not set up a Trust Centre. This means that from 27 August 2025 onwards, the sole publicly accessible SecurityScorecard assurance signal for Meazure Learning has been a badge on Meazure Learning’s own compliance page that links to a deprecated system. The underlying score data is not publicly accessible without a paid SecurityScorecard Business account with API credentials. The University’s described</w:t>
      </w:r>
      <w:r>
        <w:t xml:space="preserve"> </w:t>
      </w:r>
      <w:r>
        <w:t xml:space="preserve">“</w:t>
      </w:r>
      <w:r>
        <w:t xml:space="preserve">continuous</w:t>
      </w:r>
      <w:r>
        <w:t xml:space="preserve">”</w:t>
      </w:r>
      <w:r>
        <w:t xml:space="preserve"> </w:t>
      </w:r>
      <w:r>
        <w:t xml:space="preserve">monitoring of SecurityScorecard therefore rests on either a dead public badge — which ceased to reflect live data before the first exam session — or an undisclosed paid subscription that has never been referenced in any governance document released to date. Either way, the assurance mechanism the University cited in its FOI response of 26 March 2026 was already non-functional at the point of deployment. The University mandated biometric data collection from hundreds of students on a platform for which no functioning independent security assurance existed.</w:t>
      </w:r>
    </w:p>
    <w:p>
      <w:pPr>
        <w:pStyle w:val="BodyText"/>
      </w:pPr>
      <w:r>
        <w:t xml:space="preserve">A comparison of the original DPQ (referred to in this case study as GOV-1, obtainable in full via the FOI link in the references section; the document was released after September 2025) with the updated DPQ released via FOI2026/039 (March 2026) reveals that the updated document introduced new admissions that directly contradict the questionnaire answers still sitting above them. The updated Risk Assessment tab discloses that AV recordings are retained for 12 months then held in cold storage for a further 24 months — a total of up to 36 months — while the questionnaire answers continue to state</w:t>
      </w:r>
      <w:r>
        <w:t xml:space="preserve"> </w:t>
      </w:r>
      <w:r>
        <w:t xml:space="preserve">“</w:t>
      </w:r>
      <w:r>
        <w:t xml:space="preserve">7 days for identification, 3 years invigilation audio and camera</w:t>
      </w:r>
      <w:r>
        <w:t xml:space="preserve">”</w:t>
      </w:r>
      <w:r>
        <w:t xml:space="preserve"> </w:t>
      </w:r>
      <w:r>
        <w:t xml:space="preserve">and Q25 continues to state</w:t>
      </w:r>
      <w:r>
        <w:t xml:space="preserve"> </w:t>
      </w:r>
      <w:r>
        <w:t xml:space="preserve">“</w:t>
      </w:r>
      <w:r>
        <w:t xml:space="preserve">picture is translated to a score, picture is not stored.</w:t>
      </w:r>
      <w:r>
        <w:t xml:space="preserve">”</w:t>
      </w:r>
      <w:r>
        <w:t xml:space="preserve"> </w:t>
      </w:r>
      <w:r>
        <w:t xml:space="preserve">The updated document lists eye colour as a category of biometric data — a category never disclosed to students. It admits that students cannot exercise Subject Access Rights directly in ProctorU, and that the first SAR processed required the University to route student biometric data through a personal OneDrive account — outside the contracted system. The DPQ author describes this process as</w:t>
      </w:r>
      <w:r>
        <w:t xml:space="preserve"> </w:t>
      </w:r>
      <w:r>
        <w:t xml:space="preserve">“</w:t>
      </w:r>
      <w:r>
        <w:t xml:space="preserve">very slow</w:t>
      </w:r>
      <w:r>
        <w:t xml:space="preserve">”</w:t>
      </w:r>
      <w:r>
        <w:t xml:space="preserve"> </w:t>
      </w:r>
      <w:r>
        <w:t xml:space="preserve">— their own words, in the governance document that records data subject rights as a met requirement. It discloses that ProctorU uses a third-party tool allowing remote cursor and keyboard control of student devices. None of these admissions are reflected in the questionnaire answers, the privacy notice given to students, or the University’s public communications. The document remains version 0.9. It remains unsigned. The sign-off table shows one entry dated 6 December 2022, with no approver and no review date. The Q42 Information Asset Register field continues to read:</w:t>
      </w:r>
      <w:r>
        <w:t xml:space="preserve"> </w:t>
      </w:r>
      <w:r>
        <w:t xml:space="preserve">“</w:t>
      </w:r>
      <w:r>
        <w:t xml:space="preserve">Link don’t work.</w:t>
      </w:r>
      <w:r>
        <w:t xml:space="preserve">”</w:t>
      </w:r>
      <w:r>
        <w:t xml:space="preserve"> </w:t>
      </w:r>
      <w:r>
        <w:t xml:space="preserve">This should not be read as a typographical error. It is, in four words, an accurate description of the institution’s entire governance framework: the links between policy and practice do not work, the links between documentation and implementation do not work, and the links between stated compliance and verified compliance do not work. The broken hyperlink was not fixed in the March 2026 update. It has not been fixed in 46 months of continuous processing.</w:t>
      </w:r>
    </w:p>
    <w:p>
      <w:pPr>
        <w:pStyle w:val="BodyText"/>
      </w:pPr>
      <w:r>
        <w:t xml:space="preserve">The Government Cyber Action Plan, updated January 2026, identifies cyber risk to the public sector as critically high and sets clear requirements for arm’s length bodies — including universities incorporated by Royal Charter — covering asset management, protective monitoring, and incident response. The University’s documented failures represent precisely the foundational vulnerabilities the plan identifies as systemic.</w:t>
      </w:r>
    </w:p>
    <w:bookmarkEnd w:id="29"/>
    <w:bookmarkStart w:id="30" w:name="X172ed698e1d40b03cba75c3fe04463d4b0851ea"/>
    <w:p>
      <w:pPr>
        <w:pStyle w:val="Heading2"/>
      </w:pPr>
      <w:r>
        <w:t xml:space="preserve">Section 4A: Vendor Compliance Misrepresentation — The Assurance Chain Examined</w:t>
      </w:r>
    </w:p>
    <w:p>
      <w:pPr>
        <w:pStyle w:val="FirstParagraph"/>
      </w:pPr>
      <w:r>
        <w:t xml:space="preserve">This case study examines the compliance representations made by Meazure Learning on its public-facing compliance page at meazurelearning.com/compliance, which constitutes the primary assurance document available to institutions conducting due diligence on ProctorU. It is the document a responsible procurement officer would consult to verify the platform’s claimed compliance status. An examination of that page against independently verifiable sources reveals systematic misrepresentation across four distinct assurance categories.</w:t>
      </w:r>
    </w:p>
    <w:p>
      <w:pPr>
        <w:pStyle w:val="BodyText"/>
      </w:pPr>
      <w:r>
        <w:rPr>
          <w:bCs/>
          <w:b/>
        </w:rPr>
        <w:t xml:space="preserve">SOC 2 Type II.</w:t>
      </w:r>
      <w:r>
        <w:t xml:space="preserve"> </w:t>
      </w:r>
      <w:r>
        <w:t xml:space="preserve">The compliance page asserts that Meazure Learning is SOC 2 Type II certified, having undergone an extensive third-party audit. Section 4, above, already establishes that no such report was ever obtained or requested by the University. What the compliance page adds is a fresh angle on the same failure: it names no auditor. Meazure Learning does not publicly name the CPA firm that issued their SOC 2 opinion. Legitimate top-tier SOC 2 auditors — such as Schellman or BDO — are routinely named by certified organisations as a point of professional pride. Concealing the auditor’s identity was a core tactic of the certification mills exposed in the Delve scandal, where Indian operations used NDAs to prevent clients from discovering that the signing CPA was a junior team behind a Montana shell company. Because the University never obtained the report, it has never seen the auditor’s name. FOI2026/039 asked the University directly for the name of the independent CPA firm that issued the most recent SOC 2 opinion held for Meazure Learning. The University’s statutory response was unambiguous:</w:t>
      </w:r>
      <w:r>
        <w:t xml:space="preserve"> </w:t>
      </w:r>
      <w:r>
        <w:t xml:space="preserve">“</w:t>
      </w:r>
      <w:r>
        <w:t xml:space="preserve">This information is not held.</w:t>
      </w:r>
      <w:r>
        <w:t xml:space="preserve">”</w:t>
      </w:r>
      <w:r>
        <w:t xml:space="preserve"> </w:t>
      </w:r>
      <w:r>
        <w:t xml:space="preserve">The University does not know who audited the platform processing biometric data from thousands of its students. The AICPA SOC 2 logo displayed on the compliance page is a trademarked badge that per AICPA’s own published logo guidelines may only be used by organisations with a valid SOC 2 report signed by a licensed CPA firm. If no valid independent report exists — or if the report was issued by one of the certification mills implicated in the Delve scandal — displaying the logo constitutes a potential violation of AICPA trademark and professional standards. The Open University, as an AICPA &amp; CIMA accredited institution, would be expected to know those rules. It did not ask for the document that would verify compliance with them. The AICPA is itself currently seeking public comment on proposed changes to its attestation standards — as of February 2026 — specifically to prevent offshore junior teams from performing audits without US-based CPA oversight. The regulator is acknowledging the structural failure in real time. The University’s DPQ continues to record the existing standard as met.</w:t>
      </w:r>
    </w:p>
    <w:p>
      <w:pPr>
        <w:pStyle w:val="BodyText"/>
      </w:pPr>
      <w:r>
        <w:rPr>
          <w:bCs/>
          <w:b/>
        </w:rPr>
        <w:t xml:space="preserve">SecurityScorecard.</w:t>
      </w:r>
      <w:r>
        <w:t xml:space="preserve"> </w:t>
      </w:r>
      <w:r>
        <w:t xml:space="preserve">The compliance page displays a SecurityScorecard badge as evidence of ongoing cybersecurity assurance. Section 4, above, already establishes that this badge linked to a system deprecated on 27 August 2025 — three weeks before the exam sittings it was meant to assure — and that no functioning replacement was ever set up. The point specific to the compliance page itself: it displays that badge as live assurance to any procurement officer who visits it, with nothing on the page itself disclosing that the underlying system has been dead since before the badge was last relevant to a live decision.</w:t>
      </w:r>
    </w:p>
    <w:p>
      <w:pPr>
        <w:pStyle w:val="BodyText"/>
      </w:pPr>
      <w:r>
        <w:rPr>
          <w:bCs/>
          <w:b/>
        </w:rPr>
        <w:t xml:space="preserve">1EdTech Certification.</w:t>
      </w:r>
      <w:r>
        <w:t xml:space="preserve"> </w:t>
      </w:r>
      <w:r>
        <w:t xml:space="preserve">The compliance page references IMS Global Data Privacy Certification and links to a ProctorU certification profile. The 1EdTech TrustEd Apps Directory confirms as of March 2026 that the current ProctorU product has no active certifications and that ProctorU is not a member of 1EdTech. The sole certified entry in the directory is ProctorU v2020 — a product version from 2020. The current Meazure Learning products (Examity and ExamityProctoringTool) likewise carry no active certifications. The directory states explicitly:</w:t>
      </w:r>
      <w:r>
        <w:t xml:space="preserve"> </w:t>
      </w:r>
      <w:r>
        <w:t xml:space="preserve">“</w:t>
      </w:r>
      <w:r>
        <w:t xml:space="preserve">If a product is NOT listed here it has either not passed 1EdTech testing or its certification has expired.</w:t>
      </w:r>
      <w:r>
        <w:t xml:space="preserve">”</w:t>
      </w:r>
      <w:r>
        <w:t xml:space="preserve"> </w:t>
      </w:r>
      <w:r>
        <w:t xml:space="preserve">Furthermore, the vetting review for the ProctorU profile discloses that one of the three reviewers was Cory Clark, Director of Quality and Process Improvement at Meazure Learning — the vendor whose product was being assessed. The remaining reviews were conducted by Kevin Lewis, Data Privacy Officer at 1EdTech. No independent external auditor contributed to the review. The assurance framework for the product deployed to UK university students processing special category biometric data therefore rests, in part, on vendor self-assessment.</w:t>
      </w:r>
    </w:p>
    <w:p>
      <w:pPr>
        <w:pStyle w:val="BodyText"/>
      </w:pPr>
      <w:r>
        <w:rPr>
          <w:bCs/>
          <w:b/>
        </w:rPr>
        <w:t xml:space="preserve">GDPR Legal Misattribution.</w:t>
      </w:r>
      <w:r>
        <w:t xml:space="preserve"> </w:t>
      </w:r>
      <w:r>
        <w:t xml:space="preserve">The GDPR section of the compliance page displays a GDPR compliance logo that links directly to EUR-Lex CELEX reference 32018R1725. That instrument is Regulation (EU) 2018/1725 — the data protection regulation governing EU institutions and bodies in their own internal processing activities. It has no application to private commercial processors. The operative GDPR instrument applicable to commercial processors is CELEX 32016R0679 (Regulation (EU) 2016/679). A EUR-Lex search for the linked instrument in the context of obligations on private commercial processors returns no results, because no such obligation exists under that instrument. Meazure Learning’s compliance page therefore attributes its GDPR compliance to legislation that does not govern it. This misattribution would not be detected by a procurement officer following the link, as the EUR-Lex page would display a genuine EU regulation — simply not the one applicable to Meazure Learning’s processing activities.</w:t>
      </w:r>
    </w:p>
    <w:p>
      <w:pPr>
        <w:pStyle w:val="BodyText"/>
      </w:pPr>
      <w:r>
        <w:t xml:space="preserve">Taken together, these four findings reveal that the compliance page on which institutional procurement decisions were based contained a SOC 2 claim never verified by the procuring institution, a deprecated security badge, a certification that expired or lapsed for the current product version, and a GDPR compliance attribution linking to the wrong EU regulation. No independently verifiable assurance existed for the processing of biometric data belonging to Open University students at the time of the September 2025 examinations. The cumulative effect is that the due diligence ecosystem for EdTech procurement in UK higher education permitted a platform to be mandated for high-stakes biometric assessment without any functioning external verification of its compliance claims.</w:t>
      </w:r>
    </w:p>
    <w:bookmarkEnd w:id="30"/>
    <w:bookmarkStart w:id="31" w:name="X00025e2bdce4f73504891838d9e7867a0994579"/>
    <w:p>
      <w:pPr>
        <w:pStyle w:val="Heading2"/>
      </w:pPr>
      <w:r>
        <w:t xml:space="preserve">Section 5: Disability Alternatives Systematically Withheld</w:t>
      </w:r>
    </w:p>
    <w:p>
      <w:pPr>
        <w:pStyle w:val="FirstParagraph"/>
      </w:pPr>
      <w:r>
        <w:t xml:space="preserve">The alternative existed. It was granted — to every disabled student who formally asked for it. It was withheld from everyone else, who were told none existed at all. FOI2026/023 confirms it: Teams-based invigilation was granted in every recorded case where a disabled student requested it, for the exact modules and sittings other students were told had no alternative. Knowledge of disability triggers the duty to adjust under Equality Act 2010 Section 20 — not a formal request. Non-completion rates on the affected modules ran as high as 35 percent.</w:t>
      </w:r>
    </w:p>
    <w:p>
      <w:pPr>
        <w:pStyle w:val="BodyText"/>
      </w:pPr>
      <w:r>
        <w:t xml:space="preserve">The University’s own numbers on this don’t even agree with each other. FOI2026/023 put September 2025 registration for B252 at 228 students. FOI2026/044 put the entire presentation’s total at 224 — lower than the September figure alone. Two statutory responses, two different counts, no explanation.</w:t>
      </w:r>
    </w:p>
    <w:p>
      <w:pPr>
        <w:pStyle w:val="BodyText"/>
      </w:pPr>
      <w:r>
        <w:t xml:space="preserve">A separate FOI response, FOI2026/083, explains why the University cannot readily resolve a discrepancy like this one. Asked whether it holds any internal record of ProctorU examination sittings independent of the live third-party system, the University confirmed it holds</w:t>
      </w:r>
      <w:r>
        <w:t xml:space="preserve"> </w:t>
      </w:r>
      <w:r>
        <w:t xml:space="preserve">“</w:t>
      </w:r>
      <w:r>
        <w:t xml:space="preserve">no internal records of the proctoring of the examinations… independent of the live systems held by that provider on their platform ProctorU.</w:t>
      </w:r>
      <w:r>
        <w:t xml:space="preserve">”</w:t>
      </w:r>
      <w:r>
        <w:t xml:space="preserve"> </w:t>
      </w:r>
      <w:r>
        <w:t xml:space="preserve">The University’s own explanation for a related one-student sittings discrepancy between FOI2026/023 and FOI2026/044 — that a student’s status in ProctorU’s system</w:t>
      </w:r>
      <w:r>
        <w:t xml:space="preserve"> </w:t>
      </w:r>
      <w:r>
        <w:t xml:space="preserve">“</w:t>
      </w:r>
      <w:r>
        <w:t xml:space="preserve">may have moved from fulfilled (completed) status to cancelled</w:t>
      </w:r>
      <w:r>
        <w:t xml:space="preserve">”</w:t>
      </w:r>
      <w:r>
        <w:t xml:space="preserve"> </w:t>
      </w:r>
      <w:r>
        <w:t xml:space="preserve">after the fact — is only possible because no fixed, independent internal record exists to check it against. The registration-figure discrepancy above is not a transcription error on the University’s part that an underlying master record would resolve. On the University’s own account, no such master record exists.</w:t>
      </w:r>
    </w:p>
    <w:p>
      <w:pPr>
        <w:pStyle w:val="BodyText"/>
      </w:pPr>
      <w:r>
        <w:t xml:space="preserve">A named case corroborates the statistics. In a letter dated 22 March 2026, the University’s own Student Casework Manager, Richard English, confirmed to another OU student that,</w:t>
      </w:r>
      <w:r>
        <w:t xml:space="preserve"> </w:t>
      </w:r>
      <w:r>
        <w:t xml:space="preserve">“</w:t>
      </w:r>
      <w:r>
        <w:t xml:space="preserve">on the basis of your pre-evidenced medical needs, it has been exceptionally agreed to offer you an alternative assessment method</w:t>
      </w:r>
      <w:r>
        <w:t xml:space="preserve">”</w:t>
      </w:r>
      <w:r>
        <w:t xml:space="preserve"> </w:t>
      </w:r>
      <w:r>
        <w:t xml:space="preserve">for the same module, MST125, that the University’s public Help Centre lists as having no alternative to ProctorU. The letter was approved through the University’s own Tuition, Assessment, Curriculum and Quality (TACQ) function — the body responsible for assessment delivery — not an ad hoc exception outside the ordinary chain of authority. The student concerned has separately confirmed the arrangement remains in place and is now under way in the current October 2026 presentation, more than six months after the letter was issued — not a historical exception but an active, ongoing accommodation operating in parallel with the University’s public position that no alternative exists. He has also stated publicly that he considers FOI2026/023’s own count of such grants to be an undercount, and has separately asked the University to clarify it — a live, unresolved question about the disclosed figure, not a settled one. The word the University’s own letter uses for this accommodation is</w:t>
      </w:r>
      <w:r>
        <w:t xml:space="preserve"> </w:t>
      </w:r>
      <w:r>
        <w:t xml:space="preserve">“</w:t>
      </w:r>
      <w:r>
        <w:t xml:space="preserve">exceptionally.</w:t>
      </w:r>
      <w:r>
        <w:t xml:space="preserve">”</w:t>
      </w:r>
      <w:r>
        <w:t xml:space="preserve"> </w:t>
      </w:r>
      <w:r>
        <w:t xml:space="preserve">A named, TACQ-approved exception granted on request, and never disclosed as a general policy, is precisely the pattern FOI2026/023’s statistics describe.</w:t>
      </w:r>
    </w:p>
    <w:bookmarkEnd w:id="31"/>
    <w:bookmarkStart w:id="32" w:name="X48c06ae3b00b411d2f36d7b612787dd216566cd"/>
    <w:p>
      <w:pPr>
        <w:pStyle w:val="Heading2"/>
      </w:pPr>
      <w:r>
        <w:t xml:space="preserve">Section 6: The Safeguarding Gap — Domestic Examination Environments and Children</w:t>
      </w:r>
    </w:p>
    <w:p>
      <w:pPr>
        <w:pStyle w:val="FirstParagraph"/>
      </w:pPr>
      <w:r>
        <w:t xml:space="preserve">An examination centre exists to keep the exam controlled and the student safe. Remote invigilation removes both. Students sit high-stakes examinations alone in their own homes, under continuous camera surveillance, with a remote technician holding administrative access to their device. The domestic environment is beyond the institution’s direct control and may expose students to risks that examination centres are specifically designed to prevent, including coercive control, domestic abuse, and interference by household members.</w:t>
      </w:r>
    </w:p>
    <w:p>
      <w:pPr>
        <w:pStyle w:val="BodyText"/>
      </w:pPr>
      <w:r>
        <w:t xml:space="preserve">Asked directly whether it had assessed these safeguarding risks, the University has not answered.</w:t>
      </w:r>
    </w:p>
    <w:p>
      <w:pPr>
        <w:pStyle w:val="BodyText"/>
      </w:pPr>
      <w:r>
        <w:t xml:space="preserve">The University’s own DPQ contains a requirement that has never been disclosed to students or parents:</w:t>
      </w:r>
    </w:p>
    <w:p>
      <w:pPr>
        <w:pStyle w:val="BodyText"/>
      </w:pPr>
      <w:r>
        <w:t xml:space="preserve">“</w:t>
      </w:r>
      <w:r>
        <w:t xml:space="preserve">We have some students who are 16 or 17; they must have a guardian (18+) sign the agreement with the service provider, and be in the room with them during the migration.</w:t>
      </w:r>
      <w:r>
        <w:t xml:space="preserve">”</w:t>
      </w:r>
    </w:p>
    <w:p>
      <w:pPr>
        <w:pStyle w:val="BodyText"/>
      </w:pPr>
      <w:r>
        <w:t xml:space="preserve">A child aged 16 or 17 is required to have a parent sign a contract with a US surveillance company and remain physically present during the examination. No parent was ever informed of this requirement. Under the Consumer Rights Act 2015, information provided after the contract is formed is not binding unless explicitly agreed. This requirement was never disclosed and never agreed.</w:t>
      </w:r>
    </w:p>
    <w:p>
      <w:pPr>
        <w:pStyle w:val="BodyText"/>
      </w:pPr>
      <w:r>
        <w:t xml:space="preserve">The Open University has 199,475 students including students as young as 16. This undisclosed parental requirement — buried in an unsigned internal document — has never appeared in any module description, student communication, or published policy.</w:t>
      </w:r>
    </w:p>
    <w:bookmarkEnd w:id="32"/>
    <w:bookmarkStart w:id="33" w:name="Xe0a0c89167344d8abd8321087632111cb508d37"/>
    <w:p>
      <w:pPr>
        <w:pStyle w:val="Heading2"/>
      </w:pPr>
      <w:r>
        <w:t xml:space="preserve">Section 7: The Enforcement Vacuum — Regulators Without Teeth</w:t>
      </w:r>
    </w:p>
    <w:p>
      <w:pPr>
        <w:pStyle w:val="FirstParagraph"/>
      </w:pPr>
      <w:r>
        <w:t xml:space="preserve">The Information Commissioner’s Office is the designated data protection regulator with powers to fine, issue enforcement notices, and compel compliance. In November 2025, more than 70 civil society organisations — including the Open Rights Group, Big Brother Watch, Foxglove, and the Good Law Project — wrote to the Science, Innovation and Technology Committee demanding an inquiry into the ICO for collapse in enforcement activity in the public sector. According to the ICO’s own review, reported public sector data breaches grew by 11 percent after the regulator adopted its softer approach to public bodies. Data protection complaints rose by 8 percent over the same period.</w:t>
      </w:r>
    </w:p>
    <w:p>
      <w:pPr>
        <w:pStyle w:val="BodyText"/>
      </w:pPr>
      <w:r>
        <w:t xml:space="preserve">Neither side of the breach-notification transaction verifies anything. Section 11, below, shows the University could produce no written Article 33 threshold assessment for its own April 2026 phishing breach. A parallel FOI request asked the ICO — the body receiving that same notification — what it does to check it. The ICO’s own internal review response, dated 31 July 2026, answers three questions in nearly identical terms. Does the ICO record an outcome category when it first assesses a breach notification?</w:t>
      </w:r>
      <w:r>
        <w:t xml:space="preserve"> </w:t>
      </w:r>
      <w:r>
        <w:t xml:space="preserve">“</w:t>
      </w:r>
      <w:r>
        <w:t xml:space="preserve">The ICO does not record a category at the time of its initial assessment. Therefore this information is not held.</w:t>
      </w:r>
      <w:r>
        <w:t xml:space="preserve">”</w:t>
      </w:r>
      <w:r>
        <w:t xml:space="preserve"> </w:t>
      </w:r>
      <w:r>
        <w:t xml:space="preserve">Does it verify the accuracy of what it is told?</w:t>
      </w:r>
      <w:r>
        <w:t xml:space="preserve"> </w:t>
      </w:r>
      <w:r>
        <w:t xml:space="preserve">“</w:t>
      </w:r>
      <w:r>
        <w:t xml:space="preserve">This is not recorded. Therefore it is not held.</w:t>
      </w:r>
      <w:r>
        <w:t xml:space="preserve">”</w:t>
      </w:r>
      <w:r>
        <w:t xml:space="preserve"> </w:t>
      </w:r>
      <w:r>
        <w:t xml:space="preserve">Does it track any follow-up on accuracy or completeness?</w:t>
      </w:r>
      <w:r>
        <w:t xml:space="preserve"> </w:t>
      </w:r>
      <w:r>
        <w:t xml:space="preserve">“</w:t>
      </w:r>
      <w:r>
        <w:t xml:space="preserve">This is not recorded. Therefore it is not held.</w:t>
      </w:r>
      <w:r>
        <w:t xml:space="preserve">”</w:t>
      </w:r>
      <w:r>
        <w:t xml:space="preserve"> </w:t>
      </w:r>
      <w:r>
        <w:t xml:space="preserve">The internal review upheld all three answers without engaging their substance:</w:t>
      </w:r>
      <w:r>
        <w:t xml:space="preserve"> </w:t>
      </w:r>
      <w:r>
        <w:t xml:space="preserve">“</w:t>
      </w:r>
      <w:r>
        <w:t xml:space="preserve">The initial response was clear and accurate.</w:t>
      </w:r>
      <w:r>
        <w:t xml:space="preserve">”</w:t>
      </w:r>
      <w:r>
        <w:t xml:space="preserve"> </w:t>
      </w:r>
      <w:r>
        <w:t xml:space="preserve">A regulator that does not categorise, verify, or follow up on what it receives is not reviewing notifications. It is filing them.</w:t>
      </w:r>
    </w:p>
    <w:p>
      <w:pPr>
        <w:pStyle w:val="BodyText"/>
      </w:pPr>
      <w:r>
        <w:t xml:space="preserve">The gap is sharper set against the ICO’s own published standard for what a breach risk assessment should look like. The ICO’s own guidance,</w:t>
      </w:r>
      <w:r>
        <w:t xml:space="preserve"> </w:t>
      </w:r>
      <w:r>
        <w:t xml:space="preserve">“</w:t>
      </w:r>
      <w:r>
        <w:t xml:space="preserve">Understanding and assessing risk in personal data breaches,</w:t>
      </w:r>
      <w:r>
        <w:t xml:space="preserve">”</w:t>
      </w:r>
      <w:r>
        <w:t xml:space="preserve"> </w:t>
      </w:r>
      <w:r>
        <w:t xml:space="preserve">instructs organisations that discover a breach to work through seven documented steps: confirm personal information is involved, establish exactly what was breached, consider who might now hold it, work out how many people are affected, assess how seriously it will affect them, document everything else known about the breach, and only then assess the overall risk — with each step recorded as the investigation develops. This is the standard the ICO asks every controller in the country to apply and be able to evidence. It is not the standard the ICO applied to its own receipt of the University’s notification. No category recorded at initial assessment. No verification steps recorded. No follow-up recorded. The regulator publishes a seven-step documented methodology for others and confirms, in the same case, that no equivalent record exists for its own intake of a notification concerning 16,615 affected students.</w:t>
      </w:r>
    </w:p>
    <w:bookmarkEnd w:id="33"/>
    <w:bookmarkStart w:id="34" w:name="X9f272290744caeb4349757a2479faa19acd5137"/>
    <w:p>
      <w:pPr>
        <w:pStyle w:val="Heading2"/>
      </w:pPr>
      <w:r>
        <w:t xml:space="preserve">Section 8: Regulatory Architecture Failure — No Body With Cross-Cutting Remit</w:t>
      </w:r>
    </w:p>
    <w:p>
      <w:pPr>
        <w:pStyle w:val="FirstParagraph"/>
      </w:pPr>
      <w:r>
        <w:t xml:space="preserve">No single body has both the remit and the enforcement power to address the intersection of EdTech governance failure, biometric data mishandling, disability discrimination, financial irregularity, and contractual breach that this case represents.</w:t>
      </w:r>
    </w:p>
    <w:p>
      <w:pPr>
        <w:pStyle w:val="BodyText"/>
      </w:pPr>
      <w:r>
        <w:t xml:space="preserve">The Office of the Independent Adjudicator (OIA) is the designated higher education complaints body. It is funded by universities. It cannot fine. It cannot compel. It can recommend. Its complaint submission portal operates through a single-use authentication system with no persistent login and no accessible fallback. The OIA’s own annual reports document that login failures are a recurring and known problem — dedicated help pages exist for authentication difficulties — yet the system has not been made accessible. This is not a peripheral technical issue. It is a structural barrier to redress for the students most likely to need it.</w:t>
      </w:r>
    </w:p>
    <w:p>
      <w:pPr>
        <w:pStyle w:val="BodyText"/>
      </w:pPr>
      <w:r>
        <w:t xml:space="preserve">The Office for Students requires exhaustion of the OIA process before it will act on individual complaints — gated behind a body that is toothless by design and inaccessible by documented system failure.</w:t>
      </w:r>
    </w:p>
    <w:p>
      <w:pPr>
        <w:pStyle w:val="BodyText"/>
      </w:pPr>
      <w:r>
        <w:t xml:space="preserve">The Student Loans Company Investigations Team deflected a formal fraud report — documenting 1,665 students registered past the liability point with no recorded outcome — to its complaints team, removing it from the function with authority to flag payments.</w:t>
      </w:r>
    </w:p>
    <w:p>
      <w:pPr>
        <w:pStyle w:val="BodyText"/>
      </w:pPr>
      <w:r>
        <w:t xml:space="preserve">The Higher Education Freedom of Speech Act 2023 secure duty came into force on 1 August 2025. Individual enforcement through the courts remains unaffordable following ministerial amendments removing financial support for litigation. The free speech complaints scheme has no announced start date.</w:t>
      </w:r>
    </w:p>
    <w:p>
      <w:pPr>
        <w:pStyle w:val="BodyText"/>
      </w:pPr>
      <w:r>
        <w:t xml:space="preserve">The regulatory gap extends beyond domestic complaints infrastructure to the certification ecosystem underpinning EdTech procurement. The failures set out in Sections 4 and 4A point to a jurisdictional gap, not just a compliance one: no single UK body has authority over the firms issuing SOC 2 certifications relied upon by UK universities. The AICPA treats failed peer reviews as a private matter. The United Kingdom Accreditation Service (UKAS) — the sole national body for accrediting certification firms — only has authority over bodies that seek its accreditation; firms that issue certificates without UKAS accreditation operate legally but outside its oversight. The Financial Reporting Council and the Institute of Chartered Accountants in England and Wales have authority over statutory auditors, not US-linked compliance certification consultants. Certification mills of the kind documented in Sections 4 and 4A — some of which claim UK and European operations — therefore face no UK regulatory consequence for their activities in the EdTech procurement market.</w:t>
      </w:r>
    </w:p>
    <w:p>
      <w:pPr>
        <w:pStyle w:val="BodyText"/>
      </w:pPr>
      <w:r>
        <w:t xml:space="preserve">The UK Government’s Fraud Strategy 2026–2029, published on 9 March 2026, introduces a directly relevant enforcement framework. Under the Economic Crime and Corporate Transparency Act 2023, large organisations are now liable if they fail to prevent fraud by associated persons. The Open University is a large organisation. Meazure Learning is an associated person for the purposes of the platform the University mandated for high-stakes assessment. If Meazure Learning’s SOC 2 certification is found to have been issued by a certification mill operating fraudulently, the University’s failure to verify that certification — despite its institutional knowledge of the AICPA standard — is directly relevant to that liability framework. The Fraud Strategy also announces a new Online Crime Centre launching in April 2026, with a £31 million mandate specifically targeting organised fraud infrastructure, including fraudulent online assets and scam networks. The compliance page misrepresentations documented in Section 4A of this case study — a deprecated security badge, a wrong EU regulation, a lapsed certification, and an unverified SOC 2 claim — constitute precisely the category of fraudulent online infrastructure the new Centre is designed to address.</w:t>
      </w:r>
    </w:p>
    <w:p>
      <w:pPr>
        <w:pStyle w:val="BodyText"/>
      </w:pPr>
      <w:r>
        <w:t xml:space="preserve">It should be noted that the legislative and enforcement architecture to act on these failures is now in place. What is absent is a designated body with the remit to connect EdTech procurement failures to that architecture.</w:t>
      </w:r>
    </w:p>
    <w:bookmarkEnd w:id="34"/>
    <w:bookmarkStart w:id="35" w:name="X33757b75e5642295c62edccdf7c26098366608f"/>
    <w:p>
      <w:pPr>
        <w:pStyle w:val="Heading2"/>
      </w:pPr>
      <w:r>
        <w:t xml:space="preserve">Section 9: Internal Governance Frameworks — Policy Without Enforcement</w:t>
      </w:r>
    </w:p>
    <w:p>
      <w:pPr>
        <w:pStyle w:val="FirstParagraph"/>
      </w:pPr>
      <w:r>
        <w:t xml:space="preserve">The University maintains comprehensive internal governance frameworks covering risk management, data protection, safeguarding, advocacy, and assessment. All are Council-approved, regularly updated, and publicly available. None of these frameworks prevented the failures documented in this case study.</w:t>
      </w:r>
    </w:p>
    <w:p>
      <w:pPr>
        <w:pStyle w:val="BodyText"/>
      </w:pPr>
      <w:r>
        <w:t xml:space="preserve">The Risk Management Policy was updated in November 2025 — while the unsigned DPIA was still active, while the breach log had been closed without ICO notification, and while mandatory biometric data collection from thousands of students was ongoing. What changed in that update: a reference to the Strategic Portfolio Office was removed. Nothing else changed materially.</w:t>
      </w:r>
    </w:p>
    <w:p>
      <w:pPr>
        <w:pStyle w:val="BodyText"/>
      </w:pPr>
      <w:r>
        <w:t xml:space="preserve">The Advocacy Policy — approved by the Safeguarding Steering Group — explicitly provides for disabled students to have their reasonable adjustments accommodated. There is no evidence this framework was applied to the deployment of remote invigilation in domestic environments or to the non-disclosure of alternative assessment arrangements to disabled students.</w:t>
      </w:r>
    </w:p>
    <w:p>
      <w:pPr>
        <w:pStyle w:val="BodyText"/>
      </w:pPr>
      <w:r>
        <w:t xml:space="preserve">The governance failures documented in this case study did not occur in the absence of a governance framework. They occurred within one. The framework’s existence did not prevent the failures. Its repeated updating did not address them. The problem is not the absence of policy. It is the absence of independent verification that policy is being followed.</w:t>
      </w:r>
    </w:p>
    <w:bookmarkEnd w:id="35"/>
    <w:bookmarkStart w:id="36" w:name="interim-conclusion-end-of-part-i"/>
    <w:p>
      <w:pPr>
        <w:pStyle w:val="Heading2"/>
      </w:pPr>
      <w:r>
        <w:t xml:space="preserve">Interim Conclusion — End of Part I</w:t>
      </w:r>
    </w:p>
    <w:p>
      <w:pPr>
        <w:pStyle w:val="FirstParagraph"/>
      </w:pPr>
      <w:r>
        <w:t xml:space="preserve">This case study has documented systematic governance failures in the deployment of remote invigilation software at a major UK university. Every finding is grounded in the institution’s own documents, statutory FOI responses, and official records. No claim depends on assertion alone.</w:t>
      </w:r>
    </w:p>
    <w:p>
      <w:pPr>
        <w:pStyle w:val="BodyText"/>
      </w:pPr>
      <w:r>
        <w:t>The failures reveal a structural gap in the regulatory architecture that allows high-risk biometric technologies to be imposed on students — including children aged 16 and 17 — without adequate safeguards, independent oversight, or enforceable remedies. The institution deployed a platform its own governance documentation told it not to deploy. The body that administers the agreement through which the platform is offered to the sector — waiving a $10,000 implementation fee for its customers — is also the body that issues the sector’s cybersecurity advisories. The data protection regulator acknowledged non-compliance and closed the case. The complaints body is funded by the institutions it adjudicates. The quality regulator is gated behind the complaints body.</w:t>
      </w:r>
    </w:p>
    <w:p>
      <w:pPr>
        <w:pStyle w:val="BodyText"/>
      </w:pPr>
      <w:r>
        <w:t xml:space="preserve">This is not the failure of one institution. It is the failure of a system.</w:t>
      </w:r>
    </w:p>
    <w:p>
      <w:pPr>
        <w:pStyle w:val="BodyText"/>
      </w:pPr>
      <w:r>
        <w:t xml:space="preserve">Consider the full chain of assurance failure that this case study documents, starting from the SOC 2/AICPA conflict established in Section 4 and following it downstream to the sub-processor failures already documented in Section 3: the undisclosed Radius Global Solutions breach, and the OP360/iQor expansion into six non-adequate countries with no student notification and no Article 28(2) authorisation. At every node in this chain: no independent verification, no student disclosure, no UK adequacy protection, no functioning assurance mechanism. The unverified SOC 2 claim at the top of the chain means there was never any independent assurance that the sub-processor obligations flowing down it were being met. A degree accredited by the body that governs the standard. A standard cited but never verified. Sub-processors in six non-adequate countries. A ransomware breach affecting 632,204 records. An unsigned governance document that reads, in its Information Asset Register field:</w:t>
      </w:r>
      <w:r>
        <w:t xml:space="preserve"> </w:t>
      </w:r>
      <w:r>
        <w:t xml:space="preserve">“</w:t>
      </w:r>
      <w:r>
        <w:t xml:space="preserve">Link don’t work.</w:t>
      </w:r>
      <w:r>
        <w:t xml:space="preserve">”</w:t>
      </w:r>
      <w:r>
        <w:t xml:space="preserve"> </w:t>
      </w:r>
      <w:r>
        <w:t xml:space="preserve">This is the full picture. It should not be allowed to happen again.</w:t>
      </w:r>
    </w:p>
    <w:p>
      <w:pPr>
        <w:pStyle w:val="BodyText"/>
      </w:pPr>
      <w:r>
        <w:t xml:space="preserve">SOC 2 certification is a private standard set by a private membership organisation. There is no public registry of certified companies, no regulator who can verify a certificate independently, and no enforcement body if a claim is false. The only verification mechanism is the audit report itself — a private document the vendor chooses whether to share. The Open University never obtained that report. This is the equivalent of accepting a medical practitioner’s self-reported qualification without checking the GMC register — except that no GMC register exists for EdTech. One should exist.</w:t>
      </w:r>
    </w:p>
    <w:p>
      <w:pPr>
        <w:pStyle w:val="BodyText"/>
      </w:pPr>
      <w:r>
        <w:t xml:space="preserve">The same conflict identified in Section 4 bears repeating in one sentence, because it is the sharpest fact in the whole chain: the body whose name was used to help sell the degree — AICPA &amp; CIMA — is the same body whose standard was cited but never verified, and whose licensed auditors are now under investigation for fabricating the reports that constitute the only verification mechanism that standard provides. A widely cited industry summary of this arrangement describes it as a feature:</w:t>
      </w:r>
      <w:r>
        <w:t xml:space="preserve"> </w:t>
      </w:r>
      <w:r>
        <w:t xml:space="preserve">“</w:t>
      </w:r>
      <w:r>
        <w:t xml:space="preserve">Since the AICPA &amp; CIMA body both provides the professional qualifications and sets the security standards, it ensures a high level of data integrity and security for the exams you take through platforms like Meazure Learning.</w:t>
      </w:r>
      <w:r>
        <w:t xml:space="preserve">”</w:t>
      </w:r>
      <w:r>
        <w:t xml:space="preserve"> </w:t>
      </w:r>
      <w:r>
        <w:t xml:space="preserve">That characterisation should be weighed against the evidence presented in this case study.</w:t>
      </w:r>
    </w:p>
    <w:p>
      <w:pPr>
        <w:pStyle w:val="BodyText"/>
      </w:pPr>
      <w:r>
        <w:t xml:space="preserve">This matters beyond the individual case. Section 4 has already set out the scale of the Delve scandal; the point worth adding here is what happened after it broke. The AICPA has since actioned Accorp Partners — one of the certification mills named in that scandal — through its own peer review programme, finding that Accorp’s policies did not</w:t>
      </w:r>
      <w:r>
        <w:t xml:space="preserve"> </w:t>
      </w:r>
      <w:r>
        <w:t xml:space="preserve">“</w:t>
      </w:r>
      <w:r>
        <w:t xml:space="preserve">provide reasonable assurance that engagement teams acted appropriately.</w:t>
      </w:r>
      <w:r>
        <w:t xml:space="preserve">”</w:t>
      </w:r>
      <w:r>
        <w:t xml:space="preserve"> </w:t>
      </w:r>
      <w:r>
        <w:t xml:space="preserve">That is the AICPA’s own language for a firm alleged to have signed off on hundreds of pre-written SOC 2 reports. Despite that finding, Accorp Partners remains publicly operational, actively marketing SOC 2 and ISO 27001 services to new clients, with no public record of suspension or disciplinary action. A failed peer review triggers a private remediation process, not a public enforcement action. The industry operates, as one analyst put it, on a pure trust model: if you claim an AICPA-accredited auditor, no one verifies. No link between Meazure Learning and the implicated firms is alleged. The structural point stands: the OU cited a standard it never verified, administered by a body whose oversight failed at the precise moment those mechanisms were under active public scrutiny for systemic failure.</w:t>
      </w:r>
    </w:p>
    <w:bookmarkEnd w:id="36"/>
    <w:bookmarkEnd w:id="37"/>
    <w:bookmarkStart w:id="43" w:name="part-ii-new-evidence-apriljuly-2026"/>
    <w:p>
      <w:pPr>
        <w:pStyle w:val="Heading1"/>
      </w:pPr>
      <w:r>
        <w:t xml:space="preserve">PART II — NEW EVIDENCE (April–July 2026)</w:t>
      </w:r>
    </w:p>
    <w:bookmarkStart w:id="38" w:name="X6ebe0ed87246ff4115f00f86395b2a92490bc47"/>
    <w:p>
      <w:pPr>
        <w:pStyle w:val="Heading2"/>
      </w:pPr>
      <w:r>
        <w:t xml:space="preserve">Section 10: The University’s Own Written Admission — Consent Is Not Freely Given Where No Alternative Exists</w:t>
      </w:r>
    </w:p>
    <w:p>
      <w:pPr>
        <w:pStyle w:val="FirstParagraph"/>
      </w:pPr>
      <w:r>
        <w:t xml:space="preserve">The University did not need to be caught. It told Parliament the rule itself.</w:t>
      </w:r>
    </w:p>
    <w:p>
      <w:pPr>
        <w:pStyle w:val="BodyText"/>
      </w:pPr>
      <w:r>
        <w:t xml:space="preserve">In May 2026 the University submitted its own written evidence to this same Committee (reference AIE0218, contact Louis Trupia-Melluish). Paragraph 16 states, in the University’s own words:</w:t>
      </w:r>
    </w:p>
    <w:p>
      <w:pPr>
        <w:pStyle w:val="BodyText"/>
      </w:pPr>
      <w:r>
        <w:t xml:space="preserve">“</w:t>
      </w:r>
      <w:r>
        <w:t xml:space="preserve">Consent is another option but raises issues about validity, particularly for younger students or where no genuine alternative to AI-enabled services exists… Consent would not be regarded as</w:t>
      </w:r>
      <w:r>
        <w:t xml:space="preserve"> </w:t>
      </w:r>
      <w:r>
        <w:t xml:space="preserve">‘</w:t>
      </w:r>
      <w:r>
        <w:t xml:space="preserve">freely given</w:t>
      </w:r>
      <w:r>
        <w:t xml:space="preserve">’</w:t>
      </w:r>
      <w:r>
        <w:t xml:space="preserve"> </w:t>
      </w:r>
      <w:r>
        <w:t xml:space="preserve">where people have no real choice and should not therefore be relied on.</w:t>
      </w:r>
      <w:r>
        <w:t xml:space="preserve">”</w:t>
      </w:r>
    </w:p>
    <w:p>
      <w:pPr>
        <w:pStyle w:val="BodyText"/>
      </w:pPr>
      <w:r>
        <w:t xml:space="preserve">Read that twice. This is not an outside lawyer’s theory of Article 7(4). It is the University’s own statement of when consent fails — submitted in its own name, to Parliament, as guidance for how the sector should be regulated.</w:t>
      </w:r>
    </w:p>
    <w:p>
      <w:pPr>
        <w:pStyle w:val="BodyText"/>
      </w:pPr>
      <w:r>
        <w:t xml:space="preserve">Now apply it. The University’s own Help Centre states there is no alternative to an online invigilated examination for the modules at issue — public, live, unchanged. The platform vendor’s own Terms of Service make acceptance a condition of entry:</w:t>
      </w:r>
      <w:r>
        <w:t xml:space="preserve"> </w:t>
      </w:r>
      <w:r>
        <w:t xml:space="preserve">“</w:t>
      </w:r>
      <w:r>
        <w:t xml:space="preserve">You are not authorized to access or use the Site unless and until you accept these Terms,</w:t>
      </w:r>
      <w:r>
        <w:t xml:space="preserve">”</w:t>
      </w:r>
      <w:r>
        <w:t xml:space="preserve"> </w:t>
      </w:r>
      <w:r>
        <w:t xml:space="preserve">with no route to decline and still sit the exam — also public, also unchanged.</w:t>
      </w:r>
    </w:p>
    <w:p>
      <w:pPr>
        <w:pStyle w:val="BodyText"/>
      </w:pPr>
      <w:r>
        <w:t xml:space="preserve">No real choice. No alternative. Consent given anyway, and relied on anyway. The University wrote the test. The University’s own public documents fail it. This case study does not ask anyone to referee a contested reading of GDPR. It asks that the University be held to the standard the University itself proposed.</w:t>
      </w:r>
    </w:p>
    <w:p>
      <w:pPr>
        <w:pStyle w:val="BodyText"/>
      </w:pPr>
      <w:r>
        <w:t xml:space="preserve">The facts, restated as the syllogism they are. Major premise, in the University’s own words, published to Parliament: consent obtained where no genuine alternative exists is not freely given, and should not be relied on. Minor premise, in the University’s own published Help Centre policy: no alternative exists for the modules at issue. Conclusion, unavoidable on the University’s own terms and the University’s own public documents: consent obtained under that policy was not freely given.</w:t>
      </w:r>
    </w:p>
    <w:p>
      <w:pPr>
        <w:pStyle w:val="BodyText"/>
      </w:pPr>
      <w:r>
        <w:t xml:space="preserve">The major premise is not only the University’s own; it is also the regulator’s, and it predates the deployment. The ICO’s own published guidance on biometric data, current from 15 April 2025 — four months before the September 2025 examinations this case study examines — states in terms:</w:t>
      </w:r>
      <w:r>
        <w:t xml:space="preserve"> </w:t>
      </w:r>
      <w:r>
        <w:t xml:space="preserve">“</w:t>
      </w:r>
      <w:r>
        <w:t xml:space="preserve">You must offer a suitable alternative to people who choose not to consent. Otherwise, people do not have a real choice.</w:t>
      </w:r>
      <w:r>
        <w:t xml:space="preserve">”</w:t>
      </w:r>
      <w:r>
        <w:t xml:space="preserve"> </w:t>
      </w:r>
      <w:r>
        <w:t xml:space="preserve">The same guidance specifically flags the risk for institutions like the University:</w:t>
      </w:r>
      <w:r>
        <w:t xml:space="preserve"> </w:t>
      </w:r>
      <w:r>
        <w:t xml:space="preserve">“</w:t>
      </w:r>
      <w:r>
        <w:t xml:space="preserve">This is particularly an issue for public authorities… anyone who depends on your services, or fears adverse consequences if they refuse, may feel they have no choice but to agree.</w:t>
      </w:r>
      <w:r>
        <w:t xml:space="preserve">”</w:t>
      </w:r>
      <w:r>
        <w:t xml:space="preserve"> </w:t>
      </w:r>
      <w:r>
        <w:t xml:space="preserve">The University’s own written position to Parliament a year later restates a standard its own sector regulator had already published, in similar terms, before a single student sat the exams at issue.</w:t>
      </w:r>
    </w:p>
    <w:p>
      <w:pPr>
        <w:pStyle w:val="BodyText"/>
      </w:pPr>
      <w:r>
        <w:rPr>
          <w:bCs/>
          <w:b/>
        </w:rPr>
        <w:t xml:space="preserve">Secondary finding — equality impact assessment.</w:t>
      </w:r>
      <w:r>
        <w:t xml:space="preserve"> </w:t>
      </w:r>
      <w:r>
        <w:t xml:space="preserve">The same evidence states, at paragraph 33:</w:t>
      </w:r>
      <w:r>
        <w:t xml:space="preserve"> </w:t>
      </w:r>
      <w:r>
        <w:t xml:space="preserve">“</w:t>
      </w:r>
      <w:r>
        <w:t xml:space="preserve">There is currently no sector-wide standard for equality impact assessment in the adoption of AI in education… Institutions are making significant procurement and deployment decisions without consistent guidance on how to evaluate whether AI tools serve all their students fairly.</w:t>
      </w:r>
      <w:r>
        <w:t xml:space="preserve">”</w:t>
      </w:r>
      <w:r>
        <w:t xml:space="preserve"> </w:t>
      </w:r>
      <w:r>
        <w:t xml:space="preserve">Read alongside Part I, Section 5 — which documents, from FOI2026/023, that a disability-based alternative to the same platform was granted in every recorded case where a disabled student formally requested one — this is the University’s own acknowledgement, in general terms, of the absence of the kind of structured equality analysis that would be needed to justify that differential treatment on a principled rather than ad hoc basis.</w:t>
      </w:r>
    </w:p>
    <w:bookmarkEnd w:id="38"/>
    <w:bookmarkStart w:id="39" w:name="Xfcd02e22e51ae9fd6f5e84f404876c4fa5a4c4e"/>
    <w:p>
      <w:pPr>
        <w:pStyle w:val="Heading2"/>
      </w:pPr>
      <w:r>
        <w:t xml:space="preserve">Section 11: The Personal-Data Delivery Reversal</w:t>
      </w:r>
    </w:p>
    <w:p>
      <w:pPr>
        <w:pStyle w:val="FirstParagraph"/>
      </w:pPr>
      <w:r>
        <w:t xml:space="preserve">The University was asked a direct question and gave a narrow answer designed to survive scrutiny without answering it. It took a second, contested disclosure round to get the truth.</w:t>
      </w:r>
    </w:p>
    <w:p>
      <w:pPr>
        <w:pStyle w:val="BodyText"/>
      </w:pPr>
      <w:r>
        <w:t xml:space="preserve">A phishing incident (internal reference 2026-173) was identified internally on 1 April 2026 and reported to the ICO the next day. The University’s own disclosures confirm 36,000 students and staff were targeted; 16,615 students received the email.</w:t>
      </w:r>
    </w:p>
    <w:p>
      <w:pPr>
        <w:pStyle w:val="BodyText"/>
      </w:pPr>
      <w:r>
        <w:t xml:space="preserve">A subsequent FOI request (FOI2026/088) asked whether any mechanism existed by which the University delivers emails to students’ personal, non-institutional email addresses. The University’s initial response denied any such mechanism, but the denial was scoped narrowly to Outlook account forwarding only. Following an internal review, a further response (FOI2026/109, answered 1 July 2026 by a different named officer) reversed this position: the University confirmed that it</w:t>
      </w:r>
      <w:r>
        <w:t xml:space="preserve"> </w:t>
      </w:r>
      <w:r>
        <w:t xml:space="preserve">“</w:t>
      </w:r>
      <w:r>
        <w:t xml:space="preserve">operates systems that deliver emails to students[’] registered personal email addresses,</w:t>
      </w:r>
      <w:r>
        <w:t xml:space="preserve">”</w:t>
      </w:r>
      <w:r>
        <w:t xml:space="preserve"> </w:t>
      </w:r>
      <w:r>
        <w:t xml:space="preserve">that the personal address is added by the originating system automatically at the point of dispatch as a designed feature (not an incidental fault), and that those systems were active on 1 April 2026 — the date of the phishing incident.</w:t>
      </w:r>
    </w:p>
    <w:p>
      <w:pPr>
        <w:pStyle w:val="BodyText"/>
      </w:pPr>
      <w:r>
        <w:t xml:space="preserve">The same FOI response further confirmed that no written Article 33 threshold assessment (the statutory assessment of whether a personal data breach must be notified to the regulator) exists for this incident at all — directly contradicting an earlier FOI response (FOI2026/066) which had stated that such an assessment was</w:t>
      </w:r>
      <w:r>
        <w:t xml:space="preserve"> </w:t>
      </w:r>
      <w:r>
        <w:t xml:space="preserve">“</w:t>
      </w:r>
      <w:r>
        <w:t xml:space="preserve">completed</w:t>
      </w:r>
      <w:r>
        <w:t xml:space="preserve">”</w:t>
      </w:r>
      <w:r>
        <w:t xml:space="preserve"> </w:t>
      </w:r>
      <w:r>
        <w:t xml:space="preserve">on 2 April 2026. The University’s position is now that the threshold decision was</w:t>
      </w:r>
      <w:r>
        <w:t xml:space="preserve"> </w:t>
      </w:r>
      <w:r>
        <w:t xml:space="preserve">“</w:t>
      </w:r>
      <w:r>
        <w:t xml:space="preserve">implicit</w:t>
      </w:r>
      <w:r>
        <w:t xml:space="preserve">”</w:t>
      </w:r>
      <w:r>
        <w:t xml:space="preserve"> </w:t>
      </w:r>
      <w:r>
        <w:t xml:space="preserve">from the fact that notification was in fact made, and was informally</w:t>
      </w:r>
      <w:r>
        <w:t xml:space="preserve"> </w:t>
      </w:r>
      <w:r>
        <w:t xml:space="preserve">“</w:t>
      </w:r>
      <w:r>
        <w:t xml:space="preserve">explored</w:t>
      </w:r>
      <w:r>
        <w:t xml:space="preserve">”</w:t>
      </w:r>
      <w:r>
        <w:t xml:space="preserve"> </w:t>
      </w:r>
      <w:r>
        <w:t xml:space="preserve">with the internal information-security function without being documented.</w:t>
      </w:r>
    </w:p>
    <w:p>
      <w:pPr>
        <w:pStyle w:val="BodyText"/>
      </w:pPr>
      <w:r>
        <w:t xml:space="preserve">This sequence is not a technicality. First: no mechanism exists. Then, under pressure: yes, one exists, and it was built to work this way. Then, on the question of whether the University even checked whether the law required it to tell the regulator: no assessment exists, and the earlier claim that one had been</w:t>
      </w:r>
      <w:r>
        <w:t xml:space="preserve"> </w:t>
      </w:r>
      <w:r>
        <w:t xml:space="preserve">“</w:t>
      </w:r>
      <w:r>
        <w:t xml:space="preserve">completed</w:t>
      </w:r>
      <w:r>
        <w:t xml:space="preserve">”</w:t>
      </w:r>
      <w:r>
        <w:t xml:space="preserve"> </w:t>
      </w:r>
      <w:r>
        <w:t xml:space="preserve">was false. Three questions, three answers, three reversals — each only after the first answer was challenged. This is not how a governance function tells the truth the first time. It is how one is compelled to.</w:t>
      </w:r>
    </w:p>
    <w:p>
      <w:pPr>
        <w:pStyle w:val="BodyText"/>
      </w:pPr>
      <w:r>
        <w:t xml:space="preserve">Section 173 of the Data Protection Act 2018 makes it an offence to alter, deface, block, erase, destroy, or conceal information with the intention of preventing its disclosure following a data subject’s exercise of their access rights. This case study does not allege that offence: nothing in the public record establishes intent, and intent is the element the statute requires. What the public record does establish is the sequence above — a statutory assessment represented as</w:t>
      </w:r>
      <w:r>
        <w:t xml:space="preserve"> </w:t>
      </w:r>
      <w:r>
        <w:t xml:space="preserve">“</w:t>
      </w:r>
      <w:r>
        <w:t xml:space="preserve">completed</w:t>
      </w:r>
      <w:r>
        <w:t xml:space="preserve">”</w:t>
      </w:r>
      <w:r>
        <w:t xml:space="preserve"> </w:t>
      </w:r>
      <w:r>
        <w:t xml:space="preserve">that, on the University’s own later account, never existed in writing, disclosed only after a contradictory earlier answer was challenged. Whether that sequence falls within Section 173, or is capable of being investigated as such, is a question for the Information Commissioner, not a finding this case study makes.</w:t>
      </w:r>
    </w:p>
    <w:bookmarkEnd w:id="39"/>
    <w:bookmarkStart w:id="40" w:name="Xfa36906d12e1d707ff9be0f1ded8ba6bcad2b6f"/>
    <w:p>
      <w:pPr>
        <w:pStyle w:val="Heading2"/>
      </w:pPr>
      <w:r>
        <w:t xml:space="preserve">Section 12: The State Bar of California’s Settlement With Meazure Learning — and What Isn’t Settled</w:t>
      </w:r>
    </w:p>
    <w:p>
      <w:pPr>
        <w:pStyle w:val="FirstParagraph"/>
      </w:pPr>
      <w:r>
        <w:t xml:space="preserve">One lawsuit against Meazure Learning has ended. Others have not.</w:t>
      </w:r>
    </w:p>
    <w:p>
      <w:pPr>
        <w:pStyle w:val="BodyText"/>
      </w:pPr>
      <w:r>
        <w:t xml:space="preserve">Part I referred to the State Bar of California’s amended complaint against Meazure Learning, filed 11 March 2026. That specific case concluded on 13 July 2026: Meazure Learning agreed to pay $5,250,000 in cash and waive $1,360,000 in outstanding invoices — $6.61 million combined, settled without admitting liability.</w:t>
      </w:r>
    </w:p>
    <w:p>
      <w:pPr>
        <w:pStyle w:val="BodyText"/>
      </w:pPr>
      <w:r>
        <w:t xml:space="preserve">Read what the State Bar’s own complaint alleged before that settlement was reached. Fraudulent inducement and concealment. False promise. Negligent misrepresentation. Breach of contract. Breach of the implied covenant of good faith and fair dealing. Punitive damages were sought — conduct pleaded at the level of fraud or malice, not ordinary negligence. The State Bar’s own account states that discovery showed Meazure Learning</w:t>
      </w:r>
      <w:r>
        <w:t xml:space="preserve"> </w:t>
      </w:r>
      <w:r>
        <w:t xml:space="preserve">“</w:t>
      </w:r>
      <w:r>
        <w:t xml:space="preserve">was making false promises it knew it was unable to deliver on,</w:t>
      </w:r>
      <w:r>
        <w:t xml:space="preserve">”</w:t>
      </w:r>
      <w:r>
        <w:t xml:space="preserve"> </w:t>
      </w:r>
      <w:r>
        <w:t xml:space="preserve">and that it</w:t>
      </w:r>
      <w:r>
        <w:t xml:space="preserve"> </w:t>
      </w:r>
      <w:r>
        <w:t xml:space="preserve">“</w:t>
      </w:r>
      <w:r>
        <w:t xml:space="preserve">deliberately hid information from the State Bar</w:t>
      </w:r>
      <w:r>
        <w:t xml:space="preserve">”</w:t>
      </w:r>
      <w:r>
        <w:t xml:space="preserve"> </w:t>
      </w:r>
      <w:r>
        <w:t xml:space="preserve">about platform failures a November 2024 test run had already surfaced, months before the platform collapsed at scale during the February 2025 examination. Meazure Learning’s own employees raised internal doubts as early as September 2024 — the same month the University at the centre of this case study began deploying the same platform, from the same vendor, for mandatory high-stakes UK assessment.</w:t>
      </w:r>
    </w:p>
    <w:p>
      <w:pPr>
        <w:pStyle w:val="BodyText"/>
      </w:pPr>
      <w:r>
        <w:t xml:space="preserve">That settlement resolves one lawsuit. A second, separate action has since resolved too. Perjanik et al. v. ProctorU, Inc. d/b/a Meazure Learning — filed 27 February 2025 as Case No. 3:25-cv-02095 (N.D. Cal.) on behalf of a nationwide class of approximately 5,600 February 2025 California Bar Exam takers, later consolidated with two related actions and proceeding as 4:25-cv-02095-JST before Judge Jon S. Tigar — alleged breach of express and implied warranty, violation of California’s Song-Beverly Consumer Warranty Act and Consumer Legal Remedies Act, unfair competition, unjust enrichment, and negligent infliction of emotional distress, arising from the same platform collapse. A motion for preliminary settlement approval was filed 18 September 2026: a reported $1.35 million resolution covering a 4,100-member class, a minimum $153 refund per claimant, up to $450,000 in attorneys’ fees, roughly $28,000 in mediation and administration costs, and $10,000 incentive payments to each of seven named plaintiffs. Meazure Learning’s spokesperson stated the company</w:t>
      </w:r>
      <w:r>
        <w:t xml:space="preserve"> </w:t>
      </w:r>
      <w:r>
        <w:t xml:space="preserve">“</w:t>
      </w:r>
      <w:r>
        <w:t xml:space="preserve">vigorously defended against the claims and continues to deny any liability or wrongdoing,</w:t>
      </w:r>
      <w:r>
        <w:t xml:space="preserve">”</w:t>
      </w:r>
      <w:r>
        <w:t xml:space="preserve"> </w:t>
      </w:r>
      <w:r>
        <w:t xml:space="preserve">but</w:t>
      </w:r>
      <w:r>
        <w:t xml:space="preserve"> </w:t>
      </w:r>
      <w:r>
        <w:t xml:space="preserve">“</w:t>
      </w:r>
      <w:r>
        <w:t xml:space="preserve">agreed to a settlement to avoid the time, expense and distraction of protracted litigation,</w:t>
      </w:r>
      <w:r>
        <w:t xml:space="preserve">”</w:t>
      </w:r>
      <w:r>
        <w:t xml:space="preserve"> </w:t>
      </w:r>
      <w:r>
        <w:t xml:space="preserve">adding that it</w:t>
      </w:r>
      <w:r>
        <w:t xml:space="preserve"> </w:t>
      </w:r>
      <w:r>
        <w:t xml:space="preserve">“</w:t>
      </w:r>
      <w:r>
        <w:t xml:space="preserve">proudly stands behind</w:t>
      </w:r>
      <w:r>
        <w:t xml:space="preserve">”</w:t>
      </w:r>
      <w:r>
        <w:t xml:space="preserve"> </w:t>
      </w:r>
      <w:r>
        <w:t xml:space="preserve">a record of</w:t>
      </w:r>
      <w:r>
        <w:t xml:space="preserve"> </w:t>
      </w:r>
      <w:r>
        <w:t xml:space="preserve">“</w:t>
      </w:r>
      <w:r>
        <w:t xml:space="preserve">reliably administering over 4 million exams annually</w:t>
      </w:r>
      <w:r>
        <w:t xml:space="preserve">”</w:t>
      </w:r>
      <w:r>
        <w:t xml:space="preserve"> </w:t>
      </w:r>
      <w:r>
        <w:t xml:space="preserve">over more than 20 years. The same vendor whose platform this case study documents as mandatory for UK students has now settled, without admitting fault, two separate US actions alleging it knew its platform could not do what it promised. None of that history has been shown to have been disclosed to the UK students required to use the same platform.</w:t>
      </w:r>
    </w:p>
    <w:p>
      <w:pPr>
        <w:pStyle w:val="BodyText"/>
      </w:pPr>
      <w:r>
        <w:t xml:space="preserve">The settlement’s data-handling terms are, separately, a useful benchmark. Meazure Learning was required to transfer scheduling and registration data, examination responses, proctor communications, support tickets, and examination video recordings to the State Bar, and thereafter to use</w:t>
      </w:r>
      <w:r>
        <w:t xml:space="preserve"> </w:t>
      </w:r>
      <w:r>
        <w:t xml:space="preserve">“</w:t>
      </w:r>
      <w:r>
        <w:t xml:space="preserve">reasonable efforts</w:t>
      </w:r>
      <w:r>
        <w:t xml:space="preserve">”</w:t>
      </w:r>
      <w:r>
        <w:t xml:space="preserve"> </w:t>
      </w:r>
      <w:r>
        <w:t xml:space="preserve">to permanently delete its own copies within 21 days, except where law requires retention (Part I, Sections 2 and 3, on retention and sub-processor governance). This shows what a sophisticated institutional client was able to negotiate for data return and deletion. The University’s own arrangements, by comparison, remain undisclosed.</w:t>
      </w:r>
    </w:p>
    <w:p>
      <w:pPr>
        <w:pStyle w:val="BodyText"/>
      </w:pPr>
      <w:r>
        <w:rPr>
          <w:bCs/>
          <w:b/>
        </w:rPr>
        <w:t xml:space="preserve">What California’s own state auditor found — and what it didn’t.</w:t>
      </w:r>
      <w:r>
        <w:t xml:space="preserve"> </w:t>
      </w:r>
      <w:r>
        <w:t xml:space="preserve">A California State Auditor report (2025-051, published 9 July 2026) examined the February 2025 exam-day collapse and found the root cause to be the State Bar’s own poor implementation planning. The auditor did not audit or interview Meazure Learning. The claim that circulated in media coverage — that students saw each other’s answers — does not appear anywhere in the auditor’s own report.</w:t>
      </w:r>
    </w:p>
    <w:p>
      <w:pPr>
        <w:pStyle w:val="BodyText"/>
      </w:pPr>
      <w:r>
        <w:t xml:space="preserve">What the report does establish, in the State Bar’s own contemporaneous records: Meazure Learning blamed the exam-day failure on an AWS outage at its hosting provider. The State Bar checked AWS’s own public status page and found no record of any outage that day. Meazure Learning</w:t>
      </w:r>
      <w:r>
        <w:t xml:space="preserve"> </w:t>
      </w:r>
      <w:r>
        <w:t xml:space="preserve">“</w:t>
      </w:r>
      <w:r>
        <w:t xml:space="preserve">provided no evidence</w:t>
      </w:r>
      <w:r>
        <w:t xml:space="preserve">”</w:t>
      </w:r>
      <w:r>
        <w:t xml:space="preserve"> </w:t>
      </w:r>
      <w:r>
        <w:t xml:space="preserve">to support the claim. Separately, Meazure Learning’s contract admitted, at signing, that its platform could not deliver a highlighting function the performance-test portion of the exam required — a third-party tool was not even contracted until four days before the exam, and was not integrated until the day before the mock sittings. More than two-thirds of the post-exam survey respondents reported copy-paste failures; about half reported highlight and strikethrough failures. And months before any of it, in September 2024, Meazure Learning told the State Bar it had run 25,000 test-takers through the platform in a single two-day period with no issues — the same month it was separately being onboarded, without independent verification, by the University at the centre of this case study.</w:t>
      </w:r>
    </w:p>
    <w:bookmarkEnd w:id="40"/>
    <w:bookmarkStart w:id="41" w:name="Xa500f5903d81e89d86d4fbe2b67e65af4651e9d"/>
    <w:p>
      <w:pPr>
        <w:pStyle w:val="Heading2"/>
      </w:pPr>
      <w:r>
        <w:t xml:space="preserve">Section 13: The Vendor’s Own Current Documentation</w:t>
      </w:r>
    </w:p>
    <w:p>
      <w:pPr>
        <w:pStyle w:val="FirstParagraph"/>
      </w:pPr>
      <w:r>
        <w:t xml:space="preserve">Read what the vendor promises itself, in writing, and compare it to what students are told.</w:t>
      </w:r>
    </w:p>
    <w:p>
      <w:pPr>
        <w:pStyle w:val="BodyText"/>
      </w:pPr>
      <w:r>
        <w:rPr>
          <w:bCs/>
          <w:b/>
        </w:rPr>
        <w:t xml:space="preserve">Terms of Service (last updated 6 May 2026).</w:t>
      </w:r>
      <w:r>
        <w:t xml:space="preserve"> </w:t>
      </w:r>
      <w:r>
        <w:t xml:space="preserve">Meazure Learning disclaims any warranty that its own platform</w:t>
      </w:r>
      <w:r>
        <w:t xml:space="preserve"> </w:t>
      </w:r>
      <w:r>
        <w:t xml:space="preserve">“</w:t>
      </w:r>
      <w:r>
        <w:t xml:space="preserve">will be accurate, reliable, error-free, or uninterrupted.</w:t>
      </w:r>
      <w:r>
        <w:t xml:space="preserve">”</w:t>
      </w:r>
      <w:r>
        <w:t xml:space="preserve"> </w:t>
      </w:r>
      <w:r>
        <w:t xml:space="preserve">It disclaims liability for equipment or network malfunction during a test-taker’s session. And it makes acceptance non-negotiable:</w:t>
      </w:r>
      <w:r>
        <w:t xml:space="preserve"> </w:t>
      </w:r>
      <w:r>
        <w:t xml:space="preserve">“</w:t>
      </w:r>
      <w:r>
        <w:t xml:space="preserve">You are not authorized to access or use the Site unless and until you accept these Terms</w:t>
      </w:r>
      <w:r>
        <w:t xml:space="preserve">”</w:t>
      </w:r>
      <w:r>
        <w:t xml:space="preserve"> </w:t>
      </w:r>
      <w:r>
        <w:t xml:space="preserve">— no route to decline and still sit the exam. Disputes now go to binding individual arbitration under Virginia law, jury trial and class relief waived. An earlier version of the same Terms, obtained separately, had none of that: no arbitration clause, Alabama law, a different registered address again. Students already enrolled were moved from ordinary civil jurisdiction into binding US arbitration with no apparent specific notice that it had happened.</w:t>
      </w:r>
    </w:p>
    <w:p>
      <w:pPr>
        <w:pStyle w:val="BodyText"/>
      </w:pPr>
      <w:r>
        <w:t xml:space="preserve">It gets worse. As of the most recent check, the University’s own Help Centre still serves students the old version — the one without the arbitration clause, under the superseded law. The document a UK student is sent to when they want to understand what they’ve agreed to is not the document that actually governs them.</w:t>
      </w:r>
    </w:p>
    <w:p>
      <w:pPr>
        <w:pStyle w:val="BodyText"/>
      </w:pPr>
      <w:r>
        <w:rPr>
          <w:bCs/>
          <w:b/>
        </w:rPr>
        <w:t xml:space="preserve">Privacy Policy — what quietly disappeared between November 2025 and May 2026.</w:t>
      </w:r>
      <w:r>
        <w:t xml:space="preserve"> </w:t>
      </w:r>
      <w:r>
        <w:t xml:space="preserve">A capture of Meazure Learning’s Privacy Policy from November 2025, compared directly against the version live on 6 May 2026, shows two changes that were never announced as changes. First: the November 2025 version pledged, in terms, that</w:t>
      </w:r>
      <w:r>
        <w:t xml:space="preserve"> </w:t>
      </w:r>
      <w:r>
        <w:t xml:space="preserve">“</w:t>
      </w:r>
      <w:r>
        <w:t xml:space="preserve">Meazure does not sell, lease, trade, or otherwise profit from individuals’ biometric data.</w:t>
      </w:r>
      <w:r>
        <w:t xml:space="preserve">”</w:t>
      </w:r>
      <w:r>
        <w:t xml:space="preserve"> </w:t>
      </w:r>
      <w:r>
        <w:t xml:space="preserve">That sentence is gone from the May 2026 version. Nothing replaces it. Second: the November 2025 version’s own CCPA disclosure chart stated the company does</w:t>
      </w:r>
      <w:r>
        <w:t xml:space="preserve"> </w:t>
      </w:r>
      <w:r>
        <w:t xml:space="preserve">“</w:t>
      </w:r>
      <w:r>
        <w:t xml:space="preserve">not collect… racial or ethnic origin</w:t>
      </w:r>
      <w:r>
        <w:t xml:space="preserve">”</w:t>
      </w:r>
      <w:r>
        <w:t xml:space="preserve"> </w:t>
      </w:r>
      <w:r>
        <w:t xml:space="preserve">from test-takers. The May 2026 version reverses this outright, adding racial and ethnic origin to a newly created</w:t>
      </w:r>
      <w:r>
        <w:t xml:space="preserve"> </w:t>
      </w:r>
      <w:r>
        <w:t xml:space="preserve">“</w:t>
      </w:r>
      <w:r>
        <w:t xml:space="preserve">Sensitive Personal Information</w:t>
      </w:r>
      <w:r>
        <w:t xml:space="preserve">”</w:t>
      </w:r>
      <w:r>
        <w:t xml:space="preserve"> </w:t>
      </w:r>
      <w:r>
        <w:t xml:space="preserve">category. A company does not accidentally start collecting a special category of data it previously told the public it did not collect. The same May 2026 update quietly adds tracking pixels and, for the first time, an explicit denial that the company engages in automated decision-making with legally significant effects — alongside the AI-training disclosure for support-chat content examined in full, against the Department for Education’s own product safety standard, in Section 3 above. Whether that denial is accurate is a question this case study does not resolve. What it establishes is that the company added it, in the same update that removed a promise not to profit from biometric data and reversed a denial about collecting racial data. The State Bar of California settlement (13 July 2026) came after this policy change; the original lawsuit (filed 5 May 2025) and the amended complaint (11 March 2026) both came before it.</w:t>
      </w:r>
    </w:p>
    <w:p>
      <w:pPr>
        <w:pStyle w:val="BodyText"/>
      </w:pPr>
      <w:r>
        <w:rPr>
          <w:bCs/>
          <w:b/>
        </w:rPr>
        <w:t xml:space="preserve">Data Processing Addendum and Standard Contractual Clauses.</w:t>
      </w:r>
      <w:r>
        <w:t xml:space="preserve"> </w:t>
      </w:r>
      <w:r>
        <w:t xml:space="preserve">The vendor’s own DPA states plainly that the data transferred includes</w:t>
      </w:r>
      <w:r>
        <w:t xml:space="preserve"> </w:t>
      </w:r>
      <w:r>
        <w:t xml:space="preserve">“</w:t>
      </w:r>
      <w:r>
        <w:t xml:space="preserve">video images revealing racial or ethnic origin, biometric data, health data.</w:t>
      </w:r>
      <w:r>
        <w:t xml:space="preserve">”</w:t>
      </w:r>
      <w:r>
        <w:t xml:space="preserve"> </w:t>
      </w:r>
      <w:r>
        <w:t xml:space="preserve">It says biometric data is deleted</w:t>
      </w:r>
      <w:r>
        <w:t xml:space="preserve"> </w:t>
      </w:r>
      <w:r>
        <w:t xml:space="preserve">“</w:t>
      </w:r>
      <w:r>
        <w:t xml:space="preserve">instantaneously,</w:t>
      </w:r>
      <w:r>
        <w:t xml:space="preserve">”</w:t>
      </w:r>
      <w:r>
        <w:t xml:space="preserve"> </w:t>
      </w:r>
      <w:r>
        <w:t xml:space="preserve">and other recordings after one year — a fraction of the three-year retention the University’s own governance documents claim (Part I, Section 4). Two documents, one vendor, two different answers to</w:t>
      </w:r>
      <w:r>
        <w:t xml:space="preserve"> </w:t>
      </w:r>
      <w:r>
        <w:t xml:space="preserve">“</w:t>
      </w:r>
      <w:r>
        <w:t xml:space="preserve">how long do you keep this.</w:t>
      </w:r>
      <w:r>
        <w:t xml:space="preserve">”</w:t>
      </w:r>
      <w:r>
        <w:t xml:space="preserve"> </w:t>
      </w:r>
      <w:r>
        <w:t xml:space="preserve">Separately, the vendor’s own Standard Contractual Clauses page — the page its own compliance hub names as the actual legal mechanism for moving this data across borders — still runs on transfer clauses issued under a regulation repealed in 2018, superseded by the EU’s 2021 framework, with a compliance deadline that passed in December 2022. More than eighteen months overdue. Uncorrected through the entirety of the State Bar of California litigation and settlement described in Section 12.</w:t>
      </w:r>
    </w:p>
    <w:p>
      <w:pPr>
        <w:pStyle w:val="BodyText"/>
      </w:pPr>
      <w:r>
        <w:rPr>
          <w:bCs/>
          <w:b/>
        </w:rPr>
        <w:t xml:space="preserve">Two current University documents, one question, two different answers.</w:t>
      </w:r>
      <w:r>
        <w:t xml:space="preserve"> </w:t>
      </w:r>
      <w:r>
        <w:t xml:space="preserve">The University’s own Online Invigilation Policy states that</w:t>
      </w:r>
      <w:r>
        <w:t xml:space="preserve"> </w:t>
      </w:r>
      <w:r>
        <w:t xml:space="preserve">“</w:t>
      </w:r>
      <w:r>
        <w:t xml:space="preserve">Meazure Learning’s Privacy Notice supersedes The Open University’s privacy notice for any audio and video footage or screen capture taken during the exam.</w:t>
      </w:r>
      <w:r>
        <w:t xml:space="preserve">”</w:t>
      </w:r>
      <w:r>
        <w:t xml:space="preserve"> </w:t>
      </w:r>
      <w:r>
        <w:t xml:space="preserve">The University’s own Help Centre page on exam day says the opposite for the same recordings: they will be</w:t>
      </w:r>
      <w:r>
        <w:t xml:space="preserve"> </w:t>
      </w:r>
      <w:r>
        <w:t xml:space="preserve">“</w:t>
      </w:r>
      <w:r>
        <w:t xml:space="preserve">kept in accordance with the Student Privacy Notice</w:t>
      </w:r>
      <w:r>
        <w:t xml:space="preserve">”</w:t>
      </w:r>
      <w:r>
        <w:t xml:space="preserve"> </w:t>
      </w:r>
      <w:r>
        <w:t xml:space="preserve">— the University’s, not the vendor’s. Both pages were live on the same day this was checked. This is not one page going stale while another was updated. It is two currently-published University documents disagreeing, right now, about which organisation is legally responsible for a student’s own recorded data.</w:t>
      </w:r>
    </w:p>
    <w:p>
      <w:pPr>
        <w:pStyle w:val="BodyText"/>
      </w:pPr>
      <w:r>
        <w:t xml:space="preserve">This is not merely a transparency lapse. The Court of Appeal held, in Dale Vince v Associated Newspapers Ltd [2026] EWCA Civ 899 (15 July 2026), that a misleading juxtaposition of content can itself amount to unfair processing of personal data under UK GDPR Article 5(1)(a) — even where a fuller, accurate document exists elsewhere — because the court is entitled to take judicial notice that readers do not reliably read past the material actually placed in front of them. A student who encounters only the Help Centre page, or only the Policy, is materially misled about which entity governs their own recorded data. On that authority, this is an independent, live, current unfair-processing claim in its own right — not a documentation gap to be tidied up at leisure.</w:t>
      </w:r>
    </w:p>
    <w:bookmarkEnd w:id="41"/>
    <w:bookmarkStart w:id="42" w:name="X5310d1c134216de2e0a603f528f7ead6eb11292"/>
    <w:p>
      <w:pPr>
        <w:pStyle w:val="Heading2"/>
      </w:pPr>
      <w:r>
        <w:t xml:space="preserve">Section 14: The University’s Own IT Department, in Its Own Words</w:t>
      </w:r>
    </w:p>
    <w:p>
      <w:pPr>
        <w:pStyle w:val="FirstParagraph"/>
      </w:pPr>
      <w:r>
        <w:t xml:space="preserve">Forget what the University told the regulator. Read what its own IT unit wrote down when nobody outside the building was meant to see it.</w:t>
      </w:r>
    </w:p>
    <w:p>
      <w:pPr>
        <w:pStyle w:val="BodyText"/>
      </w:pPr>
      <w:r>
        <w:t xml:space="preserve">A Business Impact Assessment — BIA-460, authored by the University’s own IT unit, disclosed nearly two months late under FOI — is the internal document that actually underpins the ProctorU rollout. Its own</w:t>
      </w:r>
      <w:r>
        <w:t xml:space="preserve"> </w:t>
      </w:r>
      <w:r>
        <w:t xml:space="preserve">“</w:t>
      </w:r>
      <w:r>
        <w:t xml:space="preserve">additional comments</w:t>
      </w:r>
      <w:r>
        <w:t xml:space="preserve">”</w:t>
      </w:r>
      <w:r>
        <w:t xml:space="preserve"> </w:t>
      </w:r>
      <w:r>
        <w:t xml:space="preserve">field admits: a prior BIA had already been completed before this one — this was a second attempt; an unresolved platform-level connection failure meant the University</w:t>
      </w:r>
      <w:r>
        <w:t xml:space="preserve"> </w:t>
      </w:r>
      <w:r>
        <w:t xml:space="preserve">“</w:t>
      </w:r>
      <w:r>
        <w:t xml:space="preserve">cannot be sure that the ProctorU links will reliable [sic] work on any OU module</w:t>
      </w:r>
      <w:r>
        <w:t xml:space="preserve">”</w:t>
      </w:r>
      <w:r>
        <w:t xml:space="preserve">; and Meazure Learning’s own personnel were granted access to the University’s virtual learning environment specifically to diagnose that unfixed bug — all of this recorded as having happened before live students sat a single exam.</w:t>
      </w:r>
    </w:p>
    <w:p>
      <w:pPr>
        <w:pStyle w:val="BodyText"/>
      </w:pPr>
      <w:r>
        <w:t xml:space="preserve">Seven admissions follow, each in the deploying unit’s own words, none volunteered anywhere else:</w:t>
      </w:r>
    </w:p>
    <w:p>
      <w:pPr>
        <w:pStyle w:val="BodyText"/>
      </w:pPr>
      <w:r>
        <w:t xml:space="preserve">“</w:t>
      </w:r>
      <w:r>
        <w:t xml:space="preserve">Uses AI? Unsure.</w:t>
      </w:r>
      <w:r>
        <w:t xml:space="preserve">”</w:t>
      </w:r>
      <w:r>
        <w:t xml:space="preserve"> </w:t>
      </w:r>
      <w:r>
        <w:t xml:space="preserve">The unit responsible for deploying the platform did not know whether it used AI. This sits directly against the University’s repeated written denials elsewhere that any AI is used at all.</w:t>
      </w:r>
    </w:p>
    <w:p>
      <w:pPr>
        <w:pStyle w:val="BodyText"/>
      </w:pPr>
      <w:r>
        <w:t xml:space="preserve">“</w:t>
      </w:r>
      <w:r>
        <w:t xml:space="preserve">Where is the data processed? UK.</w:t>
      </w:r>
      <w:r>
        <w:t xml:space="preserve">”</w:t>
      </w:r>
      <w:r>
        <w:t xml:space="preserve"> </w:t>
      </w:r>
      <w:r>
        <w:t xml:space="preserve">A third answer to a question the University’s own DPQ files have already answered twice, inconsistently: USA in the original 2022 DPQ (GOV-1), Frankfurt in both versions of the March 2026 update. Now UK, from the unit that actually deployed the system.</w:t>
      </w:r>
    </w:p>
    <w:p>
      <w:pPr>
        <w:pStyle w:val="BodyText"/>
      </w:pPr>
      <w:r>
        <w:t xml:space="preserve">Special category data, admitted as processed: health and disability information</w:t>
      </w:r>
      <w:r>
        <w:t xml:space="preserve"> </w:t>
      </w:r>
      <w:r>
        <w:t xml:space="preserve">“</w:t>
      </w:r>
      <w:r>
        <w:t xml:space="preserve">indirectly,</w:t>
      </w:r>
      <w:r>
        <w:t xml:space="preserve">”</w:t>
      </w:r>
      <w:r>
        <w:t xml:space="preserve"> </w:t>
      </w:r>
      <w:r>
        <w:t xml:space="preserve">through proctors’ awareness of extra-time accommodations; and ethnicity and political or religious indicators, through webcam observation of a student’s own home. This is the University’s own IT unit describing, in writing, the collection of Article 9 special category data with no legal basis recorded anywhere in the same document.</w:t>
      </w:r>
    </w:p>
    <w:p>
      <w:pPr>
        <w:pStyle w:val="BodyText"/>
      </w:pPr>
      <w:r>
        <w:t xml:space="preserve">Four compliance checkboxes — GDPR enforcement tracker, ICO or other registration, international transfers, a breach check — marked as required and left blank. The</w:t>
      </w:r>
      <w:r>
        <w:t xml:space="preserve"> </w:t>
      </w:r>
      <w:r>
        <w:t xml:space="preserve">“</w:t>
      </w:r>
      <w:r>
        <w:t xml:space="preserve">date responded to unit</w:t>
      </w:r>
      <w:r>
        <w:t xml:space="preserve">”</w:t>
      </w:r>
      <w:r>
        <w:t xml:space="preserve"> </w:t>
      </w:r>
      <w:r>
        <w:t xml:space="preserve">field is blank too.</w:t>
      </w:r>
    </w:p>
    <w:p>
      <w:pPr>
        <w:pStyle w:val="BodyText"/>
      </w:pPr>
      <w:r>
        <w:t xml:space="preserve">Students and staff are described as</w:t>
      </w:r>
      <w:r>
        <w:t xml:space="preserve"> </w:t>
      </w:r>
      <w:r>
        <w:t xml:space="preserve">“</w:t>
      </w:r>
      <w:r>
        <w:t xml:space="preserve">wanting</w:t>
      </w:r>
      <w:r>
        <w:t xml:space="preserve">”</w:t>
      </w:r>
      <w:r>
        <w:t xml:space="preserve"> </w:t>
      </w:r>
      <w:r>
        <w:t xml:space="preserve">to use ProctorU. Voluntary language, from an internal IT document, sitting directly against the University’s own public Help Centre stating there is no alternative.</w:t>
      </w:r>
    </w:p>
    <w:p>
      <w:pPr>
        <w:pStyle w:val="BodyText"/>
      </w:pPr>
      <w:r>
        <w:t xml:space="preserve">ACCA accreditation is cited as the reason the platform had to be deployed at all:</w:t>
      </w:r>
      <w:r>
        <w:t xml:space="preserve"> </w:t>
      </w:r>
      <w:r>
        <w:t xml:space="preserve">“</w:t>
      </w:r>
      <w:r>
        <w:t xml:space="preserve">if we don’t do it, we will lose accreditation.</w:t>
      </w:r>
      <w:r>
        <w:t xml:space="preserve">”</w:t>
      </w:r>
    </w:p>
    <w:p>
      <w:pPr>
        <w:pStyle w:val="BodyText"/>
      </w:pPr>
      <w:r>
        <w:t xml:space="preserve">And the scope. BIA-460’s own approved pilot covered five modules. The University’s public mandatory list covers nine. No governance document establishes that the expansion beyond the approved pilot was ever itself approved.</w:t>
      </w:r>
    </w:p>
    <w:p>
      <w:pPr>
        <w:pStyle w:val="BodyText"/>
      </w:pPr>
      <w:r>
        <w:t xml:space="preserve">None of this is disputed interpretation. It is the deploying unit’s own file, obtained under statute, describing what it did not know, could not confirm, and did not check — before mandating the platform for thousands of students.</w:t>
      </w:r>
    </w:p>
    <w:bookmarkEnd w:id="42"/>
    <w:bookmarkEnd w:id="43"/>
    <w:bookmarkStart w:id="48" w:name="X5a5559e051b3c3ddad741cfc3257e0b9e98df00"/>
    <w:p>
      <w:pPr>
        <w:pStyle w:val="Heading1"/>
      </w:pPr>
      <w:r>
        <w:t xml:space="preserve">PART III — GOVERNANCE AND PROCUREMENT (August 2026)</w:t>
      </w:r>
    </w:p>
    <w:p>
      <w:pPr>
        <w:pStyle w:val="FirstParagraph"/>
      </w:pPr>
      <w:r>
        <w:t xml:space="preserve">Parts I and II documented the deployment itself. Part III turns to the governance and procurement context around it: who sat where, who signed what, what risk categories were never built, and what the vendor of the remote-access software actually holds today by way of independent assurance.</w:t>
      </w:r>
    </w:p>
    <w:bookmarkStart w:id="44" w:name="X55b046cbf67e3796957b08575f9e604054da94c"/>
    <w:p>
      <w:pPr>
        <w:pStyle w:val="Heading2"/>
      </w:pPr>
      <w:r>
        <w:t xml:space="preserve">Section 15: McCracken, Bain Capital, and Gryphon</w:t>
      </w:r>
    </w:p>
    <w:p>
      <w:pPr>
        <w:pStyle w:val="FirstParagraph"/>
      </w:pPr>
      <w:r>
        <w:t xml:space="preserve">Robert McCracken is OU’s Treasurer and chairs the Finance and Investment Committees. His Register of Interests entry discloses paid contractor roles at Fedrigoni SPA, Fox (Holdco) BV, and Maesa Expansion SAS.</w:t>
      </w:r>
    </w:p>
    <w:p>
      <w:pPr>
        <w:pStyle w:val="BodyText"/>
      </w:pPr>
      <w:r>
        <w:t xml:space="preserve">Fedrigoni is a Bain Capital portfolio company. Maesa Expansion SAS is a Bain Capital portfolio company. MKM Building Supplies Ltd — a fourth McCracken role — sits on Bain Capital Private Equity’s own published portfolio list. McCracken chairs the Audit &amp; Risk Committee at Fedrigoni, one of four Bain Capital companies where he holds paid governance roles.</w:t>
      </w:r>
    </w:p>
    <w:p>
      <w:pPr>
        <w:pStyle w:val="BodyText"/>
      </w:pPr>
      <w:r>
        <w:t xml:space="preserve">Bain Capital Credit financed Gryphon Investors’ buyout of Meazure Learning/ProctorU in December 2020 and January 2021. Gryphon owns Meazure. Meazure is the vendor OU deploys against students’ exams.</w:t>
      </w:r>
    </w:p>
    <w:p>
      <w:pPr>
        <w:pStyle w:val="BodyText"/>
      </w:pPr>
      <w:r>
        <w:t xml:space="preserve">Bain Capital Credit and Bain Capital Private Equity are separate divisions of one parent, Bain Capital LLC. McCracken’s employer did not finance the Gryphon deal directly.</w:t>
      </w:r>
    </w:p>
    <w:p>
      <w:pPr>
        <w:pStyle w:val="BodyText"/>
      </w:pPr>
      <w:r>
        <w:t xml:space="preserve">Julia Goodfellow, Vice-Chair of Council, sits on the same committees. She discloses a family member at Abingworth LLP, owned by Carlyle Group. A second private-equity adjacency on the same table.</w:t>
      </w:r>
    </w:p>
    <w:p>
      <w:pPr>
        <w:pStyle w:val="BodyText"/>
      </w:pPr>
      <w:r>
        <w:t xml:space="preserve">The question is whether Governance and Nominations ever assessed this adjacency. Nothing in the public record shows that it did.</w:t>
      </w:r>
    </w:p>
    <w:p>
      <w:pPr>
        <w:pStyle w:val="BodyText"/>
      </w:pPr>
      <w:r>
        <w:rPr>
          <w:iCs/>
          <w:i/>
        </w:rPr>
        <w:t xml:space="preserve">Note: Fox (Holdco) BV remains unverified against any Bain Capital entity after two search passes — not relied on above. Next step if pursued: Dutch KVK company register (kvk.nl).</w:t>
      </w:r>
    </w:p>
    <w:bookmarkEnd w:id="44"/>
    <w:bookmarkStart w:id="45" w:name="X2b5d4c99be6b82f0a5a3ab45bc4ac6e7c15cad2"/>
    <w:p>
      <w:pPr>
        <w:pStyle w:val="Heading2"/>
      </w:pPr>
      <w:r>
        <w:t xml:space="preserve">Section 16: Who Signed the Meazure Contract</w:t>
      </w:r>
    </w:p>
    <w:p>
      <w:pPr>
        <w:pStyle w:val="FirstParagraph"/>
      </w:pPr>
      <w:r>
        <w:t xml:space="preserve">Financial Regulation 3.2.4 names five roles authorised to sign OU contracts: the Vice-Chancellor, the University Secretary, the Group Finance Director, the Head of Contract Services, and the Contracts Manager — or a person the Group Finance Director approves.</w:t>
      </w:r>
    </w:p>
    <w:p>
      <w:pPr>
        <w:pStyle w:val="BodyText"/>
      </w:pPr>
      <w:r>
        <w:t xml:space="preserve">The Schedule of Financial Delegations that sets the actual approval thresholds is dated 30 November 2020. It predates ProctorU by nearly four years. It names roles, not thresholds — the pound-figure limits sit in a separate, unpublished appendix.</w:t>
      </w:r>
    </w:p>
    <w:p>
      <w:pPr>
        <w:pStyle w:val="BodyText"/>
      </w:pPr>
      <w:r>
        <w:t>No document on the public record names who signed the Meazure contract, under what delegated authority, or at what spend threshold. The Chief Information Officer and the Director of Academic Services are the two roles whose remit most plausibly covers the decision to buy. Neither appears among the University’s published contract signatories.</w:t>
      </w:r>
    </w:p>
    <w:bookmarkEnd w:id="45"/>
    <w:bookmarkStart w:id="46" w:name="Xad41dd84036d7f754bae9c5b4b4d37d46a617aa"/>
    <w:p>
      <w:pPr>
        <w:pStyle w:val="BodyText"/>
      </w:pPr>
      <w:r>
        <w:t>The University’s Procurement Policy (current published version, updated 2026) sets out its own list. Where a contract has been drafted for the purchase of goods and services, it “must be signed by an authorised University Signatory as per the University’s Financial Regulations”, and “Those with the authority to sign and commit the University are:” the Vice-Chancellor; the University Secretary; the Chief Financial Officer; the Deputy Group Finance Director; the Director, Treasury Services; the Head of Procurement; the Deputy Head of Procurement “(for contracts up to £50k)”; and the Head of Legal, with four further roles for areas of devolved responsibility (section 5.13). The Policy names “The Head of Procurement on behalf of the Chief Financial Officer” as “the authorised contracting officer” (section 5.12), and provides: “Contracts signed by staff other than those indicated above may be repudiated by the University” (section 5.14). The University’s published Financial Regulations (effective from 1 August 2019) give a third list: “Contracts shall be signed only by the Vice‐Chancellor, University Secretary, Chief Financial Officer, Director of Treasury Services, Deputy Finance Director, or Commercial Legal Services Manager or such other person approved by the Chief Financial Officer” (regulation 10.2), and confirm that “The Head of Procurement acts on behalf of the Chief Financial Officer as the authorised contracting officer for the purchase of goods and services” (regulation 7.2). The three published lists — Financial Regulation 3.2.4 as recorded in the Council Constitution, regulation 10.2 of the Financial Regulations, and section 5.13 of the Procurement Policy — do not match one another. None of them includes the Chief Information Officer or the Director of Academic Services.</w:t>
      </w:r>
    </w:p>
    <w:p>
      <w:pPr>
        <w:pStyle w:val="BodyText"/>
      </w:pPr>
      <w:r>
        <w:t>A dated record of the purchase exists in the University’s own system. Its published guidance to suppliers states: “Suppliers must not start work on services/works or deliver goods without receiving an official approved purchase order via one of the systems above or payment made via PCard.” The Financial Regulations are to the same effect: “Orders should be placed using the University’s official purchase order process as approved by the Head of Procurement” (regulation 7.3). An approved purchase order to Meazure Learning, with its date, value and approver, therefore exists. Neither the order nor the signed contract is on the public record.</w:t>
      </w:r>
    </w:p>
    <w:p>
      <w:pPr>
        <w:pStyle w:val="Heading2"/>
      </w:pPr>
      <w:r>
        <w:t xml:space="preserve">Section 17: No Category for Data Protection</w:t>
      </w:r>
    </w:p>
    <w:p>
      <w:pPr>
        <w:pStyle w:val="FirstParagraph"/>
      </w:pPr>
      <w:r>
        <w:t>The University’s Responsible Procurement Strategy 2023–2026 was authorised by the Vice-Chancellor’s Executive in July 2023 (Release 1.0) — after the Jisc Chest agreement for Meazure Learning opened on 1 May 2023, and before the University evaluated its own online invigilation tender, OUPA11152, on 8 January 2024. It is the strategy in force for the procurement of the platform. It states that its priorities “will be considered on all purchases made by the University” and “have been identified based on risk, importance, and the opportunity to positively impact on our value chain.” Its action plan commits the University to “Ensure responsible procurement is a consideration for all high-risk categories.”</w:t>
      </w:r>
    </w:p>
    <w:p>
      <w:pPr>
        <w:pStyle w:val="BodyText"/>
      </w:pPr>
      <w:r>
        <w:t>The priorities are listed in the Strategy’s Figure 1: the University’s climate action targets; reduced consumption as part of the circular economy; the eradication of modern slavery in supply chains; “the University’s targets around Equality, Diversity, and Inclusion and social value”; work with small and medium-sized suppliers; and local products and services. Data protection and privacy do not appear among them. A biometric surveillance vendor, mandated across multiple cohorts, processing facial and voice data transferred to the United States, met no priority built for that kind of risk — because no such priority exists.</w:t>
      </w:r>
    </w:p>
    <w:p>
      <w:pPr>
        <w:pStyle w:val="BodyText"/>
      </w:pPr>
      <w:r>
        <w:t>The omission cannot be attributed to a lack of awareness. The University’s Procurement Strategy 2021–2027, updated in December 2024 and authorised by the Vice-Chancellor’s Executive and Finance Committee in January 2025, records: “The focus on information security and protecting personal data continues to increase the risk profile when buying services across key spend categories such as digital systems and services.” The Responsible Procurement Strategy the University still publishes shows a single release, 1.0, with “Change Made: N/a”.</w:t>
      </w:r>
    </w:p>
    <w:bookmarkEnd w:id="46"/>
    <w:bookmarkStart w:id="47" w:name="X431eed2dbb811aa9a6392b7f77e33ff0019934d"/>
    <w:p>
      <w:pPr>
        <w:pStyle w:val="BodyText"/>
      </w:pPr>
      <w:r>
        <w:t>The Strategy also specifies the record each stage of a procurement should produce. At the stage of identifying business needs: “Undertake a sustainability impact analysis to identify the priority environmental, social and economic considerations related to the subject matter of the project.” At sourcing: “Include the relevant sustainability method statements and criteria within sourcing documents (e.g. Invitations to tender)”, with supplier sign-up to the Supplier Code of Conduct. At award: “Set sustainability Key Performance Indicators relevant to the subject matter of the contract.” In supplier relationship management: “KPIs monitored and recorded.” No such analysis, criteria, Code of Conduct sign-up or key performance indicator for OUPA11152 is on the public record. The University’s own published figures show that 61% of non-pay impactable spend was signed up to the Supplier Code of Conduct in 2024/25 (49% in 2023/24), against a target of 80%; whether Meazure Learning is within that figure is not disclosed.</w:t>
      </w:r>
    </w:p>
    <w:p>
      <w:pPr>
        <w:pStyle w:val="BodyText"/>
      </w:pPr>
      <w:r>
        <w:t>Equality, diversity and inclusion is the one Figure 1 priority on which the University’s academic authority has questioned this vendor directly. Senate’s confirmed minutes of 2 April 2025 (S-2025-02-M), Minute 13.2(a), record that Senate “Asked whether the OU’s our [sic] relationship with companies such as X and ProctorU would be reconsidered given the landscape with respect to EDI in America.” The Interim Vice-Chancellor’s answer, at Minute 13.3(a), was: “Regarding ProctorU, a process was undertaken to identify the best partner for proctoring and the relationship wouldn’t be reconsidered on the grounds that their legal/state environment had changed if they were able to deliver the contacted [sic] work in a fair and inclusive way.” The answer relies on a selection process and makes the relationship conditional on delivery “in a fair and inclusive way”. It does not refer to any equality consideration recorded in that process, or to any indicator by which fair and inclusive delivery is measured — the two records the Responsible Procurement Strategy requires. Neither has been disclosed.</w:t>
      </w:r>
    </w:p>
    <w:p>
      <w:pPr>
        <w:pStyle w:val="BodyText"/>
      </w:pPr>
      <w:r>
        <w:t>The University’s own procurement rules identify the controls that should have applied. Its Procurement Policy makes budget holders responsible for “Ensuring all purchases of cloud based services, irrespective of cost or data classification, comply with University Information Security Policies, specifically the Secure Cloud Computing Services Security Policy” (section 3.1) — a policy marked “[internal only]” and not published. That is the Policy’s only data-related control: across its 21 pages it makes no reference to data protection, personal data or impact assessment. Above the statutory threshold, “Procurement Services must be consulted well in advance” and “will normally lead the tender process”, and “Either sealed bids following an advert in Find a Tender or a current public sector framework must be used” (Annex PP1). The University’s published standard terms (Version 12, June 2024; titled in the document’s own properties “OU standard TCs Goods and Services under £50k”) set its minimum position even for low-value purchases: a supplier processing personal data on the University’s behalf “will be required to enter into a data processing agreement with the OU and shall not be permitted to process any Personal Data until this has been concluded” (clause 13.3), and “may not transfer or assign the whole or any part of this Agreement, or sub-contract performance of its obligations without the prior written consent of the OU” (clause 25.1).</w:t>
      </w:r>
    </w:p>
    <w:p>
      <w:pPr>
        <w:pStyle w:val="BodyText"/>
      </w:pPr>
      <w:r>
        <w:t>Against those rules, the University has confirmed under FOI2026/039 that “A SOC 2 attestation report was not obtained as part of this process” (Section 4). No cloud security assessment under section 3.1, no data processing agreement with its date, and no written consent to the remote-access software that runs inside every examination (Section 23) is on the public record. A contract for mandatory biometric invigilation across fourteen modules cannot sensibly be held to a lower standard than the University sets for purchases under £50,000.</w:t>
      </w:r>
    </w:p>
    <w:p>
      <w:pPr>
        <w:pStyle w:val="BodyText"/>
      </w:pPr>
      <w:r>
        <w:t>This is not a claim that Meazure’s procurement bypassed a check. It is a claim that no check was ever built for data protection risk, and that the records the University’s own strategy requires for the checks that were built are not on the public record.</w:t>
      </w:r>
    </w:p>
    <w:p>
      <w:pPr>
        <w:pStyle w:val="Heading2"/>
      </w:pPr>
      <w:r>
        <w:t xml:space="preserve">Section 18: GoTo/LogMeIn — A Current Certificate, A Narrower Gap</w:t>
      </w:r>
    </w:p>
    <w:p>
      <w:pPr>
        <w:pStyle w:val="FirstParagraph"/>
      </w:pPr>
      <w:r>
        <w:t xml:space="preserve">This section concerns a different assurance gap from the Meazure SOC 2 failure documented in Sections 4 and 4A above. The vendor here is GoTo — the remote-access sub-contractor whose software runs the invigilation session — not Meazure Learning itself.</w:t>
      </w:r>
    </w:p>
    <w:p>
      <w:pPr>
        <w:pStyle w:val="BodyText"/>
      </w:pPr>
      <w:r>
        <w:t xml:space="preserve">GoTo Group, Inc. is LogMeIn, rebranded in 2022. GoTo supplies LogMeIn Rescue, the remote access software used to invigilate students’ exams — including the September 2025 examinations at the centre of this case. Rescue is a distinct GoTo product from GoTo Resolve, the product named in the NCC-CSIRT-2025-025 advisory cited in Section 1 above; that advisory does not describe Rescue and is not relied on in this section.</w:t>
      </w:r>
    </w:p>
    <w:p>
      <w:pPr>
        <w:pStyle w:val="BodyText"/>
      </w:pPr>
      <w:r>
        <w:t xml:space="preserve">GoTo holds ISO 27001 certification, cert MMIND-25093001, issued by Mastermind Assurance LLC. Held continuously since 26 July 2019, reissued 24 April 2026. Scope names LogMeIn Rescue.</w:t>
      </w:r>
    </w:p>
    <w:p>
      <w:pPr>
        <w:pStyle w:val="BodyText"/>
      </w:pPr>
      <w:r>
        <w:t xml:space="preserve">GoTo also holds a SOC 3 report covering 1 May 2025 to 30 April 2026, issued 9 July 2026. Scope names Rescue. The report’s trust criteria are Security, Availability, and Confidentiality. Privacy is not among them.</w:t>
      </w:r>
    </w:p>
    <w:p>
      <w:pPr>
        <w:pStyle w:val="BodyText"/>
      </w:pPr>
      <w:r>
        <w:t xml:space="preserve">The report does not assess whether GoTo’s processing of personal data complies with data protection law. It assesses whether GoTo’s systems are secure, available, and kept confidential. These are different questions.</w:t>
      </w:r>
    </w:p>
    <w:p>
      <w:pPr>
        <w:pStyle w:val="BodyText"/>
      </w:pPr>
      <w:r>
        <w:t xml:space="preserve">What the Security, Availability, and Confidentiality trust criteria leave unexamined is visible in GoTo’s own published Rescue Administrator Guide. The product can be configured to</w:t>
      </w:r>
      <w:r>
        <w:t xml:space="preserve"> </w:t>
      </w:r>
      <w:r>
        <w:t xml:space="preserve">“</w:t>
      </w:r>
      <w:r>
        <w:t xml:space="preserve">automatically start as Windows System Service</w:t>
      </w:r>
      <w:r>
        <w:t xml:space="preserve">”</w:t>
      </w:r>
      <w:r>
        <w:t xml:space="preserve"> </w:t>
      </w:r>
      <w:r>
        <w:t xml:space="preserve">where</w:t>
      </w:r>
      <w:r>
        <w:t xml:space="preserve"> </w:t>
      </w:r>
      <w:r>
        <w:t xml:space="preserve">“</w:t>
      </w:r>
      <w:r>
        <w:t xml:space="preserve">the customer has administrative rights</w:t>
      </w:r>
      <w:r>
        <w:t xml:space="preserve">”</w:t>
      </w:r>
      <w:r>
        <w:t xml:space="preserve"> </w:t>
      </w:r>
      <w:r>
        <w:t xml:space="preserve">— the remote-access applet installed on a student’s personal device during an exam can, on GoTo’s own documentation, be set up with elevated, persistent, system-level status rather than running only for the duration of the session. The same guide’s timeout documentation states that</w:t>
      </w:r>
      <w:r>
        <w:t xml:space="preserve"> </w:t>
      </w:r>
      <w:r>
        <w:t xml:space="preserve">“</w:t>
      </w:r>
      <w:r>
        <w:t xml:space="preserve">a value of 0 means an active session will never time out</w:t>
      </w:r>
      <w:r>
        <w:t xml:space="preserve">”</w:t>
      </w:r>
      <w:r>
        <w:t xml:space="preserve"> </w:t>
      </w:r>
      <w:r>
        <w:t xml:space="preserve">and that certain processes —</w:t>
      </w:r>
      <w:r>
        <w:t xml:space="preserve"> </w:t>
      </w:r>
      <w:r>
        <w:t xml:space="preserve">“</w:t>
      </w:r>
      <w:r>
        <w:t xml:space="preserve">an open remote control, screen sharing, or file manager session</w:t>
      </w:r>
      <w:r>
        <w:t xml:space="preserve">”</w:t>
      </w:r>
      <w:r>
        <w:t xml:space="preserve"> </w:t>
      </w:r>
      <w:r>
        <w:t xml:space="preserve">among them — will themselves</w:t>
      </w:r>
      <w:r>
        <w:t xml:space="preserve"> </w:t>
      </w:r>
      <w:r>
        <w:t xml:space="preserve">“</w:t>
      </w:r>
      <w:r>
        <w:t xml:space="preserve">prevent time out</w:t>
      </w:r>
      <w:r>
        <w:t xml:space="preserve">”</w:t>
      </w:r>
      <w:r>
        <w:t xml:space="preserve"> </w:t>
      </w:r>
      <w:r>
        <w:t xml:space="preserve">from occurring at all. Taken together, these are GoTo’s own stated architectural facts: the software supports both indefinite non-expiry and elevated installation, as configured features, not as faults. Whether either was active in any given OU invigilation session is not addressed by anything in this case study’s record, including this section; what the SOC 3 report does not do is certify that neither was in play, because Privacy is not among the criteria it tests. On a related point, the same guide states that chat logs from a session are</w:t>
      </w:r>
      <w:r>
        <w:t xml:space="preserve"> </w:t>
      </w:r>
      <w:r>
        <w:t xml:space="preserve">“</w:t>
      </w:r>
      <w:r>
        <w:t xml:space="preserve">deleted 24 hours from the moment they are queued for deletion</w:t>
      </w:r>
      <w:r>
        <w:t xml:space="preserve">”</w:t>
      </w:r>
      <w:r>
        <w:t xml:space="preserve"> </w:t>
      </w:r>
      <w:r>
        <w:t xml:space="preserve">once an operator queues that deletion — a short, operator-controlled retention window for one of the few human-readable records a student would otherwise have of what occurred during remote access to their device, and one more category the Security/Availability/Confidentiality scope has nothing to say about.</w:t>
      </w:r>
    </w:p>
    <w:bookmarkEnd w:id="47"/>
    <w:bookmarkEnd w:id="48"/>
    <w:bookmarkStart w:id="61" w:name="Xc6e96f66fc9d091bc17edaf456fc3703fd6f4b9"/>
    <w:p>
      <w:pPr>
        <w:pStyle w:val="Heading1"/>
      </w:pPr>
      <w:r>
        <w:t xml:space="preserve">PART IV — REGULATORY SILENCE AND PUBLIC DATA (September–October 2026)</w:t>
      </w:r>
    </w:p>
    <w:p>
      <w:pPr>
        <w:pStyle w:val="FirstParagraph"/>
      </w:pPr>
      <w:r>
        <w:t xml:space="preserve">Parts I through III documented the deployment itself, what came to light in its aftermath, and the governance and procurement structure around it. Part IV turns to what the sector’s own regulators say about themselves, in their own words and their own published data, when asked directly.</w:t>
      </w:r>
    </w:p>
    <w:bookmarkStart w:id="49" w:name="Xddefbc2941ee8785eb7cc8f11181c9f1c91fcef"/>
    <w:p>
      <w:pPr>
        <w:pStyle w:val="Heading2"/>
      </w:pPr>
      <w:r>
        <w:t xml:space="preserve">Section 19: The Information Commissioner’s Office — No Framework Exists</w:t>
      </w:r>
    </w:p>
    <w:p>
      <w:pPr>
        <w:pStyle w:val="FirstParagraph"/>
      </w:pPr>
      <w:r>
        <w:t xml:space="preserve">Asked directly, in writing, whether it holds any policy, guidance, or briefing for assessing complaints that special category or biometric data has been collected by third-party remote invigilation vendors in higher education, the Information Commissioner’s Office gave an unambiguous answer:</w:t>
      </w:r>
      <w:r>
        <w:t xml:space="preserve"> </w:t>
      </w:r>
      <w:r>
        <w:t xml:space="preserve">“</w:t>
      </w:r>
      <w:r>
        <w:t xml:space="preserve">We do not hold information within scope of your request.</w:t>
      </w:r>
      <w:r>
        <w:t xml:space="preserve">”</w:t>
      </w:r>
      <w:r>
        <w:t xml:space="preserve"> </w:t>
      </w:r>
      <w:r>
        <w:t xml:space="preserve">No framework exists, anywhere within the regulator, for the specific category of harm this case study documents. This is a different, and more fundamental, gap than the one documented in Part I, Section 7: that section showed the regulator does not properly process the individual breach notifications it receives; this section shows it has never built a framework for assessing this category of complaint in the first place.</w:t>
      </w:r>
    </w:p>
    <w:p>
      <w:pPr>
        <w:pStyle w:val="BodyText"/>
      </w:pPr>
      <w:r>
        <w:t xml:space="preserve">That admission sits against a sector-wide pattern the same regulator’s own published casework datasets make visible. Across the 2025/26 financial year, the Information Commissioner’s Office completed 544 data protection complaints against UK higher education providers under the</w:t>
      </w:r>
      <w:r>
        <w:t xml:space="preserve"> </w:t>
      </w:r>
      <w:r>
        <w:t xml:space="preserve">“</w:t>
      </w:r>
      <w:r>
        <w:t xml:space="preserve">Higher education</w:t>
      </w:r>
      <w:r>
        <w:t xml:space="preserve">”</w:t>
      </w:r>
      <w:r>
        <w:t xml:space="preserve"> </w:t>
      </w:r>
      <w:r>
        <w:t xml:space="preserve">sub-sector category of its own published casework datasets. 459 of those — 84.4 percent — were closed</w:t>
      </w:r>
      <w:r>
        <w:t xml:space="preserve"> </w:t>
      </w:r>
      <w:r>
        <w:t xml:space="preserve">“</w:t>
      </w:r>
      <w:r>
        <w:t xml:space="preserve">No Further Action.</w:t>
      </w:r>
      <w:r>
        <w:t xml:space="preserve">”</w:t>
      </w:r>
      <w:r>
        <w:t xml:space="preserve"> </w:t>
      </w:r>
      <w:r>
        <w:t xml:space="preserve">Not a single decision notice, reprimand, or enforcement action was issued against any UK higher education institution under this heading in the same period. 336 of the 544 — 61.8 percent — were coded under Article 15, the right of access, as their primary reason: a category that captures a request for a copy of one’s own data, not an assessment of whether the underlying collection was lawful in the first place. Only one of the 544 was coded under Article 9, the article governing biometric and other special category data — and that single case did not concern remote invigilation at all.</w:t>
      </w:r>
    </w:p>
    <w:p>
      <w:pPr>
        <w:pStyle w:val="BodyText"/>
      </w:pPr>
      <w:r>
        <w:t xml:space="preserve">This is not evidence that biometric surveillance complaints in higher education are rare. It is consistent with, and plausibly explained by, the regulator’s own admission above: a complainant who writes to the ICO to say, in effect,</w:t>
      </w:r>
      <w:r>
        <w:t xml:space="preserve"> </w:t>
      </w:r>
      <w:r>
        <w:t xml:space="preserve">“</w:t>
      </w:r>
      <w:r>
        <w:t xml:space="preserve">I want to see what data was collected on me</w:t>
      </w:r>
      <w:r>
        <w:t xml:space="preserve">”</w:t>
      </w:r>
      <w:r>
        <w:t xml:space="preserve"> </w:t>
      </w:r>
      <w:r>
        <w:t xml:space="preserve">is coded by a caseworker into whatever administrative category is the closest fit — overwhelmingly Article 15 — because no dedicated category exists for the underlying substance of what they are actually describing. A regulator with no framework for assessing a harm has, by construction, no data recording that harm as what it is.</w:t>
      </w:r>
    </w:p>
    <w:p>
      <w:pPr>
        <w:pStyle w:val="BodyText"/>
      </w:pPr>
      <w:r>
        <w:t xml:space="preserve">The Open University itself appears nine times in the same 544-case dataset, in the same period. Eight were closed</w:t>
      </w:r>
      <w:r>
        <w:t xml:space="preserve"> </w:t>
      </w:r>
      <w:r>
        <w:t xml:space="preserve">“</w:t>
      </w:r>
      <w:r>
        <w:t xml:space="preserve">No Further Action.</w:t>
      </w:r>
      <w:r>
        <w:t xml:space="preserve">”</w:t>
      </w:r>
      <w:r>
        <w:t xml:space="preserve"> </w:t>
      </w:r>
      <w:r>
        <w:t xml:space="preserve">The ninth — received 6 November 2025 — was coded as an infringement under Article 15(3)(1), the right to a copy of one’s own personal data, and resolved through informal action rather than formal enforcement. None of the University’s nine cases in this dataset was coded as a biometric or special category matter.</w:t>
      </w:r>
    </w:p>
    <w:bookmarkEnd w:id="49"/>
    <w:bookmarkStart w:id="50" w:name="X2cbed74cd8224f78e6044b6569839dbb160ff6d"/>
    <w:p>
      <w:pPr>
        <w:pStyle w:val="Heading2"/>
      </w:pPr>
      <w:r>
        <w:t xml:space="preserve">Section 20: The Office for Students — Regulator and Commissioning Client</w:t>
      </w:r>
    </w:p>
    <w:p>
      <w:pPr>
        <w:pStyle w:val="FirstParagraph"/>
      </w:pPr>
      <w:r>
        <w:t xml:space="preserve">The Office for Students regulates the Open University’s financial viability and sustainability under Condition D of its registration. In May 2022, the OfS also used its statutory validation powers under section 50 of the Higher Education and Research Act 2017 — for the first time — to commission the Open University as its national delivery partner for a three-year, government-funded validation project, worth up to £10 million, offering validation services to further education colleges seeking to deliver Level 4 and 5 courses. To formalise the commissioning terms, the OfS imposed a specific ongoing registration condition on the Open University under section 6 of the same Act — Condition BA — expressly stating that the condition</w:t>
      </w:r>
      <w:r>
        <w:t xml:space="preserve"> </w:t>
      </w:r>
      <w:r>
        <w:t xml:space="preserve">“</w:t>
      </w:r>
      <w:r>
        <w:t xml:space="preserve">does not relate to the OU’s compliance with its ongoing conditions of registration.</w:t>
      </w:r>
      <w:r>
        <w:t xml:space="preserve">”</w:t>
      </w:r>
      <w:r>
        <w:t xml:space="preserve"> </w:t>
      </w:r>
      <w:r>
        <w:t xml:space="preserve">That sentence does more than scope Condition BA narrowly: it is the OfS’s own instrument recording that its commercial commissioning relationship with the Open University is to be treated, by its own design, as administratively separate from its ongoing regulatory conditions — including Condition D, under which the same regulator polices the same institution’s financial viability. Whether that stated separation was accompanied by any corresponding operational separation — distinct teams, reporting lines, or decision-makers — is precisely what Items 3 and 4 of the FOI request described below sought to establish, and precisely what the Department’s Section 12 refusal has, so far, left unanswered.</w:t>
      </w:r>
    </w:p>
    <w:p>
      <w:pPr>
        <w:pStyle w:val="BodyText"/>
      </w:pPr>
      <w:r>
        <w:t xml:space="preserve">The same regulator is therefore, at the same time, a funder and commissioning client of the institution whose financial viability it is separately charged with policing. The OfS itself publicly evaluated and promoted this partnership on 27 May 2026, describing the project as testing</w:t>
      </w:r>
      <w:r>
        <w:t xml:space="preserve"> </w:t>
      </w:r>
      <w:r>
        <w:t xml:space="preserve">“</w:t>
      </w:r>
      <w:r>
        <w:t xml:space="preserve">how the OfS could take a more active role</w:t>
      </w:r>
      <w:r>
        <w:t xml:space="preserve">”</w:t>
      </w:r>
      <w:r>
        <w:t xml:space="preserve"> </w:t>
      </w:r>
      <w:r>
        <w:t xml:space="preserve">in the sector it regulates — in the same period the Open University’s own audited financial statements record two consecutive years below its own stated 120-day liquidity floor (117 days at 31 July 2024; 109 days at 31 July 2025), and a £25.0 million Student Loans Company balance-sheet netting restatement.</w:t>
      </w:r>
    </w:p>
    <w:p>
      <w:pPr>
        <w:pStyle w:val="BodyText"/>
      </w:pPr>
      <w:r>
        <w:t xml:space="preserve">Parliament has separately and independently examined the OfS’s financial oversight in this same period. The House of Commons Public Accounts Committee found the Department for Education</w:t>
      </w:r>
      <w:r>
        <w:t xml:space="preserve"> </w:t>
      </w:r>
      <w:r>
        <w:t xml:space="preserve">“</w:t>
      </w:r>
      <w:r>
        <w:t xml:space="preserve">not effectively holding the Office for Students to account</w:t>
      </w:r>
      <w:r>
        <w:t xml:space="preserve">”</w:t>
      </w:r>
      <w:r>
        <w:t xml:space="preserve"> </w:t>
      </w:r>
      <w:r>
        <w:t xml:space="preserve">on systemic, sector-wide financial risk. The House of Lords Industry and Regulators Committee concluded, in its own words:</w:t>
      </w:r>
      <w:r>
        <w:t xml:space="preserve"> </w:t>
      </w:r>
      <w:r>
        <w:t xml:space="preserve">“</w:t>
      </w:r>
      <w:r>
        <w:t xml:space="preserve">It is vital that regulators not only act with an appropriate degree of independence from the Government, but that they are perceived as doing so. This is evidently not the case for the OfS, where there is a widespread perception among providers, students and other stakeholders that it is not sufficiently independent.</w:t>
      </w:r>
      <w:r>
        <w:t xml:space="preserve">”</w:t>
      </w:r>
    </w:p>
    <w:p>
      <w:pPr>
        <w:pStyle w:val="BodyText"/>
      </w:pPr>
      <w:r>
        <w:t xml:space="preserve">None of this shows that the OfS’s commissioning relationship with the Open University caused it to relax its scrutiny of the University’s finances. No document establishes that, and this case study does not assert it. What the primary record does establish is a structural conflict of interest: the same regulator funding and publicly promoting a flagship national delivery partnership with an institution it is simultaneously responsible for holding to account on financial viability — a documented structural fact, not a proven instance of regulatory forbearance.</w:t>
      </w:r>
    </w:p>
    <w:p>
      <w:pPr>
        <w:pStyle w:val="BodyText"/>
      </w:pPr>
      <w:r>
        <w:t xml:space="preserve">A Freedom of Information request to the Department for Education, seeking the underlying funding determination, pre-award due-diligence, and internal-separation records for this arrangement, was filed on 4 September 2026 (Ref: 2026-0087959). On 2 October 2026 the Department refused the request in full under Section 12(1) of the Freedom of Information Act 2000, stating that it could not confirm whether it holds the requested information because determining this would exceed the statutory cost threshold of £600 (3½ working days), and that, following its own guidance on multi-part requests, it does not sever and partially process individual items once the estimate for the whole exceeds that limit — notwithstanding that the request had expressly invited the Department to sever any item that did so and process the remainder. No search log, sampling exercise, or breakdown of the estimate was provided. The Information Commissioner’s own published guidance on Section 12 requires that an authority’s cost estimate be</w:t>
      </w:r>
      <w:r>
        <w:t xml:space="preserve"> </w:t>
      </w:r>
      <w:r>
        <w:t xml:space="preserve">“</w:t>
      </w:r>
      <w:r>
        <w:t xml:space="preserve">reasonable</w:t>
      </w:r>
      <w:r>
        <w:t xml:space="preserve">”</w:t>
      </w:r>
      <w:r>
        <w:t xml:space="preserve"> </w:t>
      </w:r>
      <w:r>
        <w:t xml:space="preserve">and supported by an actual assessment — which repository or directorate was checked, how many records that search would touch, and the time-and-motion basis for the figure reached — rather than a bare assertion that the threshold is exceeded; the refusal letter supplies none of this for a request confined, on its own Items 1 and 2, to two named categories of centrally held, statutory governance instrument. Under its separate Section 16 duty to advise and assist, the Department’s own refusal identified, by name, the categories of document it regarded as capable of being supplied within the cost limit:</w:t>
      </w:r>
      <w:r>
        <w:t xml:space="preserve"> </w:t>
      </w:r>
      <w:r>
        <w:t xml:space="preserve">“</w:t>
      </w:r>
      <w:r>
        <w:t xml:space="preserve">the principal funding or grant-allocation instrument</w:t>
      </w:r>
      <w:r>
        <w:t xml:space="preserve">”</w:t>
      </w:r>
      <w:r>
        <w:t xml:space="preserve"> </w:t>
      </w:r>
      <w:r>
        <w:t xml:space="preserve">and records concerning</w:t>
      </w:r>
      <w:r>
        <w:t xml:space="preserve"> </w:t>
      </w:r>
      <w:r>
        <w:t xml:space="preserve">“</w:t>
      </w:r>
      <w:r>
        <w:t xml:space="preserve">the original selection and funding decision.</w:t>
      </w:r>
      <w:r>
        <w:t xml:space="preserve">”</w:t>
      </w:r>
      <w:r>
        <w:t xml:space="preserve"> </w:t>
      </w:r>
      <w:r>
        <w:t xml:space="preserve">This is, in substance, the Department confirming that a narrower request for the primary grant determination and the selection decision is a request it is equipped to answer — the same two instruments sought, among broader material, in Items 1 and 2 of the original request.</w:t>
      </w:r>
    </w:p>
    <w:p>
      <w:pPr>
        <w:pStyle w:val="BodyText"/>
      </w:pPr>
      <w:r>
        <w:t xml:space="preserve">A refined request confined to those two instruments — the primary grant-allocation instrument and the ministerial or Senior Civil Service determination approving the Open University’s selection — was submitted the same day, 2 October 2026, adopting the Department’s own suggested scope verbatim and expressly excluding correspondence, drafts, and working notes to keep the request within the cost limit. That refined request remains outstanding as of this version, with a statutory response due by 30 October 2026. A request for internal review of the original Section 12 refusal, preserving the procedural record on the broader request, is also outstanding as of this version.</w:t>
      </w:r>
    </w:p>
    <w:bookmarkEnd w:id="50"/>
    <w:bookmarkStart w:id="51" w:name="Xc6622ae3b0016d1b71209db31e89ffe2a87fa04"/>
    <w:p>
      <w:pPr>
        <w:pStyle w:val="Heading2"/>
      </w:pPr>
      <w:r>
        <w:t xml:space="preserve">Section 21: Scope by Help Centre — Five Modules to Fourteen, Outside the DPIA and Senate’s Record</w:t>
      </w:r>
    </w:p>
    <w:p>
      <w:pPr>
        <w:pStyle w:val="FirstParagraph"/>
      </w:pPr>
      <w:r>
        <w:t xml:space="preserve">Part I, Section 9 documented that the Open University’s internal governance frameworks exist on paper without enforcement. This section examines one specific mechanism by which that gap operates in practice: the drafting device by which the scope of mandatory biometric invigilation is set and expanded outside both the University’s data protection risk assessment and the published record of its academic authority.</w:t>
      </w:r>
    </w:p>
    <w:p>
      <w:pPr>
        <w:pStyle w:val="BodyText"/>
      </w:pPr>
      <w:r>
        <w:t xml:space="preserve">The starting point is the University’s own procurement-stage risk record. Business Impact Assessment BIA-460 — the same document cited in Part II above — states, in its overview:</w:t>
      </w:r>
      <w:r>
        <w:t xml:space="preserve"> </w:t>
      </w:r>
      <w:r>
        <w:t xml:space="preserve">“</w:t>
      </w:r>
      <w:r>
        <w:t xml:space="preserve">ProctorU is an online exam invigilation software that we have procured due to professional accreditation standard in Accountancy and Maths - basically we need to ensure students taking their exams at home do not cheat, leave the room. We will be piloting the software with B250, B251, B252, B253, and MST125 over the next 2.5 years.</w:t>
      </w:r>
      <w:r>
        <w:t xml:space="preserve">”</w:t>
      </w:r>
      <w:r>
        <w:t xml:space="preserve"> </w:t>
      </w:r>
      <w:r>
        <w:t xml:space="preserve">Asked whether there is an alternative in use, it answers:</w:t>
      </w:r>
      <w:r>
        <w:t xml:space="preserve"> </w:t>
      </w:r>
      <w:r>
        <w:t xml:space="preserve">“</w:t>
      </w:r>
      <w:r>
        <w:t xml:space="preserve">No. And if we don’t do it, we will lose accreditation on our accountancy modules (and the single maths module).</w:t>
      </w:r>
      <w:r>
        <w:t xml:space="preserve">”</w:t>
      </w:r>
      <w:r>
        <w:t xml:space="preserve"> </w:t>
      </w:r>
      <w:r>
        <w:t xml:space="preserve">Five modules, a time-limited pilot, and one stated reason for procurement — a professional accreditation standard — confined by the document itself to accountancy and</w:t>
      </w:r>
      <w:r>
        <w:t xml:space="preserve"> </w:t>
      </w:r>
      <w:r>
        <w:t xml:space="preserve">“</w:t>
      </w:r>
      <w:r>
        <w:t xml:space="preserve">the single maths module.</w:t>
      </w:r>
      <w:r>
        <w:t xml:space="preserve">”</w:t>
      </w:r>
      <w:r>
        <w:t xml:space="preserve"> </w:t>
      </w:r>
      <w:r>
        <w:t xml:space="preserve">The five are the modules then in presentation, not a ring-fenced subset: the BSc (Hons) Accounting and Finance Stage 2 modules (B250–B253) are among them, and the Stage 3 modules (B350–B353) appear on the earliest public list of trial modules. For a student on that qualification, every module that ProctorU touched was a trial module from the outset. A Help Centre capture printed on 6 November 2025 makes the point with the University’s own dates, still under the heading</w:t>
      </w:r>
      <w:r>
        <w:t xml:space="preserve"> </w:t>
      </w:r>
      <w:r>
        <w:t xml:space="preserve">“</w:t>
      </w:r>
      <w:r>
        <w:t xml:space="preserve">Modules trialling online invigilation</w:t>
      </w:r>
      <w:r>
        <w:t xml:space="preserve">”</w:t>
      </w:r>
      <w:r>
        <w:t xml:space="preserve">:</w:t>
      </w:r>
      <w:r>
        <w:t xml:space="preserve"> </w:t>
      </w:r>
      <w:r>
        <w:t xml:space="preserve">“</w:t>
      </w:r>
      <w:r>
        <w:t xml:space="preserve">Financial management (B252) starting in April 2025,</w:t>
      </w:r>
      <w:r>
        <w:t xml:space="preserve">”</w:t>
      </w:r>
      <w:r>
        <w:t xml:space="preserve"> </w:t>
      </w:r>
      <w:r>
        <w:t xml:space="preserve">“</w:t>
      </w:r>
      <w:r>
        <w:t xml:space="preserve">Intermediate management accounting (B253) starting in April 2025,</w:t>
      </w:r>
      <w:r>
        <w:t xml:space="preserve">”</w:t>
      </w:r>
      <w:r>
        <w:t xml:space="preserve"> </w:t>
      </w:r>
      <w:r>
        <w:t xml:space="preserve">“</w:t>
      </w:r>
      <w:r>
        <w:t xml:space="preserve">Advanced financial accounting (B350) starting in October 2025,</w:t>
      </w:r>
      <w:r>
        <w:t xml:space="preserve">”</w:t>
      </w:r>
      <w:r>
        <w:t xml:space="preserve"> </w:t>
      </w:r>
      <w:r>
        <w:t xml:space="preserve">“</w:t>
      </w:r>
      <w:r>
        <w:t xml:space="preserve">Governance, audit and assurance (B351) starting in October 2025,</w:t>
      </w:r>
      <w:r>
        <w:t xml:space="preserve">”</w:t>
      </w:r>
      <w:r>
        <w:t xml:space="preserve"> </w:t>
      </w:r>
      <w:r>
        <w:t xml:space="preserve">“</w:t>
      </w:r>
      <w:r>
        <w:t xml:space="preserve">Advanced financial management and management accounting (B352) starting in April 2026,</w:t>
      </w:r>
      <w:r>
        <w:t xml:space="preserve">”</w:t>
      </w:r>
      <w:r>
        <w:t xml:space="preserve"> </w:t>
      </w:r>
      <w:r>
        <w:t xml:space="preserve">and</w:t>
      </w:r>
      <w:r>
        <w:t xml:space="preserve"> </w:t>
      </w:r>
      <w:r>
        <w:t xml:space="preserve">“</w:t>
      </w:r>
      <w:r>
        <w:t xml:space="preserve">Taxation (B353) starting April 2026.</w:t>
      </w:r>
      <w:r>
        <w:t xml:space="preserve">”</w:t>
      </w:r>
    </w:p>
    <w:p>
      <w:pPr>
        <w:pStyle w:val="BodyText"/>
      </w:pPr>
      <w:r>
        <w:t xml:space="preserve">That is not where the scope stayed. The mandatory module list is named in only one place: the University’s public Help Centre page on online invigilation, a live and editable web page. A capture of that page saved in June 2025 described the arrangement in the University’s own words as a trial —</w:t>
      </w:r>
      <w:r>
        <w:t xml:space="preserve"> </w:t>
      </w:r>
      <w:r>
        <w:t xml:space="preserve">“</w:t>
      </w:r>
      <w:r>
        <w:t xml:space="preserve">The University is trialling online invigilation on a small number of modules</w:t>
      </w:r>
      <w:r>
        <w:t xml:space="preserve">”</w:t>
      </w:r>
      <w:r>
        <w:t xml:space="preserve"> </w:t>
      </w:r>
      <w:r>
        <w:t xml:space="preserve">— under the heading</w:t>
      </w:r>
      <w:r>
        <w:t xml:space="preserve"> </w:t>
      </w:r>
      <w:r>
        <w:t xml:space="preserve">“</w:t>
      </w:r>
      <w:r>
        <w:t xml:space="preserve">Modules trialling online invigilation,</w:t>
      </w:r>
      <w:r>
        <w:t xml:space="preserve">”</w:t>
      </w:r>
      <w:r>
        <w:t xml:space="preserve"> </w:t>
      </w:r>
      <w:r>
        <w:t xml:space="preserve">and listed nine: MST125, BXI250, BXI251, B252, B253, B350, B351, B352, and B353, with the statement</w:t>
      </w:r>
      <w:r>
        <w:t xml:space="preserve"> </w:t>
      </w:r>
      <w:r>
        <w:t xml:space="preserve">“</w:t>
      </w:r>
      <w:r>
        <w:t xml:space="preserve">There is no alternative to an online invigilated exam for these modules.</w:t>
      </w:r>
      <w:r>
        <w:t xml:space="preserve">”</w:t>
      </w:r>
      <w:r>
        <w:t xml:space="preserve"> </w:t>
      </w:r>
      <w:r>
        <w:t xml:space="preserve">Checked again on 7 October 2026, the same page is headed</w:t>
      </w:r>
      <w:r>
        <w:t xml:space="preserve"> </w:t>
      </w:r>
      <w:r>
        <w:t xml:space="preserve">“</w:t>
      </w:r>
      <w:r>
        <w:t xml:space="preserve">Modules using online invigilation</w:t>
      </w:r>
      <w:r>
        <w:t xml:space="preserve">”</w:t>
      </w:r>
      <w:r>
        <w:t xml:space="preserve"> </w:t>
      </w:r>
      <w:r>
        <w:t xml:space="preserve">and lists fourteen: Essential mathematics 2 (MST125), Human biology: A body in balance (SK190), Mathematical methods (MST224), Analysing data (M248), BXI250, BXI251, B252, B253, B350, B351, B352, B353, Quantum physics (SM380), and Electromagnetism (SM381) — still with</w:t>
      </w:r>
      <w:r>
        <w:t xml:space="preserve"> </w:t>
      </w:r>
      <w:r>
        <w:t xml:space="preserve">“</w:t>
      </w:r>
      <w:r>
        <w:t xml:space="preserve">no alternative.</w:t>
      </w:r>
      <w:r>
        <w:t xml:space="preserve">”</w:t>
      </w:r>
      <w:r>
        <w:t xml:space="preserve"> </w:t>
      </w:r>
      <w:r>
        <w:t xml:space="preserve">The five additions fall into two groups. Two — MST224 and M248 — are further mathematics and statistics modules, beyond the</w:t>
      </w:r>
      <w:r>
        <w:t xml:space="preserve"> </w:t>
      </w:r>
      <w:r>
        <w:t xml:space="preserve">“</w:t>
      </w:r>
      <w:r>
        <w:t xml:space="preserve">single maths module</w:t>
      </w:r>
      <w:r>
        <w:t xml:space="preserve">”</w:t>
      </w:r>
      <w:r>
        <w:t xml:space="preserve"> </w:t>
      </w:r>
      <w:r>
        <w:t xml:space="preserve">BIA-460 names. Three — SK190, a human biology module, and SM380 and SM381, compulsory Stage 3 modules of the BSc (Hons) Physics — sit outside accountancy and mathematics altogether. And the language of a pilot has gone: what BIA-460 called a pilot</w:t>
      </w:r>
      <w:r>
        <w:t xml:space="preserve"> </w:t>
      </w:r>
      <w:r>
        <w:t xml:space="preserve">“</w:t>
      </w:r>
      <w:r>
        <w:t xml:space="preserve">over the next 2.5 years,</w:t>
      </w:r>
      <w:r>
        <w:t xml:space="preserve">”</w:t>
      </w:r>
      <w:r>
        <w:t xml:space="preserve"> </w:t>
      </w:r>
      <w:r>
        <w:t xml:space="preserve">and the Help Centre called a trial on</w:t>
      </w:r>
      <w:r>
        <w:t xml:space="preserve"> </w:t>
      </w:r>
      <w:r>
        <w:t xml:space="preserve">“</w:t>
      </w:r>
      <w:r>
        <w:t xml:space="preserve">a small number of modules,</w:t>
      </w:r>
      <w:r>
        <w:t xml:space="preserve">”</w:t>
      </w:r>
      <w:r>
        <w:t xml:space="preserve"> </w:t>
      </w:r>
      <w:r>
        <w:t xml:space="preserve">is now presented simply as the modules</w:t>
      </w:r>
      <w:r>
        <w:t xml:space="preserve"> </w:t>
      </w:r>
      <w:r>
        <w:t xml:space="preserve">“</w:t>
      </w:r>
      <w:r>
        <w:t xml:space="preserve">using</w:t>
      </w:r>
      <w:r>
        <w:t xml:space="preserve">”</w:t>
      </w:r>
      <w:r>
        <w:t xml:space="preserve"> </w:t>
      </w:r>
      <w:r>
        <w:t xml:space="preserve">online invigilation. No document in this case study’s record shows a decision ending the pilot.</w:t>
      </w:r>
    </w:p>
    <w:p>
      <w:pPr>
        <w:pStyle w:val="BodyText"/>
      </w:pPr>
      <w:r>
        <w:t xml:space="preserve">The formal Online Invigilation Policy does not close this gap; it is drafted to leave it open. Both the version effective from June 2025 (version 1.1,</w:t>
      </w:r>
      <w:r>
        <w:t xml:space="preserve"> </w:t>
      </w:r>
      <w:r>
        <w:t xml:space="preserve">“</w:t>
      </w:r>
      <w:r>
        <w:t xml:space="preserve">Approved by: Director Academic Services</w:t>
      </w:r>
      <w:r>
        <w:t xml:space="preserve">”</w:t>
      </w:r>
      <w:r>
        <w:t xml:space="preserve">) and the version effective from July 2026 (version 1.2,</w:t>
      </w:r>
      <w:r>
        <w:t xml:space="preserve"> </w:t>
      </w:r>
      <w:r>
        <w:t xml:space="preserve">“</w:t>
      </w:r>
      <w:r>
        <w:t xml:space="preserve">Approved by: Delegate, Director Academic Services</w:t>
      </w:r>
      <w:r>
        <w:t xml:space="preserve">”</w:t>
      </w:r>
      <w:r>
        <w:t xml:space="preserve">) carry the same scope clause, and neither names a single module:</w:t>
      </w:r>
      <w:r>
        <w:t xml:space="preserve"> </w:t>
      </w:r>
      <w:r>
        <w:t xml:space="preserve">“</w:t>
      </w:r>
      <w:r>
        <w:t xml:space="preserve">This policy applies only to the specific modules listed on the Help Centre. You cannot request an invigilated exam for any other module.</w:t>
      </w:r>
      <w:r>
        <w:t xml:space="preserve">”</w:t>
      </w:r>
      <w:r>
        <w:t xml:space="preserve"> </w:t>
      </w:r>
      <w:r>
        <w:t xml:space="preserve">The University’s Senate Schedule of Delegation (dated 3 October 2022) assigns the relevant power to a committee:</w:t>
      </w:r>
      <w:r>
        <w:t xml:space="preserve"> </w:t>
      </w:r>
      <w:r>
        <w:t xml:space="preserve">“</w:t>
      </w:r>
      <w:r>
        <w:t xml:space="preserve">Qualifications and Assessment Committee approves policies and regulations relating to assessment and examinations.</w:t>
      </w:r>
      <w:r>
        <w:t xml:space="preserve">”</w:t>
      </w:r>
      <w:r>
        <w:t xml:space="preserve"> </w:t>
      </w:r>
      <w:r>
        <w:t xml:space="preserve">Neither policy version records approval by that committee or by Senate; each records approval by an officer, and no instrument sub-delegating the committee’s power to that officer has been identified in this case study’s record. Under a policy that defers its own scope to a help page, the mandatory list can grow — and on this record has grown from five modules to fourteen — without the policy text changing at all.</w:t>
      </w:r>
    </w:p>
    <w:p>
      <w:pPr>
        <w:pStyle w:val="BodyText"/>
      </w:pPr>
      <w:r>
        <w:t xml:space="preserve">The justification on the record does not cover the whole of what is now imposed. Both policy versions state that online invigilation is used</w:t>
      </w:r>
      <w:r>
        <w:t xml:space="preserve"> </w:t>
      </w:r>
      <w:r>
        <w:t xml:space="preserve">“</w:t>
      </w:r>
      <w:r>
        <w:t xml:space="preserve">to uphold the academic integrity of the exam and/or meet the requirements of Professional, Statutory or Regulatory bodies who provide accreditation for your module or qualification.</w:t>
      </w:r>
      <w:r>
        <w:t xml:space="preserve">”</w:t>
      </w:r>
      <w:r>
        <w:t xml:space="preserve"> </w:t>
      </w:r>
      <w:r>
        <w:t xml:space="preserve">The second limb is the reason BIA-460 gives for procuring the software. It does not reach the physics modules: the Institute of Physics, which accredits the BSc (Hons) Physics, publishes a Degree Accreditation Framework (July 2022) that contains no reference to invigilation, proctoring, remote or online examinations, or identity verification; it requires</w:t>
      </w:r>
      <w:r>
        <w:t xml:space="preserve"> </w:t>
      </w:r>
      <w:r>
        <w:t xml:space="preserve">“</w:t>
      </w:r>
      <w:r>
        <w:t xml:space="preserve">an effective assessment and examination setting and moderation procedure that is adhered to,</w:t>
      </w:r>
      <w:r>
        <w:t xml:space="preserve">”</w:t>
      </w:r>
      <w:r>
        <w:t xml:space="preserve"> </w:t>
      </w:r>
      <w:r>
        <w:t xml:space="preserve">and prescribes no method of invigilation. The University’s own current policy goes further and concedes that the mandatory list is not confined to accredited modules. Version 1.2, section 12.5, provides:</w:t>
      </w:r>
      <w:r>
        <w:t xml:space="preserve"> </w:t>
      </w:r>
      <w:r>
        <w:t xml:space="preserve">“</w:t>
      </w:r>
      <w:r>
        <w:t xml:space="preserve">If you’re studying a professionally accredited module and you are working on your exam for more than 10 minutes without being invigilated, we won’t be able to accept your script. If your module is not professionally accredited, the University will decide whether we can accept your script.</w:t>
      </w:r>
      <w:r>
        <w:t xml:space="preserve">”</w:t>
      </w:r>
      <w:r>
        <w:t xml:space="preserve"> </w:t>
      </w:r>
      <w:r>
        <w:t xml:space="preserve">A policy that writes a separate rule for in-scope modules that are</w:t>
      </w:r>
      <w:r>
        <w:t xml:space="preserve"> </w:t>
      </w:r>
      <w:r>
        <w:t xml:space="preserve">“</w:t>
      </w:r>
      <w:r>
        <w:t xml:space="preserve">not professionally accredited</w:t>
      </w:r>
      <w:r>
        <w:t xml:space="preserve">”</w:t>
      </w:r>
      <w:r>
        <w:t xml:space="preserve"> </w:t>
      </w:r>
      <w:r>
        <w:t xml:space="preserve">cannot rest the whole of its scope on accreditation. For those modules, what remains is the generic first limb — academic integrity — and no disclosed document assesses whether compulsory biometric invigilation by a third party is necessary for academic integrity on any of the modules added since BIA-460.</w:t>
      </w:r>
    </w:p>
    <w:p>
      <w:pPr>
        <w:pStyle w:val="BodyText"/>
      </w:pPr>
      <w:r>
        <w:t xml:space="preserve">The University’s Data Protection Questionnaire — the document the University has confirmed (FOI2025/238, Part I sources) is</w:t>
      </w:r>
      <w:r>
        <w:t xml:space="preserve"> </w:t>
      </w:r>
      <w:r>
        <w:t xml:space="preserve">“</w:t>
      </w:r>
      <w:r>
        <w:t xml:space="preserve">the name used for DPIAs at the OU</w:t>
      </w:r>
      <w:r>
        <w:t xml:space="preserve">”</w:t>
      </w:r>
      <w:r>
        <w:t xml:space="preserve"> </w:t>
      </w:r>
      <w:r>
        <w:t xml:space="preserve">— tracks none of this. Every disclosed version — including the version disclosed in late 2025 under FOI2025/238 and a version titled</w:t>
      </w:r>
      <w:r>
        <w:t xml:space="preserve"> </w:t>
      </w:r>
      <w:r>
        <w:t xml:space="preserve">“</w:t>
      </w:r>
      <w:r>
        <w:t xml:space="preserve">ProctorU DPQ Updated March 2026,</w:t>
      </w:r>
      <w:r>
        <w:t xml:space="preserve">”</w:t>
      </w:r>
      <w:r>
        <w:t xml:space="preserve"> </w:t>
      </w:r>
      <w:r>
        <w:t xml:space="preserve">disclosed under FOI2026/039 — describes the processing only as</w:t>
      </w:r>
      <w:r>
        <w:t xml:space="preserve"> </w:t>
      </w:r>
      <w:r>
        <w:t xml:space="preserve">“</w:t>
      </w:r>
      <w:r>
        <w:t xml:space="preserve">Digital student assessment for 4 specific courses.</w:t>
      </w:r>
      <w:r>
        <w:t xml:space="preserve">”</w:t>
      </w:r>
      <w:r>
        <w:t xml:space="preserve"> </w:t>
      </w:r>
      <w:r>
        <w:t xml:space="preserve">None names a single module. Each records a single sign-off entry —</w:t>
      </w:r>
      <w:r>
        <w:t xml:space="preserve"> </w:t>
      </w:r>
      <w:r>
        <w:t xml:space="preserve">“</w:t>
      </w:r>
      <w:r>
        <w:t xml:space="preserve">Version 0,9,</w:t>
      </w:r>
      <w:r>
        <w:t xml:space="preserve">”</w:t>
      </w:r>
      <w:r>
        <w:t xml:space="preserve"> </w:t>
      </w:r>
      <w:r>
        <w:t xml:space="preserve">dated 06/12/2022 — against a form date of 06/12/2023. In each, the</w:t>
      </w:r>
      <w:r>
        <w:t xml:space="preserve"> </w:t>
      </w:r>
      <w:r>
        <w:t xml:space="preserve">“</w:t>
      </w:r>
      <w:r>
        <w:t xml:space="preserve">Approved by (business owner/sponsor)</w:t>
      </w:r>
      <w:r>
        <w:t xml:space="preserve">”</w:t>
      </w:r>
      <w:r>
        <w:t xml:space="preserve"> </w:t>
      </w:r>
      <w:r>
        <w:t xml:space="preserve">and</w:t>
      </w:r>
      <w:r>
        <w:t xml:space="preserve"> </w:t>
      </w:r>
      <w:r>
        <w:t xml:space="preserve">“</w:t>
      </w:r>
      <w:r>
        <w:t xml:space="preserve">Date of next review</w:t>
      </w:r>
      <w:r>
        <w:t xml:space="preserve">”</w:t>
      </w:r>
      <w:r>
        <w:t xml:space="preserve"> </w:t>
      </w:r>
      <w:r>
        <w:t xml:space="preserve">fields are empty; in the March 2026 version, visual inspection of the sign-off page confirms those cells are blank rather than redacted, while the author’s name in the same row is redacted with a black box. The March 2026 update, in other words, was made after the list had already reached nine modules, and it still describes four courses, still carries the 2022 version number, and still records no approver and no review date.</w:t>
      </w:r>
    </w:p>
    <w:p>
      <w:pPr>
        <w:pStyle w:val="BodyText"/>
      </w:pPr>
      <w:r>
        <w:t>The University’s own Senate minutes show that the general problem — decisions delegated to the Qualifications and Assessment Committee not reaching Senate in detail — was raised on the record, in a related context, before the expansion. Minute 9.2(b) of Senate’s minutes of 19 June 2024 (S-2024-03-M; the copy held is the unconfirmed version presented to Senate for approval), recorded under the Finance Update, reads:</w:t>
      </w:r>
      <w:r>
        <w:t xml:space="preserve"> </w:t>
      </w:r>
      <w:r>
        <w:t xml:space="preserve">“</w:t>
      </w:r>
      <w:r>
        <w:t xml:space="preserve">Suggested that curriculum withdrawals, which were currently delegated to Qualifications Committee (QAC), should come to Senate for approval or Senate should receive a full report on withdrawal. The Deputy Vice-Chancellor explained that the annual report from QAC to Senate was due to be presented to the October meeting and suggested that it should cover in detail the curriculum that had been added or withdrawn.</w:t>
      </w:r>
      <w:r>
        <w:t xml:space="preserve">”</w:t>
      </w:r>
      <w:r>
        <w:t xml:space="preserve"> </w:t>
      </w:r>
      <w:r>
        <w:t xml:space="preserve">The point raised concerned curriculum withdrawals, not invigilation scope; its relevance here is structural. At the October meeting to which the Deputy Vice-Chancellor referred — 9 October 2024 (S-2024-05-M, confirmed) — Minute 17 records only:</w:t>
      </w:r>
      <w:r>
        <w:t xml:space="preserve"> </w:t>
      </w:r>
      <w:r>
        <w:t xml:space="preserve">“</w:t>
      </w:r>
      <w:r>
        <w:t xml:space="preserve">Senate noted an Annual Report of Qualifications and Assessment Committee.</w:t>
      </w:r>
      <w:r>
        <w:t xml:space="preserve">”</w:t>
      </w:r>
      <w:r>
        <w:t xml:space="preserve"> </w:t>
      </w:r>
      <w:r>
        <w:t xml:space="preserve">The minute of 8 October 2025 (S-2025-04-M, Minute 20) is in identical terms, as was the minute of 11 October 2023 (S-2023-04-M, Minute 16) before the suggestion was made. The minutes do not show what the annual report papers themselves contained; what they show is that no detail of curriculum added or withdrawn, and no discussion of it, was recorded by Senate either before or after the Deputy Vice-Chancellor’s suggestion.</w:t>
      </w:r>
    </w:p>
    <w:p>
      <w:pPr>
        <w:pStyle w:val="BodyText"/>
      </w:pPr>
      <w:r>
        <w:t xml:space="preserve">None of this is asserted as a sequencing scandal. The June 2025 capture already included B350 through B353; there is no evidence on file that those four modules were added at some later, documentable date, and this case study makes no such claim. Nor does it claim that MST224 or M248 lack any form of accreditation, or that the officer who approved the policy lacked authority — only that no delegation instrument has been identified. What is established, and does not depend on any particular sequence, is the structure: a population subject to compulsory biometric surveillance that has grown from the five modules of the procurement-stage pilot to fourteen modules through a public help page, outside the University’s own data protection assessment, which still describes four courses; outside any recorded approval by the committee the Schedule of Delegation names; and beyond the reach of the only reason the University’s procurement record gives for buying the software in the first place.</w:t>
      </w:r>
    </w:p>
    <w:bookmarkEnd w:id="51"/>
    <w:bookmarkStart w:id="52" w:name="Xd4e1a7e5eb29e2a5af328d0323ea4958a8c5e1b"/>
    <w:p>
      <w:pPr>
        <w:pStyle w:val="Heading2"/>
      </w:pPr>
      <w:r>
        <w:t xml:space="preserve">Section 22: The Artificial Intelligence the University Says It Does Not Use</w:t>
      </w:r>
    </w:p>
    <w:p>
      <w:pPr>
        <w:pStyle w:val="FirstParagraph"/>
      </w:pPr>
      <w:r>
        <w:t xml:space="preserve">The University’s Data Protection Questionnaire describes artificial intelligence in its own words, and then certifies that there is none. Every disclosed version answers Q23 —</w:t>
      </w:r>
      <w:r>
        <w:t xml:space="preserve"> </w:t>
      </w:r>
      <w:r>
        <w:t xml:space="preserve">“</w:t>
      </w:r>
      <w:r>
        <w:t xml:space="preserve">Will the activity involve processing of personal information by Artificial Intelligence (AI)?</w:t>
      </w:r>
      <w:r>
        <w:t xml:space="preserve">”</w:t>
      </w:r>
      <w:r>
        <w:t xml:space="preserve"> </w:t>
      </w:r>
      <w:r>
        <w:t xml:space="preserve">— Yes:</w:t>
      </w:r>
      <w:r>
        <w:t xml:space="preserve"> </w:t>
      </w:r>
      <w:r>
        <w:t xml:space="preserve">“</w:t>
      </w:r>
      <w:r>
        <w:t xml:space="preserve">If OU would like to use biometric data to identify students attending exam we will proces personal data. Student use their own webcamera to take a picture of them self.</w:t>
      </w:r>
      <w:r>
        <w:t xml:space="preserve">”</w:t>
      </w:r>
      <w:r>
        <w:t xml:space="preserve"> </w:t>
      </w:r>
      <w:r>
        <w:t xml:space="preserve">The questionnaire’s AI tab, Q1, describes the logic:</w:t>
      </w:r>
      <w:r>
        <w:t xml:space="preserve"> </w:t>
      </w:r>
      <w:r>
        <w:t xml:space="preserve">“</w:t>
      </w:r>
      <w:r>
        <w:t xml:space="preserve">The service is a similarservice: it looks at a picture from the students webcamera prior to exam and during the exam looks if the person looks simular to the reference picture taken. If used voicedetection it used a simularityservice to compare sound in the room sound as person speaking.</w:t>
      </w:r>
      <w:r>
        <w:t xml:space="preserve">”</w:t>
      </w:r>
      <w:r>
        <w:t xml:space="preserve"> </w:t>
      </w:r>
      <w:r>
        <w:t xml:space="preserve">Q18 records</w:t>
      </w:r>
      <w:r>
        <w:t xml:space="preserve"> </w:t>
      </w:r>
      <w:r>
        <w:t xml:space="preserve">“</w:t>
      </w:r>
      <w:r>
        <w:t xml:space="preserve">biometric data as facial rec. and voice detection is processed</w:t>
      </w:r>
      <w:r>
        <w:t xml:space="preserve">”</w:t>
      </w:r>
      <w:r>
        <w:t xml:space="preserve">; Q25 records that</w:t>
      </w:r>
      <w:r>
        <w:t xml:space="preserve"> </w:t>
      </w:r>
      <w:r>
        <w:t xml:space="preserve">“</w:t>
      </w:r>
      <w:r>
        <w:t xml:space="preserve">The student tak a picture is translated to a score</w:t>
      </w:r>
      <w:r>
        <w:t xml:space="preserve">”</w:t>
      </w:r>
      <w:r>
        <w:t xml:space="preserve">; Q40 records that a failed match</w:t>
      </w:r>
      <w:r>
        <w:t xml:space="preserve"> </w:t>
      </w:r>
      <w:r>
        <w:t xml:space="preserve">“</w:t>
      </w:r>
      <w:r>
        <w:t xml:space="preserve">will only raise a flag.</w:t>
      </w:r>
      <w:r>
        <w:t xml:space="preserve">”</w:t>
      </w:r>
      <w:r>
        <w:t xml:space="preserve"> </w:t>
      </w:r>
      <w:r>
        <w:t xml:space="preserve">The five questions that would test any of this — accuracy and false positives, automation bias, interpretability, the factors reviewers weigh, human involvement in set-up — are unanswered in every version. The same document’s assessment tab then records:</w:t>
      </w:r>
      <w:r>
        <w:t xml:space="preserve"> </w:t>
      </w:r>
      <w:r>
        <w:t xml:space="preserve">“</w:t>
      </w:r>
      <w:r>
        <w:t xml:space="preserve">Artificial Intelligence, Machine Learning or Alogrithims usage are not part of this activity, therefore, this requirement has been met.</w:t>
      </w:r>
      <w:r>
        <w:t xml:space="preserve">”</w:t>
      </w:r>
      <w:r>
        <w:t xml:space="preserve"> </w:t>
      </w:r>
      <w:r>
        <w:t xml:space="preserve">Its risk assessment scores the AI risk at 1, and the March 2026 revision adds, in terms,</w:t>
      </w:r>
      <w:r>
        <w:t xml:space="preserve"> </w:t>
      </w:r>
      <w:r>
        <w:t xml:space="preserve">“</w:t>
      </w:r>
      <w:r>
        <w:t xml:space="preserve">No ML/AI used.</w:t>
      </w:r>
      <w:r>
        <w:t xml:space="preserve">”</w:t>
      </w:r>
      <w:r>
        <w:t xml:space="preserve"> </w:t>
      </w:r>
      <w:r>
        <w:t xml:space="preserve">Q23’s own instruction —</w:t>
      </w:r>
      <w:r>
        <w:t xml:space="preserve"> </w:t>
      </w:r>
      <w:r>
        <w:t xml:space="preserve">“</w:t>
      </w:r>
      <w:r>
        <w:t xml:space="preserve">AI models require a DPIA to cover the research and development activities, and a separate DPIA for deployment</w:t>
      </w:r>
      <w:r>
        <w:t xml:space="preserve">”</w:t>
      </w:r>
      <w:r>
        <w:t xml:space="preserve"> </w:t>
      </w:r>
      <w:r>
        <w:t xml:space="preserve">— has produced no disclosed DPIA of either kind.</w:t>
      </w:r>
    </w:p>
    <w:p>
      <w:pPr>
        <w:pStyle w:val="BodyText"/>
      </w:pPr>
      <w:r>
        <w:t xml:space="preserve">The vendor says the same thing the questionnaire’s first answers say. Meazure Learning’s own</w:t>
      </w:r>
      <w:r>
        <w:t xml:space="preserve"> </w:t>
      </w:r>
      <w:r>
        <w:t xml:space="preserve">“</w:t>
      </w:r>
      <w:r>
        <w:t xml:space="preserve">Responsible Use of AI</w:t>
      </w:r>
      <w:r>
        <w:t xml:space="preserve">”</w:t>
      </w:r>
      <w:r>
        <w:t xml:space="preserve"> </w:t>
      </w:r>
      <w:r>
        <w:t xml:space="preserve">page states that</w:t>
      </w:r>
      <w:r>
        <w:t xml:space="preserve"> </w:t>
      </w:r>
      <w:r>
        <w:t xml:space="preserve">“</w:t>
      </w:r>
      <w:r>
        <w:t xml:space="preserve">proctoring managers audit AI-generated flags in incident reports before submitting them to test owners.</w:t>
      </w:r>
      <w:r>
        <w:t xml:space="preserve">”</w:t>
      </w:r>
      <w:r>
        <w:t xml:space="preserve"> </w:t>
      </w:r>
      <w:r>
        <w:t xml:space="preserve">Its privacy policy, in the version in force before May 2026, states that</w:t>
      </w:r>
      <w:r>
        <w:t xml:space="preserve"> </w:t>
      </w:r>
      <w:r>
        <w:t xml:space="preserve">“</w:t>
      </w:r>
      <w:r>
        <w:t xml:space="preserve">Where your institution or organization requires it, we also use third-party biometric facial recognition software to augment our identity verification process</w:t>
      </w:r>
      <w:r>
        <w:t xml:space="preserve">”</w:t>
      </w:r>
      <w:r>
        <w:t xml:space="preserve">; its May 2026 version lists</w:t>
      </w:r>
      <w:r>
        <w:t xml:space="preserve"> </w:t>
      </w:r>
      <w:r>
        <w:t xml:space="preserve">“</w:t>
      </w:r>
      <w:r>
        <w:t xml:space="preserve">biometric data (such as facial recognition and keystroke patterns).</w:t>
      </w:r>
      <w:r>
        <w:t xml:space="preserve">”</w:t>
      </w:r>
    </w:p>
    <w:p>
      <w:pPr>
        <w:pStyle w:val="BodyText"/>
      </w:pPr>
      <w:r>
        <w:t xml:space="preserve">A second AI-enabled product sits inside the same examination and is not named in any version of the questionnaire at all. Meazure’s own privacy policy tells candidates they must</w:t>
      </w:r>
      <w:r>
        <w:t xml:space="preserve"> </w:t>
      </w:r>
      <w:r>
        <w:t xml:space="preserve">“</w:t>
      </w:r>
      <w:r>
        <w:t xml:space="preserve">share your screen with our proctors through a LogMeIn File.</w:t>
      </w:r>
      <w:r>
        <w:t xml:space="preserve">”</w:t>
      </w:r>
      <w:r>
        <w:t xml:space="preserve"> </w:t>
      </w:r>
      <w:r>
        <w:t xml:space="preserve">ProctorU’s published network requirements state that</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GoTo, which supplies LogMeIn Rescue, announced on 4 March 2025 that Rescue’s</w:t>
      </w:r>
      <w:r>
        <w:t xml:space="preserve"> </w:t>
      </w:r>
      <w:r>
        <w:t xml:space="preserve">“</w:t>
      </w:r>
      <w:r>
        <w:t xml:space="preserve">AI-powered features automatically generate comprehensive session notes, analyze device performance to flag anomalies, and provide recommended actions to agents during support sessions based on analysis of the end user’s screen.</w:t>
      </w:r>
      <w:r>
        <w:t xml:space="preserve">”</w:t>
      </w:r>
      <w:r>
        <w:t xml:space="preserve"> </w:t>
      </w:r>
      <w:r>
        <w:t xml:space="preserve">Its release notes for 15 September 2025 fix the</w:t>
      </w:r>
      <w:r>
        <w:t xml:space="preserve"> </w:t>
      </w:r>
      <w:r>
        <w:t xml:space="preserve">“</w:t>
      </w:r>
      <w:r>
        <w:t xml:space="preserve">AI session summary prompt</w:t>
      </w:r>
      <w:r>
        <w:t xml:space="preserve">”</w:t>
      </w:r>
      <w:r>
        <w:t xml:space="preserve"> </w:t>
      </w:r>
      <w:r>
        <w:t xml:space="preserve">shown</w:t>
      </w:r>
      <w:r>
        <w:t xml:space="preserve"> </w:t>
      </w:r>
      <w:r>
        <w:t xml:space="preserve">“</w:t>
      </w:r>
      <w:r>
        <w:t xml:space="preserve">when ending a remote control session</w:t>
      </w:r>
      <w:r>
        <w:t xml:space="preserve">”</w:t>
      </w:r>
      <w:r>
        <w:t xml:space="preserve">; its release notes for 1 October 2025 record that</w:t>
      </w:r>
      <w:r>
        <w:t xml:space="preserve"> </w:t>
      </w:r>
      <w:r>
        <w:t xml:space="preserve">“</w:t>
      </w:r>
      <w:r>
        <w:t xml:space="preserve">The AI Assistant generates an assessment of the case automatically.</w:t>
      </w:r>
      <w:r>
        <w:t xml:space="preserve">”</w:t>
      </w:r>
      <w:r>
        <w:t xml:space="preserve"> </w:t>
      </w:r>
      <w:r>
        <w:t xml:space="preserve">Its May 2026 sub-processor list names Microsoft/Azure OpenAI, OpenAI LLC and Google Vertex AI for Rescue. The University’s assessment does not mention the product, let alone its AI features. None of this shows that any particular student’s session was processed by those features; it shows that the University mandated software carrying them and never asked.</w:t>
      </w:r>
    </w:p>
    <w:p>
      <w:pPr>
        <w:pStyle w:val="BodyText"/>
      </w:pPr>
      <w:r>
        <w:t xml:space="preserve">The vendor’s published terms also reserve purposes of its own. The privacy policy in force before May 2026 states:</w:t>
      </w:r>
      <w:r>
        <w:t xml:space="preserve"> </w:t>
      </w:r>
      <w:r>
        <w:t xml:space="preserve">“</w:t>
      </w:r>
      <w:r>
        <w:t xml:space="preserve">Meazure may collect recordings of your test session for identity verification, exam integrity, and training purposes,</w:t>
      </w:r>
      <w:r>
        <w:t xml:space="preserve">”</w:t>
      </w:r>
      <w:r>
        <w:t xml:space="preserve"> </w:t>
      </w:r>
      <w:r>
        <w:t xml:space="preserve">and lists among the purposes for biometric information to</w:t>
      </w:r>
      <w:r>
        <w:t xml:space="preserve"> </w:t>
      </w:r>
      <w:r>
        <w:t xml:space="preserve">“</w:t>
      </w:r>
      <w:r>
        <w:t xml:space="preserve">verify, maintain, improve, upgrade, or enhance a product or service.</w:t>
      </w:r>
      <w:r>
        <w:t xml:space="preserve">”</w:t>
      </w:r>
      <w:r>
        <w:t xml:space="preserve"> </w:t>
      </w:r>
      <w:r>
        <w:t xml:space="preserve">The May 2026 version adds</w:t>
      </w:r>
      <w:r>
        <w:t xml:space="preserve"> </w:t>
      </w:r>
      <w:r>
        <w:t xml:space="preserve">“</w:t>
      </w:r>
      <w:r>
        <w:t xml:space="preserve">internal research and development, such as testing, verifying, and improving the quality of our Services or developing new ones,</w:t>
      </w:r>
      <w:r>
        <w:t xml:space="preserve">”</w:t>
      </w:r>
      <w:r>
        <w:t xml:space="preserve"> </w:t>
      </w:r>
      <w:r>
        <w:t xml:space="preserve">records that support-chat content</w:t>
      </w:r>
      <w:r>
        <w:t xml:space="preserve"> </w:t>
      </w:r>
      <w:r>
        <w:t xml:space="preserve">“</w:t>
      </w:r>
      <w:r>
        <w:t xml:space="preserve">may be used by Zendesk in accordance with their Privacy Notice to help train and improve Zendesk’s AI systems,</w:t>
      </w:r>
      <w:r>
        <w:t xml:space="preserve">”</w:t>
      </w:r>
      <w:r>
        <w:t xml:space="preserve"> </w:t>
      </w:r>
      <w:r>
        <w:t xml:space="preserve">and drops the earlier pledge that Meazure</w:t>
      </w:r>
      <w:r>
        <w:t xml:space="preserve"> </w:t>
      </w:r>
      <w:r>
        <w:t xml:space="preserve">“</w:t>
      </w:r>
      <w:r>
        <w:t xml:space="preserve">does not sell, lease, trade, or otherwise profit from individuals’ biometric data.</w:t>
      </w:r>
      <w:r>
        <w:t xml:space="preserve">”</w:t>
      </w:r>
      <w:r>
        <w:t xml:space="preserve"> </w:t>
      </w:r>
      <w:r>
        <w:t xml:space="preserve">Meazure’s Terms of Service of 6 May 2026 describe</w:t>
      </w:r>
      <w:r>
        <w:t xml:space="preserve"> </w:t>
      </w:r>
      <w:r>
        <w:t xml:space="preserve">“</w:t>
      </w:r>
      <w:r>
        <w:t xml:space="preserve">any recordings of any test sessions</w:t>
      </w:r>
      <w:r>
        <w:t xml:space="preserve">”</w:t>
      </w:r>
      <w:r>
        <w:t xml:space="preserve"> </w:t>
      </w:r>
      <w:r>
        <w:t xml:space="preserve">as</w:t>
      </w:r>
      <w:r>
        <w:t xml:space="preserve"> </w:t>
      </w:r>
      <w:r>
        <w:t xml:space="preserve">“</w:t>
      </w:r>
      <w:r>
        <w:t xml:space="preserve">Content</w:t>
      </w:r>
      <w:r>
        <w:t xml:space="preserve">”</w:t>
      </w:r>
      <w:r>
        <w:t xml:space="preserve"> </w:t>
      </w:r>
      <w:r>
        <w:t xml:space="preserve">that is</w:t>
      </w:r>
      <w:r>
        <w:t xml:space="preserve"> </w:t>
      </w:r>
      <w:r>
        <w:t xml:space="preserve">“</w:t>
      </w:r>
      <w:r>
        <w:t xml:space="preserve">exclusively owned by Meazure Learning and its licensors,</w:t>
      </w:r>
      <w:r>
        <w:t xml:space="preserve">”</w:t>
      </w:r>
      <w:r>
        <w:t xml:space="preserve"> </w:t>
      </w:r>
      <w:r>
        <w:t xml:space="preserve">and treat</w:t>
      </w:r>
      <w:r>
        <w:t xml:space="preserve"> </w:t>
      </w:r>
      <w:r>
        <w:t xml:space="preserve">“</w:t>
      </w:r>
      <w:r>
        <w:t xml:space="preserve">any recordings or images of you made by the Services during your test session(s)</w:t>
      </w:r>
      <w:r>
        <w:t xml:space="preserve">”</w:t>
      </w:r>
      <w:r>
        <w:t xml:space="preserve"> </w:t>
      </w:r>
      <w:r>
        <w:t xml:space="preserve">as content over which the candidate grants</w:t>
      </w:r>
      <w:r>
        <w:t xml:space="preserve"> </w:t>
      </w:r>
      <w:r>
        <w:t xml:space="preserve">“</w:t>
      </w:r>
      <w:r>
        <w:t xml:space="preserve">a royalty-free, transferable, irrevocable, and perpetual license.</w:t>
      </w:r>
      <w:r>
        <w:t xml:space="preserve">”</w:t>
      </w:r>
      <w:r>
        <w:t xml:space="preserve"> </w:t>
      </w:r>
      <w:r>
        <w:t xml:space="preserve">A processor is permitted to process personal data only on the controller’s documented instructions. The University’s assessment records purpose limitation as met in one line —</w:t>
      </w:r>
      <w:r>
        <w:t xml:space="preserve"> </w:t>
      </w:r>
      <w:r>
        <w:t xml:space="preserve">“</w:t>
      </w:r>
      <w:r>
        <w:t xml:space="preserve">The lawful purpose of processing is</w:t>
      </w:r>
      <w:r>
        <w:t xml:space="preserve"> </w:t>
      </w:r>
      <w:r>
        <w:t xml:space="preserve">‘</w:t>
      </w:r>
      <w:r>
        <w:t xml:space="preserve">Contract</w:t>
      </w:r>
      <w:r>
        <w:t xml:space="preserve">’</w:t>
      </w:r>
      <w:r>
        <w:t xml:space="preserve">”</w:t>
      </w:r>
      <w:r>
        <w:t xml:space="preserve"> </w:t>
      </w:r>
      <w:r>
        <w:t xml:space="preserve">— and addresses none of the processor’s own stated purposes.</w:t>
      </w:r>
    </w:p>
    <w:p>
      <w:pPr>
        <w:pStyle w:val="BodyText"/>
      </w:pPr>
      <w:r>
        <w:t xml:space="preserve">The retention record contradicts itself in the same way. The questionnaire states</w:t>
      </w:r>
      <w:r>
        <w:t xml:space="preserve"> </w:t>
      </w:r>
      <w:r>
        <w:t xml:space="preserve">“</w:t>
      </w:r>
      <w:r>
        <w:t xml:space="preserve">7 days for identification</w:t>
      </w:r>
      <w:r>
        <w:t xml:space="preserve">”</w:t>
      </w:r>
      <w:r>
        <w:t xml:space="preserve"> </w:t>
      </w:r>
      <w:r>
        <w:t xml:space="preserve">and that biometric data</w:t>
      </w:r>
      <w:r>
        <w:t xml:space="preserve"> </w:t>
      </w:r>
      <w:r>
        <w:t xml:space="preserve">“</w:t>
      </w:r>
      <w:r>
        <w:t xml:space="preserve">will be distroyed after 7 days</w:t>
      </w:r>
      <w:r>
        <w:t xml:space="preserve">”</w:t>
      </w:r>
      <w:r>
        <w:t xml:space="preserve">; its March 2026 risk notes record that</w:t>
      </w:r>
      <w:r>
        <w:t xml:space="preserve"> </w:t>
      </w:r>
      <w:r>
        <w:t xml:space="preserve">“</w:t>
      </w:r>
      <w:r>
        <w:t xml:space="preserve">Biometric data is still captured in the AV recording, which is retained for a year,</w:t>
      </w:r>
      <w:r>
        <w:t xml:space="preserve">”</w:t>
      </w:r>
      <w:r>
        <w:t xml:space="preserve"> </w:t>
      </w:r>
      <w:r>
        <w:t xml:space="preserve">and that recordings are then kept</w:t>
      </w:r>
      <w:r>
        <w:t xml:space="preserve"> </w:t>
      </w:r>
      <w:r>
        <w:t xml:space="preserve">“</w:t>
      </w:r>
      <w:r>
        <w:t xml:space="preserve">in cold storage for an additional 24 months. This includes biometric data (depending on how we define biometric, voice, face, eye colour etc.).</w:t>
      </w:r>
      <w:r>
        <w:t xml:space="preserve">”</w:t>
      </w:r>
    </w:p>
    <w:p>
      <w:pPr>
        <w:pStyle w:val="BodyText"/>
      </w:pPr>
      <w:r>
        <w:t xml:space="preserve">The author’s own subject access disclosure illustrates the result. It contains a recording of an examination session and a 23-page vendor account log recording the service line as</w:t>
      </w:r>
      <w:r>
        <w:t xml:space="preserve"> </w:t>
      </w:r>
      <w:r>
        <w:t xml:space="preserve">“</w:t>
      </w:r>
      <w:r>
        <w:t xml:space="preserve">Live+,</w:t>
      </w:r>
      <w:r>
        <w:t xml:space="preserve">”</w:t>
      </w:r>
      <w:r>
        <w:t xml:space="preserve"> </w:t>
      </w:r>
      <w:r>
        <w:t xml:space="preserve">remote control taken repeatedly through LogMeIn Rescue, and desktop viewing to the end of the session. It contains no match score, no AI-generated flag, and no record of whether automated identification was switched on — although the University’s own questionnaire states that the student’s picture</w:t>
      </w:r>
      <w:r>
        <w:t xml:space="preserve"> </w:t>
      </w:r>
      <w:r>
        <w:t xml:space="preserve">“</w:t>
      </w:r>
      <w:r>
        <w:t xml:space="preserve">is translated to a score.</w:t>
      </w:r>
      <w:r>
        <w:t xml:space="preserve">”</w:t>
      </w:r>
      <w:r>
        <w:t xml:space="preserve"> </w:t>
      </w:r>
      <w:r>
        <w:t xml:space="preserve">Either those outputs exist and were not disclosed, or the University cannot say what its system did. Its own assessment, written conditionally in places (</w:t>
      </w:r>
      <w:r>
        <w:t xml:space="preserve">“</w:t>
      </w:r>
      <w:r>
        <w:t xml:space="preserve">If OU choose to use automated identification…</w:t>
      </w:r>
      <w:r>
        <w:t xml:space="preserve">”</w:t>
      </w:r>
      <w:r>
        <w:t xml:space="preserve">), never records which — although, as Section 23 shows, elsewhere in the same document the biometric processing is recorded as fact.</w:t>
      </w:r>
    </w:p>
    <w:p>
      <w:pPr>
        <w:pStyle w:val="BodyText"/>
      </w:pPr>
      <w:r>
        <w:t xml:space="preserve">What is established is not a set of blank boxes. It is an assessment that describes facial and voice matching by artificial intelligence, certifies that no artificial intelligence is used, omits a second AI-enabled product students must install, ignores the processor’s own declared purposes for the recordings it keeps, and contradicts its own retention figures — the document the University itself calls its DPIA.</w:t>
      </w:r>
    </w:p>
    <w:bookmarkEnd w:id="52"/>
    <w:bookmarkStart w:id="53" w:name="Xf0aadd53c481152f3e0942c992872aeeb890e32"/>
    <w:p>
      <w:pPr>
        <w:pStyle w:val="Heading2"/>
      </w:pPr>
      <w:r>
        <w:t xml:space="preserve">Section 23: Recorded, Watched and Controlled — What the University’s Own Records Say</w:t>
      </w:r>
    </w:p>
    <w:p>
      <w:pPr>
        <w:pStyle w:val="FirstParagraph"/>
      </w:pPr>
      <w:r>
        <w:t xml:space="preserve">Section 22 dealt with what the University’s assessment says about artificial intelligence. This section deals with what the same records — the Data Protection Questionnaire disclosed under FOI2025/238 and the version</w:t>
      </w:r>
      <w:r>
        <w:t xml:space="preserve"> </w:t>
      </w:r>
      <w:r>
        <w:t xml:space="preserve">“</w:t>
      </w:r>
      <w:r>
        <w:t xml:space="preserve">Updated March 2026</w:t>
      </w:r>
      <w:r>
        <w:t xml:space="preserve">”</w:t>
      </w:r>
      <w:r>
        <w:t xml:space="preserve"> </w:t>
      </w:r>
      <w:r>
        <w:t xml:space="preserve">disclosed under FOI2026/039, read with the vendors’ own published documents — say about the biometric data captured, how long it is kept, the legal basis claimed for it, and the control exercised over the student’s own computer. Every source is public or was disclosed under the Freedom of Information Act.</w:t>
      </w:r>
    </w:p>
    <w:p>
      <w:pPr>
        <w:pStyle w:val="BodyText"/>
      </w:pPr>
      <w:r>
        <w:rPr>
          <w:bCs/>
          <w:b/>
        </w:rPr>
        <w:t xml:space="preserve">Biometric processing is recorded as fact, not as an option.</w:t>
      </w:r>
      <w:r>
        <w:t xml:space="preserve"> </w:t>
      </w:r>
      <w:r>
        <w:t xml:space="preserve">The questionnaire’s answers to Q18 and Q23 are written conditionally —</w:t>
      </w:r>
      <w:r>
        <w:t xml:space="preserve"> </w:t>
      </w:r>
      <w:r>
        <w:t xml:space="preserve">“</w:t>
      </w:r>
      <w:r>
        <w:t xml:space="preserve">If OU choose to use automated identification…</w:t>
      </w:r>
      <w:r>
        <w:t xml:space="preserve">”</w:t>
      </w:r>
      <w:r>
        <w:t xml:space="preserve">,</w:t>
      </w:r>
      <w:r>
        <w:t xml:space="preserve"> </w:t>
      </w:r>
      <w:r>
        <w:t xml:space="preserve">“</w:t>
      </w:r>
      <w:r>
        <w:t xml:space="preserve">If OU would like to use biometric data…</w:t>
      </w:r>
      <w:r>
        <w:t xml:space="preserve">”</w:t>
      </w:r>
      <w:r>
        <w:t xml:space="preserve"> </w:t>
      </w:r>
      <w:r>
        <w:t xml:space="preserve">— and that conditional wording is the natural place for the University to rest a denial. The rest of the document does not support it. Asked whether the data can be restricted (Q31), it answers:</w:t>
      </w:r>
      <w:r>
        <w:t xml:space="preserve"> </w:t>
      </w:r>
      <w:r>
        <w:t xml:space="preserve">“</w:t>
      </w:r>
      <w:r>
        <w:t xml:space="preserve">If info Rights is raised, we can block access to voice and referencepicture.</w:t>
      </w:r>
      <w:r>
        <w:t xml:space="preserve">”</w:t>
      </w:r>
      <w:r>
        <w:t xml:space="preserve"> </w:t>
      </w:r>
      <w:r>
        <w:t xml:space="preserve">Describing who is identified (the narrative to Q33–Q39):</w:t>
      </w:r>
      <w:r>
        <w:t xml:space="preserve"> </w:t>
      </w:r>
      <w:r>
        <w:t xml:space="preserve">“</w:t>
      </w:r>
      <w:r>
        <w:t xml:space="preserve">Person are only identified during exam were the participant is supposed to work alone in a room without identifing others either as picture or voice.</w:t>
      </w:r>
      <w:r>
        <w:t xml:space="preserve">”</w:t>
      </w:r>
      <w:r>
        <w:t xml:space="preserve"> </w:t>
      </w:r>
      <w:r>
        <w:t xml:space="preserve">The assessment tab records, for storage limitation:</w:t>
      </w:r>
      <w:r>
        <w:t xml:space="preserve"> </w:t>
      </w:r>
      <w:r>
        <w:t xml:space="preserve">“</w:t>
      </w:r>
      <w:r>
        <w:t xml:space="preserve">The deletion process, is automatic and has been set for 7 days for biometric and 3 years.</w:t>
      </w:r>
      <w:r>
        <w:t xml:space="preserve">”</w:t>
      </w:r>
      <w:r>
        <w:t xml:space="preserve"> </w:t>
      </w:r>
      <w:r>
        <w:t xml:space="preserve">And, for individual rights:</w:t>
      </w:r>
      <w:r>
        <w:t xml:space="preserve"> </w:t>
      </w:r>
      <w:r>
        <w:t xml:space="preserve">“</w:t>
      </w:r>
      <w:r>
        <w:t xml:space="preserve">However, the biometric data is distroyed after 7 days, therefore this part of a DSAR, cannot me met Therefore this requirement has been partially met.</w:t>
      </w:r>
      <w:r>
        <w:t xml:space="preserve">”</w:t>
      </w:r>
      <w:r>
        <w:t xml:space="preserve"> </w:t>
      </w:r>
      <w:r>
        <w:t xml:space="preserve">In both the original and the March 2026 copies, the University’s own assessment records that a reference picture and voice data are held and can be blocked, that students are identified during the examination</w:t>
      </w:r>
      <w:r>
        <w:t xml:space="preserve"> </w:t>
      </w:r>
      <w:r>
        <w:t xml:space="preserve">“</w:t>
      </w:r>
      <w:r>
        <w:t xml:space="preserve">either as picture or voice,</w:t>
      </w:r>
      <w:r>
        <w:t xml:space="preserve">”</w:t>
      </w:r>
      <w:r>
        <w:t xml:space="preserve"> </w:t>
      </w:r>
      <w:r>
        <w:t xml:space="preserve">that an automatic deletion period for biometric data</w:t>
      </w:r>
      <w:r>
        <w:t xml:space="preserve"> </w:t>
      </w:r>
      <w:r>
        <w:t xml:space="preserve">“</w:t>
      </w:r>
      <w:r>
        <w:t xml:space="preserve">has been set</w:t>
      </w:r>
      <w:r>
        <w:t xml:space="preserve">”</w:t>
      </w:r>
      <w:r>
        <w:t xml:space="preserve"> </w:t>
      </w:r>
      <w:r>
        <w:t xml:space="preserve">— and, in advance, that a student’s subject access request for that biometric data will not be met.</w:t>
      </w:r>
    </w:p>
    <w:p>
      <w:pPr>
        <w:pStyle w:val="BodyText"/>
      </w:pPr>
      <w:r>
        <w:rPr>
          <w:bCs/>
          <w:b/>
        </w:rPr>
        <w:t xml:space="preserve">Photographs are taken before the examination and stored.</w:t>
      </w:r>
      <w:r>
        <w:t xml:space="preserve"> </w:t>
      </w:r>
      <w:r>
        <w:t xml:space="preserve">The March 2026 risk notes state:</w:t>
      </w:r>
      <w:r>
        <w:t xml:space="preserve"> </w:t>
      </w:r>
      <w:r>
        <w:t xml:space="preserve">“</w:t>
      </w:r>
      <w:r>
        <w:t xml:space="preserve">For exam pre-checks, photo ID will be used to confirm the identity of the student,</w:t>
      </w:r>
      <w:r>
        <w:t xml:space="preserve">”</w:t>
      </w:r>
      <w:r>
        <w:t xml:space="preserve"> </w:t>
      </w:r>
      <w:r>
        <w:t xml:space="preserve">and</w:t>
      </w:r>
      <w:r>
        <w:t xml:space="preserve"> </w:t>
      </w:r>
      <w:r>
        <w:t xml:space="preserve">“</w:t>
      </w:r>
      <w:r>
        <w:t xml:space="preserve">Biometric data photos are deleted after seven days, but the AV recordings are kept for 12 months before being kept in cold storage for an additional 24 months.</w:t>
      </w:r>
      <w:r>
        <w:t xml:space="preserve">”</w:t>
      </w:r>
      <w:r>
        <w:t xml:space="preserve"> </w:t>
      </w:r>
      <w:r>
        <w:t xml:space="preserve">The questionnaire’s Q25 says the opposite of the first half:</w:t>
      </w:r>
      <w:r>
        <w:t xml:space="preserve"> </w:t>
      </w:r>
      <w:r>
        <w:t xml:space="preserve">“</w:t>
      </w:r>
      <w:r>
        <w:t xml:space="preserve">The student tak a picture is translated to a score. Picture is not stored.</w:t>
      </w:r>
      <w:r>
        <w:t xml:space="preserve">”</w:t>
      </w:r>
      <w:r>
        <w:t xml:space="preserve"> </w:t>
      </w:r>
      <w:r>
        <w:t xml:space="preserve">The copy disclosed in late 2025 adds, under international transfers (Q7):</w:t>
      </w:r>
      <w:r>
        <w:t xml:space="preserve"> </w:t>
      </w:r>
      <w:r>
        <w:t xml:space="preserve">“</w:t>
      </w:r>
      <w:r>
        <w:t xml:space="preserve">Not the pitcure but only a score is stored.</w:t>
      </w:r>
      <w:r>
        <w:t xml:space="preserve">”</w:t>
      </w:r>
      <w:r>
        <w:t xml:space="preserve"> </w:t>
      </w:r>
      <w:r>
        <w:t xml:space="preserve">The University’s own Online Invigilation Policy (version 1.2, section 6.2) tells students the same thing in plain terms: the identity check</w:t>
      </w:r>
      <w:r>
        <w:t xml:space="preserve"> </w:t>
      </w:r>
      <w:r>
        <w:t xml:space="preserve">“</w:t>
      </w:r>
      <w:r>
        <w:t xml:space="preserve">is done by taking a photo using your webcam of both your face and a form of photo ID … A record will be kept for 7 days by ProctorU.</w:t>
      </w:r>
      <w:r>
        <w:t xml:space="preserve">”</w:t>
      </w:r>
      <w:r>
        <w:t xml:space="preserve"> </w:t>
      </w:r>
      <w:r>
        <w:t xml:space="preserve">A photograph of the student’s face, which the University calls a</w:t>
      </w:r>
      <w:r>
        <w:t xml:space="preserve"> </w:t>
      </w:r>
      <w:r>
        <w:t xml:space="preserve">“</w:t>
      </w:r>
      <w:r>
        <w:t xml:space="preserve">biometric data photo,</w:t>
      </w:r>
      <w:r>
        <w:t xml:space="preserve">”</w:t>
      </w:r>
      <w:r>
        <w:t xml:space="preserve"> </w:t>
      </w:r>
      <w:r>
        <w:t xml:space="preserve">kept for seven days, and a score derived from it, are all recorded; neither the photograph’s processing nor the score has been shown to any student.</w:t>
      </w:r>
    </w:p>
    <w:p>
      <w:pPr>
        <w:pStyle w:val="BodyText"/>
      </w:pPr>
      <w:r>
        <w:rPr>
          <w:bCs/>
          <w:b/>
        </w:rPr>
        <w:t xml:space="preserve">The examination recording is itself continuous biometric capture.</w:t>
      </w:r>
      <w:r>
        <w:t xml:space="preserve"> </w:t>
      </w:r>
      <w:r>
        <w:t xml:space="preserve">Meazure’s privacy policy in force at the September 2025 sittings told candidates:</w:t>
      </w:r>
      <w:r>
        <w:t xml:space="preserve"> </w:t>
      </w:r>
      <w:r>
        <w:t xml:space="preserve">“</w:t>
      </w:r>
      <w:r>
        <w:t xml:space="preserve">Before your exam you must provide us with access to your device’s camera and microphone and share your screen with our proctors through a LogMeIn File,</w:t>
      </w:r>
      <w:r>
        <w:t xml:space="preserve">”</w:t>
      </w:r>
      <w:r>
        <w:t xml:space="preserve"> </w:t>
      </w:r>
      <w:r>
        <w:t xml:space="preserve">and</w:t>
      </w:r>
      <w:r>
        <w:t xml:space="preserve"> </w:t>
      </w:r>
      <w:r>
        <w:t xml:space="preserve">“</w:t>
      </w:r>
      <w:r>
        <w:t xml:space="preserve">During your exam, we continue to monitor your screen, camera, and microphone.</w:t>
      </w:r>
      <w:r>
        <w:t xml:space="preserve">”</w:t>
      </w:r>
      <w:r>
        <w:t xml:space="preserve"> </w:t>
      </w:r>
      <w:r>
        <w:t xml:space="preserve">The University’s policy (version 1.2) says the same from its side:</w:t>
      </w:r>
      <w:r>
        <w:t xml:space="preserve"> </w:t>
      </w:r>
      <w:r>
        <w:t xml:space="preserve">“</w:t>
      </w:r>
      <w:r>
        <w:t xml:space="preserve">Your invigilator will supervise your exam using audio, video and digital screen capture … We will also track and record your on-screen activity</w:t>
      </w:r>
      <w:r>
        <w:t xml:space="preserve">”</w:t>
      </w:r>
      <w:r>
        <w:t xml:space="preserve"> </w:t>
      </w:r>
      <w:r>
        <w:t xml:space="preserve">(section 9.1), and it defines</w:t>
      </w:r>
      <w:r>
        <w:t xml:space="preserve"> </w:t>
      </w:r>
      <w:r>
        <w:t xml:space="preserve">“</w:t>
      </w:r>
      <w:r>
        <w:t xml:space="preserve">Live monitoring</w:t>
      </w:r>
      <w:r>
        <w:t xml:space="preserve">”</w:t>
      </w:r>
      <w:r>
        <w:t xml:space="preserve"> </w:t>
      </w:r>
      <w:r>
        <w:t xml:space="preserve">as relying</w:t>
      </w:r>
      <w:r>
        <w:t xml:space="preserve"> </w:t>
      </w:r>
      <w:r>
        <w:t xml:space="preserve">“</w:t>
      </w:r>
      <w:r>
        <w:t xml:space="preserve">on a combination of software, your webcam and microphone to record you and detect potential suspicious activity</w:t>
      </w:r>
      <w:r>
        <w:t xml:space="preserve">”</w:t>
      </w:r>
      <w:r>
        <w:t xml:space="preserve"> </w:t>
      </w:r>
      <w:r>
        <w:t xml:space="preserve">— software that detects, not only a person who watches. The University’s own risk notes then classify what that recording contains:</w:t>
      </w:r>
      <w:r>
        <w:t xml:space="preserve"> </w:t>
      </w:r>
      <w:r>
        <w:t xml:space="preserve">“</w:t>
      </w:r>
      <w:r>
        <w:t xml:space="preserve">Biometric data is still captured in the AV recording</w:t>
      </w:r>
      <w:r>
        <w:t xml:space="preserve">”</w:t>
      </w:r>
      <w:r>
        <w:t xml:space="preserve"> </w:t>
      </w:r>
      <w:r>
        <w:t xml:space="preserve">—</w:t>
      </w:r>
      <w:r>
        <w:t xml:space="preserve"> </w:t>
      </w:r>
      <w:r>
        <w:t xml:space="preserve">“</w:t>
      </w:r>
      <w:r>
        <w:t xml:space="preserve">voice, face, eye colour etc.</w:t>
      </w:r>
      <w:r>
        <w:t xml:space="preserve">”</w:t>
      </w:r>
      <w:r>
        <w:t xml:space="preserve"> </w:t>
      </w:r>
      <w:r>
        <w:t xml:space="preserve">The questionnaire places identification</w:t>
      </w:r>
      <w:r>
        <w:t xml:space="preserve"> </w:t>
      </w:r>
      <w:r>
        <w:t xml:space="preserve">“</w:t>
      </w:r>
      <w:r>
        <w:t xml:space="preserve">during exam … either as picture or voice,</w:t>
      </w:r>
      <w:r>
        <w:t xml:space="preserve">”</w:t>
      </w:r>
      <w:r>
        <w:t xml:space="preserve"> </w:t>
      </w:r>
      <w:r>
        <w:t xml:space="preserve">and the AI tab describes matching</w:t>
      </w:r>
      <w:r>
        <w:t xml:space="preserve"> </w:t>
      </w:r>
      <w:r>
        <w:t xml:space="preserve">“</w:t>
      </w:r>
      <w:r>
        <w:t xml:space="preserve">during the exam</w:t>
      </w:r>
      <w:r>
        <w:t xml:space="preserve">”</w:t>
      </w:r>
      <w:r>
        <w:t xml:space="preserve"> </w:t>
      </w:r>
      <w:r>
        <w:t xml:space="preserve">against the reference picture. Q11 keeps</w:t>
      </w:r>
      <w:r>
        <w:t xml:space="preserve"> </w:t>
      </w:r>
      <w:r>
        <w:t xml:space="preserve">“</w:t>
      </w:r>
      <w:r>
        <w:t xml:space="preserve">3 years invigilation audio and camera.</w:t>
      </w:r>
      <w:r>
        <w:t xml:space="preserve">”</w:t>
      </w:r>
      <w:r>
        <w:t xml:space="preserve"> </w:t>
      </w:r>
      <w:r>
        <w:t xml:space="preserve">The seven-day deletion the University relies on covers only the</w:t>
      </w:r>
      <w:r>
        <w:t xml:space="preserve"> </w:t>
      </w:r>
      <w:r>
        <w:t xml:space="preserve">“</w:t>
      </w:r>
      <w:r>
        <w:t xml:space="preserve">biometric data photos.</w:t>
      </w:r>
      <w:r>
        <w:t xml:space="preserve">”</w:t>
      </w:r>
      <w:r>
        <w:t xml:space="preserve"> </w:t>
      </w:r>
      <w:r>
        <w:t xml:space="preserve">The same face and voice, captured for the whole of every examination in the recording, are kept for twelve months and then for twenty-four more in cold storage. On the University’s own description, biometric capture runs for every minute of the examination and is retained for up to three years — not seven days.</w:t>
      </w:r>
    </w:p>
    <w:p>
      <w:pPr>
        <w:pStyle w:val="BodyText"/>
      </w:pPr>
      <w:r>
        <w:rPr>
          <w:bCs/>
          <w:b/>
        </w:rPr>
        <w:t xml:space="preserve">The legal basis recorded for it does not exist.</w:t>
      </w:r>
      <w:r>
        <w:t xml:space="preserve"> </w:t>
      </w:r>
      <w:r>
        <w:t xml:space="preserve">Special category data, which includes biometric data used to identify a person, may be processed only under one of the conditions in Article 9(2) UK GDPR, read with Schedule 1 to the Data Protection Act 2018. The questionnaire’s assessment tab, in both the original and March 2026 copies, records the condition relied on:</w:t>
      </w:r>
      <w:r>
        <w:t xml:space="preserve"> </w:t>
      </w:r>
      <w:r>
        <w:t xml:space="preserve">“</w:t>
      </w:r>
      <w:r>
        <w:t xml:space="preserve">Special category data meets the requirement of Article 9(d) and Part 1 of Schedule 1 of the DPA 2018 (academia), therefore this requirement is met,</w:t>
      </w:r>
      <w:r>
        <w:t xml:space="preserve">”</w:t>
      </w:r>
      <w:r>
        <w:t xml:space="preserve"> </w:t>
      </w:r>
      <w:r>
        <w:t xml:space="preserve">marked</w:t>
      </w:r>
      <w:r>
        <w:t xml:space="preserve"> </w:t>
      </w:r>
      <w:r>
        <w:t xml:space="preserve">“</w:t>
      </w:r>
      <w:r>
        <w:t xml:space="preserve">Requirement met.</w:t>
      </w:r>
      <w:r>
        <w:t xml:space="preserve">”</w:t>
      </w:r>
      <w:r>
        <w:t xml:space="preserve"> </w:t>
      </w:r>
      <w:r>
        <w:t xml:space="preserve">Article 9(2)(d) applies to foundations, associations and other not-for-profit bodies with a political, philosophical, religious or trade union aim, in respect of their own members or former members. Part 1 of Schedule 1 to the DPA 2018 covers employment and social security, health or social care, public health, and research; it contains no condition for</w:t>
      </w:r>
      <w:r>
        <w:t xml:space="preserve"> </w:t>
      </w:r>
      <w:r>
        <w:t xml:space="preserve">“</w:t>
      </w:r>
      <w:r>
        <w:t xml:space="preserve">academia.</w:t>
      </w:r>
      <w:r>
        <w:t xml:space="preserve">”</w:t>
      </w:r>
      <w:r>
        <w:t xml:space="preserve"> </w:t>
      </w:r>
      <w:r>
        <w:t xml:space="preserve">The only Article 9 condition the University has recorded for biometric processing of its students is one that cannot apply to it.</w:t>
      </w:r>
    </w:p>
    <w:p>
      <w:pPr>
        <w:pStyle w:val="BodyText"/>
      </w:pPr>
      <w:r>
        <w:rPr>
          <w:bCs/>
          <w:b/>
        </w:rPr>
        <w:t xml:space="preserve">Necessity was never assessed for this processing.</w:t>
      </w:r>
      <w:r>
        <w:t xml:space="preserve"> </w:t>
      </w:r>
      <w:r>
        <w:t xml:space="preserve">A DPIA must assess</w:t>
      </w:r>
      <w:r>
        <w:t xml:space="preserve"> </w:t>
      </w:r>
      <w:r>
        <w:t xml:space="preserve">“</w:t>
      </w:r>
      <w:r>
        <w:t xml:space="preserve">the necessity and proportionality of the processing operations in relation to the purposes</w:t>
      </w:r>
      <w:r>
        <w:t xml:space="preserve">”</w:t>
      </w:r>
      <w:r>
        <w:t xml:space="preserve"> </w:t>
      </w:r>
      <w:r>
        <w:t xml:space="preserve">(Article 35(7)(b)). The questionnaire’s field asking</w:t>
      </w:r>
      <w:r>
        <w:t xml:space="preserve"> </w:t>
      </w:r>
      <w:r>
        <w:t xml:space="preserve">“</w:t>
      </w:r>
      <w:r>
        <w:t xml:space="preserve">is the activity strictly necessary - no reasonable alternative?</w:t>
      </w:r>
      <w:r>
        <w:t xml:space="preserve">”</w:t>
      </w:r>
      <w:r>
        <w:t xml:space="preserve"> </w:t>
      </w:r>
      <w:r>
        <w:t xml:space="preserve">is answered:</w:t>
      </w:r>
      <w:r>
        <w:t xml:space="preserve"> </w:t>
      </w:r>
      <w:r>
        <w:t xml:space="preserve">“</w:t>
      </w:r>
      <w:r>
        <w:t xml:space="preserve">Digital end-to-end assessment. Creat assessment, deliver, manage and monitor assessments and feedback to students,</w:t>
      </w:r>
      <w:r>
        <w:t xml:space="preserve">”</w:t>
      </w:r>
      <w:r>
        <w:t xml:space="preserve"> </w:t>
      </w:r>
      <w:r>
        <w:t xml:space="preserve">with a single supporting link —</w:t>
      </w:r>
      <w:r>
        <w:t xml:space="preserve"> </w:t>
      </w:r>
      <w:r>
        <w:t xml:space="preserve">“</w:t>
      </w:r>
      <w:r>
        <w:t xml:space="preserve">https://wiseflow.zendesk.com/hc/en-gb/articles/4406229415954-What-is-WISEflow-</w:t>
      </w:r>
      <w:r>
        <w:t xml:space="preserve">”</w:t>
      </w:r>
      <w:r>
        <w:t xml:space="preserve"> </w:t>
      </w:r>
      <w:r>
        <w:t xml:space="preserve">— a help article for WISEflow, a different product from ProctorU, Meazure Learning or LogMeIn Rescue. The answer is unchanged in the March 2026 copy. Data minimisation is recorded as met in one sentence:</w:t>
      </w:r>
      <w:r>
        <w:t xml:space="preserve"> </w:t>
      </w:r>
      <w:r>
        <w:t xml:space="preserve">“</w:t>
      </w:r>
      <w:r>
        <w:t xml:space="preserve">the data being used for this processing is the minimum required to meet the online invigilation objectives.</w:t>
      </w:r>
      <w:r>
        <w:t xml:space="preserve">”</w:t>
      </w:r>
      <w:r>
        <w:t xml:space="preserve"> </w:t>
      </w:r>
      <w:r>
        <w:t xml:space="preserve">Q35 —</w:t>
      </w:r>
      <w:r>
        <w:t xml:space="preserve"> </w:t>
      </w:r>
      <w:r>
        <w:t xml:space="preserve">“</w:t>
      </w:r>
      <w:r>
        <w:t xml:space="preserve">Will you automatically track or monitor people’s geolocation or behaviour</w:t>
      </w:r>
      <w:r>
        <w:t xml:space="preserve">”</w:t>
      </w:r>
      <w:r>
        <w:t xml:space="preserve"> </w:t>
      </w:r>
      <w:r>
        <w:t xml:space="preserve">— is answered</w:t>
      </w:r>
      <w:r>
        <w:t xml:space="preserve"> </w:t>
      </w:r>
      <w:r>
        <w:t xml:space="preserve">“</w:t>
      </w:r>
      <w:r>
        <w:t xml:space="preserve">Yes</w:t>
      </w:r>
      <w:r>
        <w:t xml:space="preserve">”</w:t>
      </w:r>
      <w:r>
        <w:t xml:space="preserve"> </w:t>
      </w:r>
      <w:r>
        <w:t xml:space="preserve">and flagged red. No version assesses screen capture, desktop viewing, remote control of the student’s mouse and keyboard, room and body inspection, or the fact that all of it takes place inside the student’s home and on the student’s own computer.</w:t>
      </w:r>
    </w:p>
    <w:p>
      <w:pPr>
        <w:pStyle w:val="BodyText"/>
      </w:pPr>
      <w:r>
        <w:rPr>
          <w:bCs/>
          <w:b/>
        </w:rPr>
        <w:t xml:space="preserve">Remote control is a feature of the service, not an exception.</w:t>
      </w:r>
      <w:r>
        <w:t xml:space="preserve"> </w:t>
      </w:r>
      <w:r>
        <w:t xml:space="preserve">The University’s March 2026 risk notes describe it as occasional, consensual help:</w:t>
      </w:r>
      <w:r>
        <w:t xml:space="preserve"> </w:t>
      </w:r>
      <w:r>
        <w:t xml:space="preserve">“</w:t>
      </w:r>
      <w:r>
        <w:t xml:space="preserve">ProctorU uses a third-party webchat client reskinned to their theme that allows cursor and keyboard control to assist if there are any user issues. this only happens with student consent for students whoa re experiencing difficulties.</w:t>
      </w:r>
      <w:r>
        <w:t xml:space="preserve">”</w:t>
      </w:r>
      <w:r>
        <w:t xml:space="preserve"> </w:t>
      </w:r>
      <w:r>
        <w:t xml:space="preserve">The vendors describe something else. ProctorU’s published network requirements:</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GoTo’s Technical and Organizational Measures for Rescue (Version 1.5, July 2025) describe a product that</w:t>
      </w:r>
      <w:r>
        <w:t xml:space="preserve"> </w:t>
      </w:r>
      <w:r>
        <w:t xml:space="preserve">“</w:t>
      </w:r>
      <w:r>
        <w:t xml:space="preserve">allows a technician to access, view, and take control of the End User’s computer,</w:t>
      </w:r>
      <w:r>
        <w:t xml:space="preserve">”</w:t>
      </w:r>
      <w:r>
        <w:t xml:space="preserve"> </w:t>
      </w:r>
      <w:r>
        <w:t xml:space="preserve">record that</w:t>
      </w:r>
      <w:r>
        <w:t xml:space="preserve"> </w:t>
      </w:r>
      <w:r>
        <w:t xml:space="preserve">“</w:t>
      </w:r>
      <w:r>
        <w:t xml:space="preserve">Rescue allows technicians to record the events that transpire during a desktop viewing or remote-control session into a video file,</w:t>
      </w:r>
      <w:r>
        <w:t xml:space="preserve">”</w:t>
      </w:r>
      <w:r>
        <w:t xml:space="preserve"> </w:t>
      </w:r>
      <w:r>
        <w:t xml:space="preserve">and list among administrator settings</w:t>
      </w:r>
      <w:r>
        <w:t xml:space="preserve"> </w:t>
      </w:r>
      <w:r>
        <w:t xml:space="preserve">“</w:t>
      </w:r>
      <w:r>
        <w:t xml:space="preserve">The option to force session recording.</w:t>
      </w:r>
      <w:r>
        <w:t xml:space="preserve">”</w:t>
      </w:r>
      <w:r>
        <w:t xml:space="preserve"> </w:t>
      </w:r>
      <w:r>
        <w:t>Desktop viewing and remote control are built into the service line, and the sessions in which they are used can themselves be recorded. The University’s assessment does not name the product at all (Section 22). The same disclosed document thus records, in its own risk notes, a “third-party webchat client” with “cursor and keyboard control”, yet nowhere identifies that third party; its only third-party contract entry reads: “Third party contract is in place with Proctor, therefore this requirement has been met.” A DPIA must contain “a systematic description of the envisaged processing operations” (Article 35(7)(a)). Remote viewing and control of a student’s own computer through a third party’s software is not described, and so its risks and the measures to address them (Article 35(7)(c) and (d)) were never assessed. A processor “shall not engage another processor without prior specific or general written authorisation of the controller” (Article 28(2)); no written authorisation by the University for Meazure Learning’s use of GoTo’s LogMeIn Rescue is on the public record. The author’s own subject access disclosure, described in Section 22, records the service line as</w:t>
      </w:r>
      <w:r>
        <w:t xml:space="preserve"> </w:t>
      </w:r>
      <w:r>
        <w:t xml:space="preserve">“</w:t>
      </w:r>
      <w:r>
        <w:t xml:space="preserve">Live+,</w:t>
      </w:r>
      <w:r>
        <w:t xml:space="preserve">”</w:t>
      </w:r>
      <w:r>
        <w:t xml:space="preserve"> </w:t>
      </w:r>
      <w:r>
        <w:t>remote control taken repeatedly through LogMeIn Rescue — the product whose service-mode installation and non-expiring session settings are set out from GoTo’s own guide in Section 18, although whether any of those settings was active is not shown — and desktop viewing to the end of the session.</w:t>
      </w:r>
    </w:p>
    <w:p>
      <w:pPr>
        <w:pStyle w:val="BodyText"/>
      </w:pPr>
      <w:r>
        <w:rPr>
          <w:bCs/>
          <w:b/>
        </w:rPr>
        <w:t xml:space="preserve">The vendor’s own terms say it plainly — and the University serves them to its students.</w:t>
      </w:r>
      <w:r>
        <w:t xml:space="preserve"> </w:t>
      </w:r>
      <w:r>
        <w:t xml:space="preserve">The Meazure Learning Terms of Service that the University itself publishes on its Help Centre for students to read before agreeing (help.open.ac.uk,</w:t>
      </w:r>
      <w:r>
        <w:t xml:space="preserve"> </w:t>
      </w:r>
      <w:r>
        <w:t xml:space="preserve">“</w:t>
      </w:r>
      <w:r>
        <w:t xml:space="preserve">terms-of-service-meazure-learning.pdf</w:t>
      </w:r>
      <w:r>
        <w:t xml:space="preserve">”</w:t>
      </w:r>
      <w:r>
        <w:t xml:space="preserve">,</w:t>
      </w:r>
      <w:r>
        <w:t xml:space="preserve"> </w:t>
      </w:r>
      <w:r>
        <w:t xml:space="preserve">“</w:t>
      </w:r>
      <w:r>
        <w:t xml:space="preserve">Effective: May 5, 2021</w:t>
      </w:r>
      <w:r>
        <w:t xml:space="preserve">”</w:t>
      </w:r>
      <w:r>
        <w:t xml:space="preserve">) state, under the heading</w:t>
      </w:r>
      <w:r>
        <w:t xml:space="preserve"> </w:t>
      </w:r>
      <w:r>
        <w:t xml:space="preserve">“</w:t>
      </w:r>
      <w:r>
        <w:t xml:space="preserve">Connecting to Your Computer</w:t>
      </w:r>
      <w:r>
        <w:t xml:space="preserve">”</w:t>
      </w:r>
      <w:r>
        <w:t xml:space="preserve">:</w:t>
      </w:r>
      <w:r>
        <w:t xml:space="preserve"> </w:t>
      </w:r>
      <w:r>
        <w:t xml:space="preserve">“</w:t>
      </w:r>
      <w:r>
        <w:t xml:space="preserve">When you use the Services, Meazure Learning will remotely connect to your computer in order to monitor your computer screen and premises and to ensure no prohibited applications or settings are activated during your examination or test session.</w:t>
      </w:r>
      <w:r>
        <w:t xml:space="preserve">”</w:t>
      </w:r>
      <w:r>
        <w:t xml:space="preserve"> </w:t>
      </w:r>
      <w:r>
        <w:t xml:space="preserve">Students</w:t>
      </w:r>
      <w:r>
        <w:t xml:space="preserve"> </w:t>
      </w:r>
      <w:r>
        <w:t xml:space="preserve">“</w:t>
      </w:r>
      <w:r>
        <w:t xml:space="preserve">agree to maintain audio and video contact with the proctor during the test session, to enable the Services to record your test session.</w:t>
      </w:r>
      <w:r>
        <w:t xml:space="preserve">”</w:t>
      </w:r>
      <w:r>
        <w:t xml:space="preserve"> </w:t>
      </w:r>
      <w:r>
        <w:t xml:space="preserve">Meazure’s current Terms (last updated 6 May 2026) keep the clause in the same terms (</w:t>
      </w:r>
      <w:r>
        <w:t xml:space="preserve">“</w:t>
      </w:r>
      <w:r>
        <w:t xml:space="preserve">Meazure Learning will remotely connect to your computer to monitor your computer screen and premises</w:t>
      </w:r>
      <w:r>
        <w:t xml:space="preserve">”</w:t>
      </w:r>
      <w:r>
        <w:t xml:space="preserve">), and add that the student grants</w:t>
      </w:r>
      <w:r>
        <w:t xml:space="preserve"> </w:t>
      </w:r>
      <w:r>
        <w:t xml:space="preserve">“</w:t>
      </w:r>
      <w:r>
        <w:t xml:space="preserve">the proctor the right to use whatever method Meazure Learning makes available to recommend that your examination or test be disqualified.</w:t>
      </w:r>
      <w:r>
        <w:t xml:space="preserve">”</w:t>
      </w:r>
      <w:r>
        <w:t xml:space="preserve"> </w:t>
      </w:r>
      <w:r>
        <w:t xml:space="preserve">Both versions state:</w:t>
      </w:r>
      <w:r>
        <w:t xml:space="preserve"> </w:t>
      </w:r>
      <w:r>
        <w:t xml:space="preserve">“</w:t>
      </w:r>
      <w:r>
        <w:t xml:space="preserve">Meazure Learning makes no claims that the Services are appropriate for use outside of the United States … Access to the Services may not be legal in certain countries outside the United States. If you use the Services from outside the United States, you do so at your own risk.</w:t>
      </w:r>
      <w:r>
        <w:t xml:space="preserve">”</w:t>
      </w:r>
      <w:r>
        <w:t xml:space="preserve"> </w:t>
      </w:r>
      <w:r>
        <w:t xml:space="preserve">The 2026 version adds:</w:t>
      </w:r>
      <w:r>
        <w:t xml:space="preserve"> </w:t>
      </w:r>
      <w:r>
        <w:t xml:space="preserve">“</w:t>
      </w:r>
      <w:r>
        <w:t xml:space="preserve">YOUR SOLE REMEDY AGAINST MEAZURE LEARNING FOR DISSATISFACTION WITH THE SITE OR SERVICES IS TO DISCONTINUE USE.</w:t>
      </w:r>
      <w:r>
        <w:t xml:space="preserve">”</w:t>
      </w:r>
      <w:r>
        <w:t xml:space="preserve"> </w:t>
      </w:r>
      <w:r>
        <w:t xml:space="preserve">On the vendor’s own words, remote connection to the student’s computer happens every time the service is used — not</w:t>
      </w:r>
      <w:r>
        <w:t xml:space="preserve"> </w:t>
      </w:r>
      <w:r>
        <w:t xml:space="preserve">“</w:t>
      </w:r>
      <w:r>
        <w:t xml:space="preserve">only … for students whoa re experiencing difficulties,</w:t>
      </w:r>
      <w:r>
        <w:t xml:space="preserve">”</w:t>
      </w:r>
      <w:r>
        <w:t xml:space="preserve"> </w:t>
      </w:r>
      <w:r>
        <w:t xml:space="preserve">as the University’s risk notes record. The University placed those words in front of its own students and recorded the opposite in its own assessment. And the only remedy the vendor offers — to stop using the service — is one the University’s Help Centre removes:</w:t>
      </w:r>
      <w:r>
        <w:t xml:space="preserve"> </w:t>
      </w:r>
      <w:r>
        <w:t xml:space="preserve">“</w:t>
      </w:r>
      <w:r>
        <w:t xml:space="preserve">There is no alternative to an online invigilated exam for these modules.</w:t>
      </w:r>
      <w:r>
        <w:t xml:space="preserve">”</w:t>
      </w:r>
    </w:p>
    <w:p>
      <w:pPr>
        <w:pStyle w:val="BodyText"/>
      </w:pPr>
      <w:r>
        <w:rPr>
          <w:bCs/>
          <w:b/>
        </w:rPr>
        <w:t xml:space="preserve">The terms the University serves are not the terms that bind its students.</w:t>
      </w:r>
      <w:r>
        <w:t xml:space="preserve"> </w:t>
      </w:r>
      <w:r>
        <w:t xml:space="preserve">The University’s policy makes the vendor’s terms a condition of sitting the examination and hands the vendor’s privacy notice control of the recordings:</w:t>
      </w:r>
      <w:r>
        <w:t xml:space="preserve"> </w:t>
      </w:r>
      <w:r>
        <w:t xml:space="preserve">“</w:t>
      </w:r>
      <w:r>
        <w:t xml:space="preserve">You must accept the Meazure Learning Terms of Service to sit your exam. Meazure Learning’s Privacy Notice supersedes The Open University’s privacy notice for any audio and video footage or screen capture taken during the exam</w:t>
      </w:r>
      <w:r>
        <w:t xml:space="preserve">”</w:t>
      </w:r>
      <w:r>
        <w:t xml:space="preserve"> </w:t>
      </w:r>
      <w:r>
        <w:t xml:space="preserve">(version 1.2, section 2.4; section 4.1 repeats the requirement). The terms the University links for students are the version</w:t>
      </w:r>
      <w:r>
        <w:t xml:space="preserve"> </w:t>
      </w:r>
      <w:r>
        <w:t xml:space="preserve">“</w:t>
      </w:r>
      <w:r>
        <w:t xml:space="preserve">Effective: May 5, 2021,</w:t>
      </w:r>
      <w:r>
        <w:t xml:space="preserve">”</w:t>
      </w:r>
      <w:r>
        <w:t xml:space="preserve"> </w:t>
      </w:r>
      <w:r>
        <w:t xml:space="preserve">governed by</w:t>
      </w:r>
      <w:r>
        <w:t xml:space="preserve"> </w:t>
      </w:r>
      <w:r>
        <w:t xml:space="preserve">“</w:t>
      </w:r>
      <w:r>
        <w:t xml:space="preserve">the laws of the State of Alabama,</w:t>
      </w:r>
      <w:r>
        <w:t xml:space="preserve">”</w:t>
      </w:r>
      <w:r>
        <w:t xml:space="preserve"> </w:t>
      </w:r>
      <w:r>
        <w:t xml:space="preserve">with claims to be</w:t>
      </w:r>
      <w:r>
        <w:t xml:space="preserve"> </w:t>
      </w:r>
      <w:r>
        <w:t xml:space="preserve">“</w:t>
      </w:r>
      <w:r>
        <w:t xml:space="preserve">brought solely in a court of competent jurisdiction in the State of Alabama, County of Jefferson,</w:t>
      </w:r>
      <w:r>
        <w:t xml:space="preserve">”</w:t>
      </w:r>
      <w:r>
        <w:t xml:space="preserve"> </w:t>
      </w:r>
      <w:r>
        <w:t xml:space="preserve">no arbitration clause, and a licence limited to the student’s own institution:</w:t>
      </w:r>
      <w:r>
        <w:t xml:space="preserve"> </w:t>
      </w:r>
      <w:r>
        <w:t xml:space="preserve">“</w:t>
      </w:r>
      <w:r>
        <w:t xml:space="preserve">you give Meazure Learning permission to use, transmit, display, and distribute such Content to your Testing Institution.</w:t>
      </w:r>
      <w:r>
        <w:t xml:space="preserve">”</w:t>
      </w:r>
      <w:r>
        <w:t xml:space="preserve"> </w:t>
      </w:r>
      <w:r>
        <w:t xml:space="preserve">Meazure replaced those terms on 6 May 2026, and its current terms say that</w:t>
      </w:r>
      <w:r>
        <w:t xml:space="preserve"> </w:t>
      </w:r>
      <w:r>
        <w:t xml:space="preserve">“</w:t>
      </w:r>
      <w:r>
        <w:t xml:space="preserve">Any such revisions become effective immediately and supersede any previous version of these Terms</w:t>
      </w:r>
      <w:r>
        <w:t xml:space="preserve">”</w:t>
      </w:r>
      <w:r>
        <w:t xml:space="preserve"> </w:t>
      </w:r>
      <w:r>
        <w:t xml:space="preserve">and that</w:t>
      </w:r>
      <w:r>
        <w:t xml:space="preserve"> </w:t>
      </w:r>
      <w:r>
        <w:t xml:space="preserve">“</w:t>
      </w:r>
      <w:r>
        <w:t xml:space="preserve">it is your obligation to be familiar with the Terms in effect at the time of your use.</w:t>
      </w:r>
      <w:r>
        <w:t xml:space="preserve">”</w:t>
      </w:r>
      <w:r>
        <w:t xml:space="preserve"> </w:t>
      </w:r>
      <w:r>
        <w:t xml:space="preserve">The terms now in force are materially different. They impose</w:t>
      </w:r>
      <w:r>
        <w:t xml:space="preserve"> </w:t>
      </w:r>
      <w:r>
        <w:t xml:space="preserve">“</w:t>
      </w:r>
      <w:r>
        <w:t xml:space="preserve">confidential binding arbitration, on an individual basis,</w:t>
      </w:r>
      <w:r>
        <w:t xml:space="preserve">”</w:t>
      </w:r>
      <w:r>
        <w:t xml:space="preserve"> </w:t>
      </w:r>
      <w:r>
        <w:t xml:space="preserve">under the</w:t>
      </w:r>
      <w:r>
        <w:t xml:space="preserve"> </w:t>
      </w:r>
      <w:r>
        <w:t xml:space="preserve">“</w:t>
      </w:r>
      <w:r>
        <w:t xml:space="preserve">Consumer Arbitration Rules of the American Arbitration Association</w:t>
      </w:r>
      <w:r>
        <w:t xml:space="preserve">”</w:t>
      </w:r>
      <w:r>
        <w:t xml:space="preserve"> </w:t>
      </w:r>
      <w:r>
        <w:t xml:space="preserve">and the Federal Arbitration Act, with any court proceedings in</w:t>
      </w:r>
      <w:r>
        <w:t xml:space="preserve"> </w:t>
      </w:r>
      <w:r>
        <w:t xml:space="preserve">“</w:t>
      </w:r>
      <w:r>
        <w:t xml:space="preserve">the State of Virginia, County of Fairfax.</w:t>
      </w:r>
      <w:r>
        <w:t xml:space="preserve">”</w:t>
      </w:r>
      <w:r>
        <w:t xml:space="preserve"> </w:t>
      </w:r>
      <w:r>
        <w:t xml:space="preserve">They declare</w:t>
      </w:r>
      <w:r>
        <w:t xml:space="preserve"> </w:t>
      </w:r>
      <w:r>
        <w:t xml:space="preserve">“</w:t>
      </w:r>
      <w:r>
        <w:t xml:space="preserve">any recordings of any test sessions</w:t>
      </w:r>
      <w:r>
        <w:t xml:space="preserve">”</w:t>
      </w:r>
      <w:r>
        <w:t xml:space="preserve"> </w:t>
      </w:r>
      <w:r>
        <w:t xml:space="preserve">to be</w:t>
      </w:r>
      <w:r>
        <w:t xml:space="preserve"> </w:t>
      </w:r>
      <w:r>
        <w:t xml:space="preserve">“</w:t>
      </w:r>
      <w:r>
        <w:t xml:space="preserve">Content</w:t>
      </w:r>
      <w:r>
        <w:t xml:space="preserve">”</w:t>
      </w:r>
      <w:r>
        <w:t xml:space="preserve"> </w:t>
      </w:r>
      <w:r>
        <w:t xml:space="preserve">that is</w:t>
      </w:r>
      <w:r>
        <w:t xml:space="preserve"> </w:t>
      </w:r>
      <w:r>
        <w:t xml:space="preserve">“</w:t>
      </w:r>
      <w:r>
        <w:t xml:space="preserve">exclusively owned by Meazure Learning and its licensors.</w:t>
      </w:r>
      <w:r>
        <w:t xml:space="preserve">”</w:t>
      </w:r>
      <w:r>
        <w:t xml:space="preserve"> </w:t>
      </w:r>
      <w:r>
        <w:t xml:space="preserve">They replace the institution-only permission with</w:t>
      </w:r>
      <w:r>
        <w:t xml:space="preserve"> </w:t>
      </w:r>
      <w:r>
        <w:t xml:space="preserve">“</w:t>
      </w:r>
      <w:r>
        <w:t xml:space="preserve">a royalty-free, transferable, irrevocable, and perpetual license to use, transmit, display, and distribute such User Content to third parties, including your Testing Institution,</w:t>
      </w:r>
      <w:r>
        <w:t xml:space="preserve">”</w:t>
      </w:r>
      <w:r>
        <w:t xml:space="preserve"> </w:t>
      </w:r>
      <w:r>
        <w:t xml:space="preserve">adding that</w:t>
      </w:r>
      <w:r>
        <w:t xml:space="preserve"> </w:t>
      </w:r>
      <w:r>
        <w:t xml:space="preserve">“</w:t>
      </w:r>
      <w:r>
        <w:t xml:space="preserve">the license continues even if you stop using our Site.</w:t>
      </w:r>
      <w:r>
        <w:t xml:space="preserve">”</w:t>
      </w:r>
      <w:r>
        <w:t xml:space="preserve"> </w:t>
      </w:r>
      <w:r>
        <w:t xml:space="preserve">And they require the student to agree:</w:t>
      </w:r>
      <w:r>
        <w:t xml:space="preserve"> </w:t>
      </w:r>
      <w:r>
        <w:t xml:space="preserve">“</w:t>
      </w:r>
      <w:r>
        <w:t xml:space="preserve">YOU WAIVE AND HOLD HARMLESS MEAZURE LEARNING FROM ANY CLAIMS RESULTING FROM ANY ACTION TAKEN BY MEAZURE LEARNING DURING, OR TAKEN AS A CONSEQUENCE OF, INVESTIGATIONS BY EITHER SUCH PARTIES OR LAW ENFORCEMENT AUTHORITIES</w:t>
      </w:r>
      <w:r>
        <w:t xml:space="preserve">”</w:t>
      </w:r>
      <w:r>
        <w:t xml:space="preserve">. The Help Centre page linking the 2021 document has been edited more than once since Meazure’s change — the module list grew from nine to fourteen and the</w:t>
      </w:r>
      <w:r>
        <w:t xml:space="preserve"> </w:t>
      </w:r>
      <w:r>
        <w:t xml:space="preserve">“</w:t>
      </w:r>
      <w:r>
        <w:t xml:space="preserve">trialling</w:t>
      </w:r>
      <w:r>
        <w:t xml:space="preserve">”</w:t>
      </w:r>
      <w:r>
        <w:t xml:space="preserve"> </w:t>
      </w:r>
      <w:r>
        <w:t xml:space="preserve">wording was removed — while the linked terms stayed as they were. Students are required to accept terms they are not shown, and are shown terms that no longer apply.</w:t>
      </w:r>
    </w:p>
    <w:p>
      <w:pPr>
        <w:pStyle w:val="BodyText"/>
      </w:pPr>
      <w:r>
        <w:rPr>
          <w:bCs/>
          <w:b/>
        </w:rPr>
        <w:t xml:space="preserve">Meazure’s May 2026 privacy policy describes what it does now.</w:t>
      </w:r>
      <w:r>
        <w:t xml:space="preserve"> </w:t>
      </w:r>
      <w:r>
        <w:t xml:space="preserve">The policy last updated on 6 May 2026 — in force for every student on the University’s current fourteen-module list — states:</w:t>
      </w:r>
      <w:r>
        <w:t xml:space="preserve"> </w:t>
      </w:r>
      <w:r>
        <w:t xml:space="preserve">“</w:t>
      </w:r>
      <w:r>
        <w:t xml:space="preserve">If you take an exam with us, we will collect Personal Information to verify your identity and comply with your institution’s testing requirements. This may include your photo ID, biometric data (such as facial recognition and keystroke patterns), and answers to identity verification questions. We may monitor your screen, camera, and microphone during exams, and create video and audio recordings of your exam sessions.</w:t>
      </w:r>
      <w:r>
        <w:t xml:space="preserve">”</w:t>
      </w:r>
      <w:r>
        <w:t xml:space="preserve"> </w:t>
      </w:r>
      <w:r>
        <w:t xml:space="preserve">The earlier version made facial recognition and keystroke measurement conditional —</w:t>
      </w:r>
      <w:r>
        <w:t xml:space="preserve"> </w:t>
      </w:r>
      <w:r>
        <w:t xml:space="preserve">“</w:t>
      </w:r>
      <w:r>
        <w:t xml:space="preserve">Where your institution or organization requires it</w:t>
      </w:r>
      <w:r>
        <w:t xml:space="preserve">”</w:t>
      </w:r>
      <w:r>
        <w:t xml:space="preserve"> </w:t>
      </w:r>
      <w:r>
        <w:t xml:space="preserve">— and the May 2026 version drops that qualification. It records collection of</w:t>
      </w:r>
      <w:r>
        <w:t xml:space="preserve"> </w:t>
      </w:r>
      <w:r>
        <w:t xml:space="preserve">“</w:t>
      </w:r>
      <w:r>
        <w:t xml:space="preserve">your general location (country, state/province, city),</w:t>
      </w:r>
      <w:r>
        <w:t xml:space="preserve">”</w:t>
      </w:r>
      <w:r>
        <w:t xml:space="preserve"> </w:t>
      </w:r>
      <w:r>
        <w:t xml:space="preserve">“</w:t>
      </w:r>
      <w:r>
        <w:t xml:space="preserve">time spent per question, proctor assessments,</w:t>
      </w:r>
      <w:r>
        <w:t xml:space="preserve">”</w:t>
      </w:r>
      <w:r>
        <w:t xml:space="preserve"> </w:t>
      </w:r>
      <w:r>
        <w:t xml:space="preserve">the</w:t>
      </w:r>
      <w:r>
        <w:t xml:space="preserve"> </w:t>
      </w:r>
      <w:r>
        <w:t xml:space="preserve">“</w:t>
      </w:r>
      <w:r>
        <w:t xml:space="preserve">geolocation of your device,</w:t>
      </w:r>
      <w:r>
        <w:t xml:space="preserve">”</w:t>
      </w:r>
      <w:r>
        <w:t xml:space="preserve"> </w:t>
      </w:r>
      <w:r>
        <w:t xml:space="preserve">and the use of</w:t>
      </w:r>
      <w:r>
        <w:t xml:space="preserve"> </w:t>
      </w:r>
      <w:r>
        <w:t xml:space="preserve">“</w:t>
      </w:r>
      <w:r>
        <w:t xml:space="preserve">cookies and similar technologies to collect Personal Information automatically as you navigate our Site and Services, including during testing.</w:t>
      </w:r>
      <w:r>
        <w:t xml:space="preserve">”</w:t>
      </w:r>
      <w:r>
        <w:t xml:space="preserve"> </w:t>
      </w:r>
      <w:r>
        <w:t xml:space="preserve">It says, in one place, that biometric identifiers are</w:t>
      </w:r>
      <w:r>
        <w:t xml:space="preserve"> </w:t>
      </w:r>
      <w:r>
        <w:t xml:space="preserve">“</w:t>
      </w:r>
      <w:r>
        <w:t xml:space="preserve">solely used for identity verification and to ensure the security and integrity of the exams we proctor</w:t>
      </w:r>
      <w:r>
        <w:t xml:space="preserve">”</w:t>
      </w:r>
      <w:r>
        <w:t xml:space="preserve"> </w:t>
      </w:r>
      <w:r>
        <w:t xml:space="preserve">— and, under special category data, that</w:t>
      </w:r>
      <w:r>
        <w:t xml:space="preserve"> </w:t>
      </w:r>
      <w:r>
        <w:t xml:space="preserve">“</w:t>
      </w:r>
      <w:r>
        <w:t xml:space="preserve">If you take an exam with us, we may collect biometric data to verify your identity, ensure compliance with exam protocol, and otherwise administer our Services.</w:t>
      </w:r>
      <w:r>
        <w:t xml:space="preserve">”</w:t>
      </w:r>
      <w:r>
        <w:t xml:space="preserve"> </w:t>
      </w:r>
      <w:r>
        <w:t xml:space="preserve">It describes its legal bases</w:t>
      </w:r>
      <w:r>
        <w:t xml:space="preserve"> </w:t>
      </w:r>
      <w:r>
        <w:t xml:space="preserve">“</w:t>
      </w:r>
      <w:r>
        <w:t xml:space="preserve">Where Meazure acts as a controller</w:t>
      </w:r>
      <w:r>
        <w:t xml:space="preserve">”</w:t>
      </w:r>
      <w:r>
        <w:t xml:space="preserve"> </w:t>
      </w:r>
      <w:r>
        <w:t xml:space="preserve">— a role the University’s assessment, which treats Meazure as its processor, never addresses. And it states:</w:t>
      </w:r>
      <w:r>
        <w:t xml:space="preserve"> </w:t>
      </w:r>
      <w:r>
        <w:t xml:space="preserve">“</w:t>
      </w:r>
      <w:r>
        <w:t xml:space="preserve">We do not profile you or other individuals in a manner that would result in legal or similarly significant effects, or engage in automated decision-making</w:t>
      </w:r>
      <w:r>
        <w:t xml:space="preserve">”</w:t>
      </w:r>
      <w:r>
        <w:t xml:space="preserve"> </w:t>
      </w:r>
      <w:r>
        <w:t xml:space="preserve">— while Meazure’s own</w:t>
      </w:r>
      <w:r>
        <w:t xml:space="preserve"> </w:t>
      </w:r>
      <w:r>
        <w:t xml:space="preserve">“</w:t>
      </w:r>
      <w:r>
        <w:t xml:space="preserve">Responsible Use of AI</w:t>
      </w:r>
      <w:r>
        <w:t xml:space="preserve">”</w:t>
      </w:r>
      <w:r>
        <w:t xml:space="preserve"> </w:t>
      </w:r>
      <w:r>
        <w:t xml:space="preserve">page describes</w:t>
      </w:r>
      <w:r>
        <w:t xml:space="preserve"> </w:t>
      </w:r>
      <w:r>
        <w:t xml:space="preserve">“</w:t>
      </w:r>
      <w:r>
        <w:t xml:space="preserve">AI-generated flags</w:t>
      </w:r>
      <w:r>
        <w:t xml:space="preserve">”</w:t>
      </w:r>
      <w:r>
        <w:t xml:space="preserve"> </w:t>
      </w:r>
      <w:r>
        <w:t xml:space="preserve">audited before incident reports reach the institution (Section 22). Its retention table keeps audio-visual</w:t>
      </w:r>
      <w:r>
        <w:t xml:space="preserve"> </w:t>
      </w:r>
      <w:r>
        <w:t xml:space="preserve">“</w:t>
      </w:r>
      <w:r>
        <w:t xml:space="preserve">sensory data</w:t>
      </w:r>
      <w:r>
        <w:t xml:space="preserve">”</w:t>
      </w:r>
      <w:r>
        <w:t xml:space="preserve"> </w:t>
      </w:r>
      <w:r>
        <w:t xml:space="preserve">for</w:t>
      </w:r>
      <w:r>
        <w:t xml:space="preserve"> </w:t>
      </w:r>
      <w:r>
        <w:t xml:space="preserve">“</w:t>
      </w:r>
      <w:r>
        <w:t xml:space="preserve">the length of your business relationship with us … or one year post-recording, whichever is longer,</w:t>
      </w:r>
      <w:r>
        <w:t xml:space="preserve">”</w:t>
      </w:r>
      <w:r>
        <w:t xml:space="preserve"> </w:t>
      </w:r>
      <w:r>
        <w:t xml:space="preserve">against the University’s own record of twelve months followed by twenty-four in cold storage.</w:t>
      </w:r>
    </w:p>
    <w:p>
      <w:pPr>
        <w:pStyle w:val="BodyText"/>
      </w:pPr>
      <w:r>
        <w:rPr>
          <w:bCs/>
          <w:b/>
        </w:rPr>
        <w:t xml:space="preserve">The vendor promises the software removes itself; the University never checked.</w:t>
      </w:r>
      <w:r>
        <w:t xml:space="preserve"> </w:t>
      </w:r>
      <w:r>
        <w:t xml:space="preserve">GoTo’s measures state that the Rescue applet</w:t>
      </w:r>
      <w:r>
        <w:t xml:space="preserve"> </w:t>
      </w:r>
      <w:r>
        <w:t xml:space="preserve">“</w:t>
      </w:r>
      <w:r>
        <w:t xml:space="preserve">is seamlessly downloaded to the End User’s remote PC and is programmed to automatically remove itself upon the conclusion of the session,</w:t>
      </w:r>
      <w:r>
        <w:t xml:space="preserve">”</w:t>
      </w:r>
      <w:r>
        <w:t xml:space="preserve"> </w:t>
      </w:r>
      <w:r>
        <w:t xml:space="preserve">and list</w:t>
      </w:r>
      <w:r>
        <w:t xml:space="preserve"> </w:t>
      </w:r>
      <w:r>
        <w:t xml:space="preserve">“</w:t>
      </w:r>
      <w:r>
        <w:t xml:space="preserve">Automatic access rights revocation when the session is terminated.</w:t>
      </w:r>
      <w:r>
        <w:t xml:space="preserve">”</w:t>
      </w:r>
      <w:r>
        <w:t xml:space="preserve"> </w:t>
      </w:r>
      <w:r>
        <w:t xml:space="preserve">GoTo’s own end-user guide, the LogMeIn Rescue Step-by-Step Connection Guide, tells the person being supported:</w:t>
      </w:r>
      <w:r>
        <w:t xml:space="preserve"> </w:t>
      </w:r>
      <w:r>
        <w:t xml:space="preserve">“</w:t>
      </w:r>
      <w:r>
        <w:t xml:space="preserve">The applet is a small program that must be running on your computer for the technician to be able to help you. The applet is automatically removed from your PC or Mac at session end.</w:t>
      </w:r>
      <w:r>
        <w:t xml:space="preserve">”</w:t>
      </w:r>
      <w:r>
        <w:t xml:space="preserve"> </w:t>
      </w:r>
      <w:r>
        <w:t xml:space="preserve">Section 18 showed that GoTo’s Administrator Guide also allows the same applet to be configured to run as a Windows system service, with session timeouts that can be set never to expire. Which configuration applied to the University’s students is a question the University’s assessment never asks: it does not name the product whose removal it would need to verify.</w:t>
      </w:r>
    </w:p>
    <w:p>
      <w:pPr>
        <w:pStyle w:val="BodyText"/>
      </w:pPr>
      <w:r>
        <w:t xml:space="preserve">None of this depends on any contested reading. Every quotation above is the University’s own record or its vendors’ own published words. What they establish together is a biometric processing operation recorded as fact in the University’s own assessment; photographs taken and stored that the same assessment says are not stored; continuous capture of face and voice for the whole of every examination, kept for up to three years against a stated seven days; a legal basis that does not exist for this controller; a necessity answer that describes a different product; terms of service that students must accept to sit the examination, served in a version five years out of date while the version in force claims ownership of the recordings and a perpetual licence over them; and remote viewing and control of students’ own computers, presented internally as occasional consensual help, that the vendors’ own documents — including the Terms of Service the University itself serves to students — describe as happening every time the service is used.</w:t>
      </w:r>
    </w:p>
    <w:bookmarkEnd w:id="53"/>
    <w:bookmarkStart w:id="54" w:name="implications"/>
    <w:p>
      <w:pPr>
        <w:pStyle w:val="Heading2"/>
      </w:pPr>
      <w:r>
        <w:t>Section 24: The Data Protection Officer on the Public Register</w:t>
      </w:r>
    </w:p>
    <w:p>
      <w:pPr>
        <w:pStyle w:val="FirstParagraph"/>
      </w:pPr>
      <w:r>
        <w:t>Sections 19 to 23 dealt with what the regulators and the University’s own records say about the deployment. This section deals with a more basic record: who the public is told to contact about their personal data. Article 37(7) UK GDPR requires the controller to “publish the contact details of the data protection officer and communicate them to the Commissioner.” The Information Commissioner’s public register of data protection fee payers is where those details appear.</w:t>
      </w:r>
    </w:p>
    <w:p>
      <w:pPr>
        <w:pStyle w:val="BodyText"/>
      </w:pPr>
      <w:r>
        <w:rPr>
          <w:b/>
        </w:rPr>
        <w:t>The register names an officer the University does not.</w:t>
      </w:r>
      <w:r>
        <w:t xml:space="preserve"> </w:t>
      </w:r>
      <w:r>
        <w:t>As captured on 8, 9 and 10 October 2026, unchanged on each date, the Commissioner’s register entry for The Open University — registration reference Z5521375, “Date registered 08 August 2001”, “Registration expires 07 August 2027”, “Payment tier Tier 1” — records under “Data Protection Officer”: “Mr Joy Gapal Dash Walton Hall Milton Keynes Buckinghamshire United Kingdom MK6AA joymishu92@gmail.com +971561615857”. The Data Protection Registration Certificate generated from the same entry, downloaded on 8 October 2026, repeats the same name, address, email and telephone number. It carries no issue date.</w:t>
      </w:r>
    </w:p>
    <w:p>
      <w:pPr>
        <w:pStyle w:val="BodyText"/>
      </w:pPr>
      <w:r>
        <w:rPr>
          <w:b/>
        </w:rPr>
        <w:t>The University’s own published details are different.</w:t>
      </w:r>
      <w:r>
        <w:t xml:space="preserve"> </w:t>
      </w:r>
      <w:r>
        <w:t>Its privacy notice gives the Data Protection Officer’s contact details as data-protection@open.ac.uk, +44 (0)1908 653994, PO Box 497, Walton Hall, Milton Keynes MK7 6AT. In its internal review response to FOI2026/039, dated 26 May 2026, signed by its Senior Manager Information Rights, the University stated: “The University Data Protection Officer is Rebecca Ward.”</w:t>
      </w:r>
    </w:p>
    <w:p>
      <w:pPr>
        <w:pStyle w:val="BodyText"/>
      </w:pPr>
      <w:r>
        <w:rPr>
          <w:b/>
        </w:rPr>
        <w:t>The differences are on the face of the record.</w:t>
      </w:r>
      <w:r>
        <w:t xml:space="preserve"> </w:t>
      </w:r>
      <w:r>
        <w:t>The name on the statutory register is not the name the University gave in May 2026. The register directs the public to a personal Gmail address and a telephone number with the United Arab Emirates country code (+971), not to the University’s data protection mailbox or its Milton Keynes telephone number. The postcode recorded against the officer, “MK6AA”, is not in valid UK postcode format; the University’s own address on the same entry is MK7 6AA. A student or member of the public who used the Commissioner’s register to contact the University’s Data Protection Officer while the entry stood in this form would have been directed to contact details that are not the University’s.</w:t>
      </w:r>
    </w:p>
    <w:p>
      <w:pPr>
        <w:pStyle w:val="BodyText"/>
      </w:pPr>
      <w:r>
        <w:rPr>
          <w:b/>
        </w:rPr>
        <w:t>The entry has been reported, and its history requested.</w:t>
      </w:r>
      <w:r>
        <w:t xml:space="preserve"> </w:t>
      </w:r>
      <w:r>
        <w:t>The author reported the entry to the Information Commissioner’s Office on 8 October 2026 and, on the same day, requested the entry’s change history under the Freedom of Information Act 2000 (ICO reference IC-578715-P9V6, response due 5 November 2026). The records available at this version do not show when the details were entered, by whom, or by what route, and this section draws no conclusion on those points. It records the entry as it stood and its departure from the University’s own published information. Section 19 documented that the Commissioner holds no framework for assessing complaints about biometric processing by remote invigilation vendors in this sector; this section documents that the Commissioner’s own register, for the same University, carried Data Protection Officer details that the University’s own published information contradicts.</w:t>
      </w:r>
    </w:p>
    <w:p>
      <w:pPr>
        <w:pStyle w:val="Heading2"/>
      </w:pPr>
      <w:r>
        <w:t xml:space="preserve">Implications</w:t>
      </w:r>
    </w:p>
    <w:p>
      <w:pPr>
        <w:pStyle w:val="FirstParagraph"/>
      </w:pPr>
      <w:r>
        <w:t xml:space="preserve">Taken together, the evidence in Parts I through IV points to gaps that recur across the case rather than sitting in any one finding: procurement bodies that are not structurally separated from the assurance function meant to check their own decisions; biometric data held to a lower evidentiary and retention standard than routine financial authentication; sub-processor chains that change without student notice or documented authorisation; internal risk assessments that identify a blocking problem and are overridden rather than resolved; disability-based exceptions granted case by case with no published criteria; a governance structure in which contract-signing authority, procurement risk categories, and board-level financial adjacencies are either undocumented, incomplete, or unassessed; a complaints architecture — university, adjudicator, and regulator alike — in which each body can point to another without any of them applying the standard the institution itself has, in writing, already conceded; and, at the level of the regulators themselves, a data protection regulator that admits, in writing, holding no framework for assessing this category of harm at all, and a financial regulator that is, concurrently, a commissioning funder of the very institution whose finances it is meant to police.</w:t>
      </w:r>
    </w:p>
    <w:p>
      <w:pPr>
        <w:pStyle w:val="BodyText"/>
      </w:pPr>
      <w:r>
        <w:t xml:space="preserve">None of these gaps required new law to close. Existing UK GDPR, Consumer Rights Act, and Equality Act obligations already reach most of what this case study documents. What is missing is not the rule but the mechanism that tests conduct against it — before deployment, not after a student has already sat the exam.</w:t>
      </w:r>
    </w:p>
    <w:bookmarkEnd w:id="54"/>
    <w:bookmarkStart w:id="55" w:name="conclusion"/>
    <w:p>
      <w:pPr>
        <w:pStyle w:val="Heading2"/>
      </w:pPr>
      <w:r>
        <w:t xml:space="preserve">Conclusion</w:t>
      </w:r>
    </w:p>
    <w:p>
      <w:pPr>
        <w:pStyle w:val="FirstParagraph"/>
      </w:pPr>
      <w:r>
        <w:t>Part I showed that a major UK university deployed a mandatory biometric surveillance platform for high-stakes assessment against its own governance documentation’s explicit warnings, through a procurement route not established on the public record, under a sector agreement administered by the same body that issues the sector’s cybersecurity advisories, without independent security verification, and without disclosing sub-processor risk, disability alternatives, or safeguarding requirements affecting minors. Part II shows that the same university has separately told Parliament, in its own words, the precise legal test under which the consent obtained from those same students would be invalid — a test its own public Help Centre policy fails on its own terms — while its own internal IT department had already admitted, in writing, that it did not know whether the platform used AI at all. Part III shows that the governance structure sitting above all of this — who is authorised to sign the contract, what risk categories procurement is built to catch, and what adjacencies exist between the University’s own office-holders and the investment group whose credit division financed the vendor’s ultimate owner — has never itself been documented as assessed. Part IV shows that the principal data protection regulator holds no framework for assessing this category of harm at all, and that the principal financial regulator was, in the same period it was auditing the University’s liquidity, also its commissioning funder for a separate national project — a structural conflict of interest neither regulator has been required to explain. The Department for Education’s own refusal, on cost grounds, of the request for the underlying funding and due-diligence records illustrates the same point from a different angle: the documents that would show whether that conflict was ever formally managed are not, on the Department’s own account, readily to hand.</w:t>
      </w:r>
    </w:p>
    <w:p>
      <w:pPr>
        <w:pStyle w:val="BodyText"/>
      </w:pPr>
      <w:r>
        <w:t xml:space="preserve">This case study does not ask anyone to accept a contested legal argument on trust. The institution under scrutiny has already conceded the argument, in writing, to Parliament. What remains is the gap between that concession and its own conduct — documented here, in full, with its own words as the evidence.</w:t>
      </w:r>
    </w:p>
    <w:bookmarkEnd w:id="55"/>
    <w:bookmarkStart w:id="60" w:name="consolidated-evidence-references"/>
    <w:p>
      <w:pPr>
        <w:pStyle w:val="Heading2"/>
      </w:pPr>
      <w:r>
        <w:t xml:space="preserve">Consolidated Evidence References</w:t>
      </w:r>
    </w:p>
    <w:bookmarkStart w:id="56" w:name="part-i-sources-april-2026"/>
    <w:p>
      <w:pPr>
        <w:pStyle w:val="Heading3"/>
      </w:pPr>
      <w:r>
        <w:t xml:space="preserve">Part I sources (April 2026)</w:t>
      </w:r>
    </w:p>
    <w:p>
      <w:pPr>
        <w:numPr>
          <w:ilvl w:val="0"/>
          <w:numId w:val="1002"/>
        </w:numPr>
      </w:pPr>
      <w:r>
        <w:t xml:space="preserve">FOI2026/023 — disability alternatives and completion rates — WhatDoTheyKnow</w:t>
      </w:r>
    </w:p>
    <w:p>
      <w:pPr>
        <w:numPr>
          <w:ilvl w:val="0"/>
          <w:numId w:val="1002"/>
        </w:numPr>
      </w:pPr>
      <w:r>
        <w:t xml:space="preserve">FOI2025/238 — Open University, request for the ProctorU DPIA, response dated 28 October 2025 (Daniel Webb, Senior Manager Information Rights) — confirms</w:t>
      </w:r>
      <w:r>
        <w:t xml:space="preserve"> </w:t>
      </w:r>
      <w:r>
        <w:t xml:space="preserve">“</w:t>
      </w:r>
      <w:r>
        <w:t xml:space="preserve">DPQ is the name used for DPIAs at the OU</w:t>
      </w:r>
      <w:r>
        <w:t xml:space="preserve">”</w:t>
      </w:r>
      <w:r>
        <w:t xml:space="preserve"> </w:t>
      </w:r>
      <w:r>
        <w:t xml:space="preserve">— WhatDoTheyKnow</w:t>
      </w:r>
    </w:p>
    <w:p>
      <w:pPr>
        <w:numPr>
          <w:ilvl w:val="0"/>
          <w:numId w:val="1002"/>
        </w:numPr>
      </w:pPr>
      <w:r>
        <w:t xml:space="preserve">FOI2026/032 — ProctorU use, DPQs, security assessments — WhatDoTheyKnow</w:t>
      </w:r>
    </w:p>
    <w:p>
      <w:pPr>
        <w:numPr>
          <w:ilvl w:val="0"/>
          <w:numId w:val="1002"/>
        </w:numPr>
      </w:pPr>
      <w:r>
        <w:t xml:space="preserve">FOI2026/039 — SOC 2 compliance and data security — response received 26 March 2026 — no SOC 2 attestation report held</w:t>
      </w:r>
    </w:p>
    <w:p>
      <w:pPr>
        <w:numPr>
          <w:ilvl w:val="0"/>
          <w:numId w:val="1002"/>
        </w:numPr>
      </w:pPr>
      <w:r>
        <w:t xml:space="preserve">FOI2026/044 — B252/B253 outcome data — response received 26 March 2026 — data discrepancy with FOI2026/023 under formal review</w:t>
      </w:r>
    </w:p>
    <w:p>
      <w:pPr>
        <w:numPr>
          <w:ilvl w:val="0"/>
          <w:numId w:val="1002"/>
        </w:numPr>
      </w:pPr>
      <w:r>
        <w:t xml:space="preserve">FOI2026/083 — Open University — confirms the University holds no internal record of ProctorU examination sittings independent of the live third-party system — WhatDoTheyKnow</w:t>
      </w:r>
    </w:p>
    <w:p>
      <w:pPr>
        <w:numPr>
          <w:ilvl w:val="0"/>
          <w:numId w:val="1002"/>
        </w:numPr>
      </w:pPr>
      <w:r>
        <w:t xml:space="preserve">1EdTech TrustEd Apps Directory — Meazure Learning / ProctorU search, verified 27 March 2026</w:t>
      </w:r>
    </w:p>
    <w:p>
      <w:pPr>
        <w:numPr>
          <w:ilvl w:val="0"/>
          <w:numId w:val="1002"/>
        </w:numPr>
      </w:pPr>
      <w:r>
        <w:t xml:space="preserve">Meazure Learning compliance page — meazurelearning.com/compliance — GDPR link misattribution verified 27 March 2026</w:t>
      </w:r>
    </w:p>
    <w:p>
      <w:pPr>
        <w:numPr>
          <w:ilvl w:val="0"/>
          <w:numId w:val="1002"/>
        </w:numPr>
      </w:pPr>
      <w:r>
        <w:t xml:space="preserve">NCC-CSIRT Advisory NCC-CSIRT-2025-025 (Nigeria Communications Commission CSIRT, csirt.ncc.gov.ng) — HIGH/HIGH classification for LogMeIn/GoTo Resolve abuse as a malware-delivery vector. Not a JISC publication; cited independently, not as evidence of JISC’s own knowledge. Concerns GoTo Resolve, not GoTo Rescue — see Part III, Section 18.</w:t>
      </w:r>
    </w:p>
    <w:p>
      <w:pPr>
        <w:numPr>
          <w:ilvl w:val="0"/>
          <w:numId w:val="1002"/>
        </w:numPr>
      </w:pPr>
      <w:r>
        <w:t xml:space="preserve">Government Cyber Action Plan — January 2026 — gov.uk</w:t>
      </w:r>
    </w:p>
    <w:p>
      <w:pPr>
        <w:numPr>
          <w:ilvl w:val="0"/>
          <w:numId w:val="1002"/>
        </w:numPr>
      </w:pPr>
      <w:r>
        <w:t xml:space="preserve">UK Government Fraud Strategy 2026–2029 — published 9 March 2026 — gov.uk</w:t>
      </w:r>
    </w:p>
    <w:p>
      <w:pPr>
        <w:numPr>
          <w:ilvl w:val="0"/>
          <w:numId w:val="1002"/>
        </w:numPr>
      </w:pPr>
      <w:r>
        <w:t xml:space="preserve">Jisc news release,</w:t>
      </w:r>
      <w:r>
        <w:t xml:space="preserve"> </w:t>
      </w:r>
      <w:r>
        <w:t xml:space="preserve">“</w:t>
      </w:r>
      <w:r>
        <w:t xml:space="preserve">Cyber-attacks against UK education and research are growing more complex and sophisticated,</w:t>
      </w:r>
      <w:r>
        <w:t xml:space="preserve">”</w:t>
      </w:r>
      <w:r>
        <w:t xml:space="preserve"> </w:t>
      </w:r>
      <w:r>
        <w:t xml:space="preserve">26 February 2026, summarising findings from the annual cyber threat intelligence report (full report restricted to Jisc’s cyber security community group) — jisc.ac.uk</w:t>
      </w:r>
    </w:p>
    <w:p>
      <w:pPr>
        <w:numPr>
          <w:ilvl w:val="0"/>
          <w:numId w:val="1002"/>
        </w:numPr>
      </w:pPr>
      <w:r>
        <w:t xml:space="preserve">iQor acquisition of OP360 — GlobeNewswire — 5 January 2026</w:t>
      </w:r>
    </w:p>
    <w:p>
      <w:pPr>
        <w:numPr>
          <w:ilvl w:val="0"/>
          <w:numId w:val="1002"/>
        </w:numPr>
      </w:pPr>
      <w:r>
        <w:t xml:space="preserve">Meazure Learning Privacy Policy,</w:t>
      </w:r>
      <w:r>
        <w:t xml:space="preserve"> </w:t>
      </w:r>
      <w:r>
        <w:t xml:space="preserve">“</w:t>
      </w:r>
      <w:r>
        <w:t xml:space="preserve">Last Updated: May 6, 2026</w:t>
      </w:r>
      <w:r>
        <w:t xml:space="preserve">”</w:t>
      </w:r>
      <w:r>
        <w:t xml:space="preserve"> </w:t>
      </w:r>
      <w:r>
        <w:t xml:space="preserve">— Cookies and Other Tracking Technologies / Website Delivery and Appearance section — discloses that chat-based support interaction data</w:t>
      </w:r>
      <w:r>
        <w:t xml:space="preserve"> </w:t>
      </w:r>
      <w:r>
        <w:t xml:space="preserve">“</w:t>
      </w:r>
      <w:r>
        <w:t xml:space="preserve">may be used by Zendesk… to help train and improve Zendesk’s AI systems</w:t>
      </w:r>
      <w:r>
        <w:t xml:space="preserve">”</w:t>
      </w:r>
      <w:r>
        <w:t xml:space="preserve"> </w:t>
      </w:r>
      <w:r>
        <w:t xml:space="preserve">— meazurelearning.com</w:t>
      </w:r>
    </w:p>
    <w:p>
      <w:pPr>
        <w:numPr>
          <w:ilvl w:val="0"/>
          <w:numId w:val="1002"/>
        </w:numPr>
      </w:pPr>
      <w:r>
        <w:t xml:space="preserve">Department for Education,</w:t>
      </w:r>
      <w:r>
        <w:t xml:space="preserve"> </w:t>
      </w:r>
      <w:r>
        <w:t xml:space="preserve">“</w:t>
      </w:r>
      <w:r>
        <w:t xml:space="preserve">Generative AI: product safety standards,</w:t>
      </w:r>
      <w:r>
        <w:t xml:space="preserve">”</w:t>
      </w:r>
      <w:r>
        <w:t xml:space="preserve"> </w:t>
      </w:r>
      <w:r>
        <w:t xml:space="preserve">published 19 January 2026 — gov.uk — addressed to edtech developers and suppliers to schools and colleges</w:t>
      </w:r>
    </w:p>
    <w:p>
      <w:pPr>
        <w:numPr>
          <w:ilvl w:val="0"/>
          <w:numId w:val="1002"/>
        </w:numPr>
      </w:pPr>
      <w:r>
        <w:t xml:space="preserve">California State Bar amended complaint against Meazure Learning — filed 11 March 2026, Los Angeles Superior Court</w:t>
      </w:r>
    </w:p>
    <w:p>
      <w:pPr>
        <w:numPr>
          <w:ilvl w:val="0"/>
          <w:numId w:val="1002"/>
        </w:numPr>
      </w:pPr>
      <w:r>
        <w:t xml:space="preserve">Active class action litigation against Radius Global Solutions, following its 2023 MOVEit/Clop ransomware breach — ongoing</w:t>
      </w:r>
    </w:p>
    <w:p>
      <w:pPr>
        <w:numPr>
          <w:ilvl w:val="0"/>
          <w:numId w:val="1002"/>
        </w:numPr>
      </w:pPr>
      <w:r>
        <w:t xml:space="preserve">Full FOI response and attached DPQs (the original DPQ is referred to throughout this case study as GOV-1): https://www.whatdotheyknow.com/request/use_of_proctoru_remote_proctorin#incoming-3351760</w:t>
      </w:r>
    </w:p>
    <w:p>
      <w:pPr>
        <w:numPr>
          <w:ilvl w:val="0"/>
          <w:numId w:val="1002"/>
        </w:numPr>
      </w:pPr>
      <w:r>
        <w:t xml:space="preserve">“</w:t>
      </w:r>
      <w:r>
        <w:t xml:space="preserve">ProctorU DPQ Updated March 2026</w:t>
      </w:r>
      <w:r>
        <w:t xml:space="preserve">”</w:t>
      </w:r>
      <w:r>
        <w:t xml:space="preserve"> </w:t>
      </w:r>
      <w:r>
        <w:t xml:space="preserve">(Assessment, Risk Assessment, Questionnaire, and AI/ML tabs) — the March 2026 update to GOV-1, disclosed under FOI2026/039 — source for the Individual Rights/Security</w:t>
      </w:r>
      <w:r>
        <w:t xml:space="preserve"> </w:t>
      </w:r>
      <w:r>
        <w:t xml:space="preserve">“</w:t>
      </w:r>
      <w:r>
        <w:t xml:space="preserve">partially met</w:t>
      </w:r>
      <w:r>
        <w:t xml:space="preserve">”</w:t>
      </w:r>
      <w:r>
        <w:t xml:space="preserve"> </w:t>
      </w:r>
      <w:r>
        <w:t xml:space="preserve">entries and the Assessment tab’s</w:t>
      </w:r>
      <w:r>
        <w:t xml:space="preserve"> </w:t>
      </w:r>
      <w:r>
        <w:t xml:space="preserve">“</w:t>
      </w:r>
      <w:r>
        <w:t xml:space="preserve">Artificial Intelligence, Machine Learning or Algorithms usage are not part of this activity</w:t>
      </w:r>
      <w:r>
        <w:t xml:space="preserve">”</w:t>
      </w:r>
      <w:r>
        <w:t xml:space="preserve"> </w:t>
      </w:r>
      <w:r>
        <w:t xml:space="preserve">entry, both quoted in Section 4</w:t>
      </w:r>
    </w:p>
    <w:p>
      <w:pPr>
        <w:numPr>
          <w:ilvl w:val="0"/>
          <w:numId w:val="1002"/>
        </w:numPr>
      </w:pPr>
      <w:r>
        <w:t xml:space="preserve">Letter to a named OU student re MST125 assessment arrangements, signed Richard English, Student Casework Manager, Tuition, Assessment, Curriculum and Quality (TACQ), dated 22 March 2026 — shared publicly by the recipient with express consent for reuse as evidence</w:t>
      </w:r>
    </w:p>
    <w:bookmarkEnd w:id="56"/>
    <w:bookmarkStart w:id="57" w:name="part-ii-sources-apriljuly-2026"/>
    <w:p>
      <w:pPr/>
      <w:r>
        <w:t>Jisc Chest agreement page, “Meazure Learning,” chest.ac.uk/agreements/meazure-learning — captures held showing “Agreement start: 1 May 2023”, “Agreement end: 30 April 2026” and, later, “Available to purchase until 31/10/2026”; source for “Standard $10000 implementation fee waived for Chest customers” and the Auto Proctoring description (“Their proprietary, machine-learning algorithms were created to detect and capture any and all aberrant behaviour for your exams”); the agreement page does not establish that the University procured through it</w:t>
      </w:r>
    </w:p>
    <w:p>
      <w:pPr/>
      <w:r>
        <w:t>The Open University, tender OUPA11152 (“Online Invigilation”), evaluation dated 8 January 2024, disclosed under FOI — the University’s own procurement; its relationship to the Chest agreement is not established</w:t>
      </w:r>
    </w:p>
    <w:p>
      <w:pPr>
        <w:pStyle w:val="Heading3"/>
      </w:pPr>
      <w:r>
        <w:t xml:space="preserve">Part II sources (April–July 2026)</w:t>
      </w:r>
    </w:p>
    <w:p>
      <w:pPr>
        <w:numPr>
          <w:ilvl w:val="0"/>
          <w:numId w:val="1003"/>
        </w:numPr>
      </w:pPr>
      <w:r>
        <w:t xml:space="preserve">ICO guidance, biometric data, current from 15 April 2025 — ico.org.uk — predates the September 2025 examinations; states organisations</w:t>
      </w:r>
      <w:r>
        <w:t xml:space="preserve"> </w:t>
      </w:r>
      <w:r>
        <w:t xml:space="preserve">“</w:t>
      </w:r>
      <w:r>
        <w:t xml:space="preserve">must offer a suitable alternative to people who choose not to consent,</w:t>
      </w:r>
      <w:r>
        <w:t xml:space="preserve">”</w:t>
      </w:r>
      <w:r>
        <w:t xml:space="preserve"> </w:t>
      </w:r>
      <w:r>
        <w:t xml:space="preserve">with a worked example naming public authorities specifically</w:t>
      </w:r>
    </w:p>
    <w:p>
      <w:pPr>
        <w:numPr>
          <w:ilvl w:val="0"/>
          <w:numId w:val="1003"/>
        </w:numPr>
      </w:pPr>
      <w:r>
        <w:t xml:space="preserve">AIE0218 — Open University written evidence to the Education Committee,</w:t>
      </w:r>
      <w:r>
        <w:t xml:space="preserve"> </w:t>
      </w:r>
      <w:r>
        <w:t xml:space="preserve">“</w:t>
      </w:r>
      <w:r>
        <w:t xml:space="preserve">The Use of Artificial Intelligence and EdTech in Education,</w:t>
      </w:r>
      <w:r>
        <w:t xml:space="preserve">”</w:t>
      </w:r>
      <w:r>
        <w:t xml:space="preserve"> </w:t>
      </w:r>
      <w:r>
        <w:t xml:space="preserve">dated May 2026, contact Louis Trupia-Melluish. Published at committees.parliament.uk (search reference AIE0218 within work/9642 written evidence).</w:t>
      </w:r>
    </w:p>
    <w:p>
      <w:pPr>
        <w:numPr>
          <w:ilvl w:val="0"/>
          <w:numId w:val="1003"/>
        </w:numPr>
      </w:pPr>
      <w:r>
        <w:t xml:space="preserve">Oral evidence transcript, HC 151, 7 July 2026, Panel I (Witnesses: The King’s Trust, Institute for the Future of Work, Nuffield Foundation, British Chambers of Commerce) — https://committees.parliament.uk/oralevidence/17949/pdf/</w:t>
      </w:r>
    </w:p>
    <w:p>
      <w:pPr>
        <w:numPr>
          <w:ilvl w:val="0"/>
          <w:numId w:val="1003"/>
        </w:numPr>
      </w:pPr>
      <w:r>
        <w:t xml:space="preserve">Oral evidence transcript, HC 151, 7 July 2026, Panel II (Witnesses: University College London, Purposeful Ventures, Oak National Academy, Monash University) — https://committees.parliament.uk/oralevidence/17951/pdf/</w:t>
      </w:r>
    </w:p>
    <w:p>
      <w:pPr>
        <w:numPr>
          <w:ilvl w:val="0"/>
          <w:numId w:val="1003"/>
        </w:numPr>
      </w:pPr>
      <w:r>
        <w:t xml:space="preserve">FOI2026/066 — Open University, phishing incident 2026-173 — breach scope and initial (later superseded) Article 33 assessment claim</w:t>
      </w:r>
    </w:p>
    <w:p>
      <w:pPr>
        <w:numPr>
          <w:ilvl w:val="0"/>
          <w:numId w:val="1003"/>
        </w:numPr>
      </w:pPr>
      <w:r>
        <w:t xml:space="preserve">FOI2026/088 — Open University, personal-address mail delivery mechanism — initial narrow denial</w:t>
      </w:r>
    </w:p>
    <w:p>
      <w:pPr>
        <w:numPr>
          <w:ilvl w:val="0"/>
          <w:numId w:val="1003"/>
        </w:numPr>
      </w:pPr>
      <w:r>
        <w:t xml:space="preserve">FOI2026/109 — Open University, response of 1 July 2026 — reversal confirming personal-address delivery mechanism operates by design; confirms no written Article 33 threshold assessment exists</w:t>
      </w:r>
    </w:p>
    <w:p>
      <w:pPr>
        <w:numPr>
          <w:ilvl w:val="0"/>
          <w:numId w:val="1003"/>
        </w:numPr>
      </w:pPr>
      <w:r>
        <w:t xml:space="preserve">ICO internal review, Case Reference IC-524089-W4X7, dated 31 July 2026 — confirms the ICO does not record an outcome category at initial assessment of an Article 33 breach notification, does not record any verification of the notification’s factual accuracy, and does not record follow-up on accuracy or completeness; internal review upheld the original response without addressing its substance</w:t>
      </w:r>
    </w:p>
    <w:p>
      <w:pPr>
        <w:numPr>
          <w:ilvl w:val="0"/>
          <w:numId w:val="1003"/>
        </w:numPr>
      </w:pPr>
      <w:r>
        <w:t xml:space="preserve">ICO published guidance,</w:t>
      </w:r>
      <w:r>
        <w:t xml:space="preserve"> </w:t>
      </w:r>
      <w:r>
        <w:t xml:space="preserve">“</w:t>
      </w:r>
      <w:r>
        <w:t xml:space="preserve">Understanding and assessing risk in personal data breaches</w:t>
      </w:r>
      <w:r>
        <w:t xml:space="preserve">”</w:t>
      </w:r>
      <w:r>
        <w:t xml:space="preserve"> </w:t>
      </w:r>
      <w:r>
        <w:t xml:space="preserve">— ico.org.uk — sets out the seven-step documented risk-assessment methodology the ICO requires of data controllers, compared against IC-524089-W4X7 above</w:t>
      </w:r>
    </w:p>
    <w:p>
      <w:pPr>
        <w:numPr>
          <w:ilvl w:val="0"/>
          <w:numId w:val="1003"/>
        </w:numPr>
      </w:pPr>
      <w:r>
        <w:t xml:space="preserve">Business Impact Assessment BIA-460, Open University IT unit — disclosed under FOI, nearly two months late</w:t>
      </w:r>
    </w:p>
    <w:p>
      <w:pPr>
        <w:numPr>
          <w:ilvl w:val="0"/>
          <w:numId w:val="1003"/>
        </w:numPr>
      </w:pPr>
      <w:r>
        <w:t xml:space="preserve">California State Auditor Report 2025-051 (Auditor Grant Parks, published 9 July 2026) — root-cause findings on the February 2025 exam-day collapse; explicitly does not assess or reach conclusions on the State Bar’s litigation against Meazure Learning</w:t>
      </w:r>
    </w:p>
    <w:p>
      <w:pPr>
        <w:numPr>
          <w:ilvl w:val="0"/>
          <w:numId w:val="1003"/>
        </w:numPr>
      </w:pPr>
      <w:r>
        <w:t xml:space="preserve">Dale Vince v Associated Newspapers Ltd [2026] EWCA Civ 899, Court of Appeal, 15 July 2026 — unfair processing under UK GDPR Article 5(1)(a) via misleading juxtaposition</w:t>
      </w:r>
    </w:p>
    <w:p>
      <w:pPr>
        <w:numPr>
          <w:ilvl w:val="0"/>
          <w:numId w:val="1003"/>
        </w:numPr>
      </w:pPr>
      <w:r>
        <w:t xml:space="preserve">State Bar of California v. Meazure Learning, Case No. 25STCV13089, Superior Court of Los Angeles County — executed Settlement Agreement, 13 July 2026</w:t>
      </w:r>
    </w:p>
    <w:p>
      <w:pPr>
        <w:numPr>
          <w:ilvl w:val="0"/>
          <w:numId w:val="1003"/>
        </w:numPr>
      </w:pPr>
      <w:r>
        <w:t xml:space="preserve">California State Bar public statements on the amended complaint and settlement — calbar.ca.gov</w:t>
      </w:r>
    </w:p>
    <w:p>
      <w:pPr>
        <w:numPr>
          <w:ilvl w:val="0"/>
          <w:numId w:val="1003"/>
        </w:numPr>
      </w:pPr>
      <w:r>
        <w:t xml:space="preserve">Federal class action against Meazure Learning, consolidated N.D. Cal., mediation before a retired federal judge — ongoing, not settled</w:t>
      </w:r>
    </w:p>
    <w:p>
      <w:pPr>
        <w:numPr>
          <w:ilvl w:val="0"/>
          <w:numId w:val="1003"/>
        </w:numPr>
      </w:pPr>
      <w:r>
        <w:t xml:space="preserve">Perjanik et al. v. ProctorU, Inc. d/b/a Meazure Learning, originally filed as Case No. 3:25-cv-02095, N.D. Cal., 27 February 2025, nationwide class of approximately 5,600 February 2025 California Bar Exam takers; consolidated with two related actions and proceeding as 4:25-cv-02095-JST before Judge Jon S. Tigar — preliminary settlement approval motion filed 18 September 2026, reported $1.35 million resolution, 4,100-member class, $153 minimum refund per claimant (Legal Newsline, 1 October 2026)</w:t>
      </w:r>
    </w:p>
    <w:p>
      <w:pPr>
        <w:numPr>
          <w:ilvl w:val="0"/>
          <w:numId w:val="1003"/>
        </w:numPr>
      </w:pPr>
      <w:r>
        <w:t xml:space="preserve">Meazure Learning Terms of Service — meazurelearning.com — version last updated 6 May 2026, compared against a pre-6-May-2026 version obtained separately</w:t>
      </w:r>
    </w:p>
    <w:p>
      <w:pPr>
        <w:numPr>
          <w:ilvl w:val="0"/>
          <w:numId w:val="1003"/>
        </w:numPr>
      </w:pPr>
      <w:r>
        <w:t xml:space="preserve">Meazure Learning Privacy Policy — meazurelearning.com/privacy-policy — November 2025 capture (metadata: created 6 November 2025) compared against the version live 6 May 2026</w:t>
      </w:r>
    </w:p>
    <w:p>
      <w:pPr>
        <w:numPr>
          <w:ilvl w:val="0"/>
          <w:numId w:val="1003"/>
        </w:numPr>
      </w:pPr>
      <w:r>
        <w:t xml:space="preserve">Meazure Learning Data Processing Addendum — meazurelearning.com/data-processing-addendum</w:t>
      </w:r>
    </w:p>
    <w:p>
      <w:pPr>
        <w:numPr>
          <w:ilvl w:val="0"/>
          <w:numId w:val="1003"/>
        </w:numPr>
      </w:pPr>
      <w:r>
        <w:t xml:space="preserve">Meazure Learning Standard Contractual Clauses page — meazurelearning.com/standard-contractual-clauses — page metadata confirms last modification 16 December 2024</w:t>
      </w:r>
    </w:p>
    <w:p>
      <w:pPr>
        <w:numPr>
          <w:ilvl w:val="0"/>
          <w:numId w:val="1003"/>
        </w:numPr>
      </w:pPr>
      <w:r>
        <w:t xml:space="preserve">Open University Online Invigilation Policy, section 2.4, and Open University Help Centre</w:t>
      </w:r>
      <w:r>
        <w:t xml:space="preserve"> </w:t>
      </w:r>
      <w:r>
        <w:t xml:space="preserve">“</w:t>
      </w:r>
      <w:r>
        <w:t xml:space="preserve">On the day of the exam</w:t>
      </w:r>
      <w:r>
        <w:t xml:space="preserve">”</w:t>
      </w:r>
      <w:r>
        <w:t xml:space="preserve"> </w:t>
      </w:r>
      <w:r>
        <w:t xml:space="preserve">page — help.open.ac.uk — both checked as live and current 30 July 2026</w:t>
      </w:r>
    </w:p>
    <w:p>
      <w:pPr>
        <w:numPr>
          <w:ilvl w:val="0"/>
          <w:numId w:val="1003"/>
        </w:numPr>
      </w:pPr>
      <w:r>
        <w:t xml:space="preserve">Open University Help Centre — hosted copy of Meazure Learning Terms of Service — confirmed to be the pre-6-May-2026 version as of 28 July 2026</w:t>
      </w:r>
    </w:p>
    <w:bookmarkEnd w:id="57"/>
    <w:bookmarkStart w:id="58" w:name="part-iii-sources-august-2026"/>
    <w:p>
      <w:pPr>
        <w:pStyle w:val="Heading3"/>
      </w:pPr>
      <w:r>
        <w:t xml:space="preserve">Part III sources (August 2026)</w:t>
      </w:r>
    </w:p>
    <w:p>
      <w:pPr>
        <w:numPr>
          <w:ilvl w:val="0"/>
          <w:numId w:val="1004"/>
        </w:numPr>
      </w:pPr>
      <w:r>
        <w:t xml:space="preserve">Open University Register of Interests — Robert McCracken (Treasurer, Chair of Finance and Investment Committees) entry disclosing paid contractor roles at Fedrigoni SPA, Fox (Holdco) BV, Maesa Expansion SAS, and MKM Building Supplies Ltd</w:t>
      </w:r>
    </w:p>
    <w:p>
      <w:pPr>
        <w:numPr>
          <w:ilvl w:val="0"/>
          <w:numId w:val="1004"/>
        </w:numPr>
      </w:pPr>
      <w:r>
        <w:t xml:space="preserve">Open University Register of Interests — Julia Goodfellow (Vice-Chair of Council) entry disclosing a family member’s role at Abingworth LLP (owned by Carlyle Group)</w:t>
      </w:r>
    </w:p>
    <w:p>
      <w:pPr>
        <w:numPr>
          <w:ilvl w:val="0"/>
          <w:numId w:val="1004"/>
        </w:numPr>
      </w:pPr>
      <w:r>
        <w:t xml:space="preserve">Open University Council Constitution, updated 1 August 2026 — confirms the five contract-signing roles under Financial Regulation 3.2.4</w:t>
      </w:r>
    </w:p>
    <w:p>
      <w:pPr>
        <w:numPr>
          <w:ilvl w:val="0"/>
          <w:numId w:val="1004"/>
        </w:numPr>
      </w:pPr>
      <w:r>
        <w:t xml:space="preserve">Open University Schedule of Financial Delegations, dated 30 November 2020</w:t>
      </w:r>
    </w:p>
    <w:p>
      <w:pPr/>
      <w:r>
        <w:t>The Open University, Procurement Strategy 2021–2027 (Release 2, “updated December 2024”, authorised by the Vice-Chancellor’s Executive (VCE) &amp; Finance Committee, January 2025; Release 1, OU Procurement Strategy 2021/24, authorised by Finance Committee, October 2020) — source for paragraph 12 (personal data and the risk profile of digital services) and paragraph 14 (“High value and higher risk sourcing activity is led by the Procurement Services Team”)</w:t>
      </w:r>
    </w:p>
    <w:p>
      <w:pPr/>
      <w:r>
        <w:t>The Open University, “Procurement at The Open University”, about.open.ac.uk (Procurement Services) — source for the three purchasing routes and the Supplier Code of Conduct sign-up figures (2024/25: 61%; 2023/24: 49%; target 80%)</w:t>
      </w:r>
    </w:p>
    <w:p>
      <w:pPr/>
      <w:r>
        <w:t>Open University Senate minutes — S-2025-02-M (2 April 2025; “Senate approved these minutes as a correct record of the meeting”), Minutes 13.2(a) and 13.3(a)</w:t>
      </w:r>
    </w:p>
    <w:p>
      <w:pPr/>
      <w:r>
        <w:t>The Open University, Financial Regulations (“effective from 1 August 2019”), issued by Council — about.open.ac.uk/sites/about.open.ac.uk/files/files/Procurement/Fin-Regs-NEW-v1-0-Council-FINAL.pdf — regulations 7.2, 7.3 and 10.2</w:t>
      </w:r>
    </w:p>
    <w:p>
      <w:pPr/>
      <w:r>
        <w:t>The Open University, Procurement Policy (approved by Vice-Chancellor’s Executive 14 October 2020 and Finance Committee 5 November 2020; threshold update June 2024; section 8 update January 2026), current published version — about.open.ac.uk/sites/about.open.ac.uk/files/files/Procurement/Procurement%20Policy%20(updated%202026)a.pdf — sections 3.1, 5.12, 5.13, 5.14 and Annex PP1; every page footer reads “Open University Procurement Policy November 2020”, while the text refers to the Procurement Act 2023, an update not recorded in its document control; the version in force in January 2024 has not been published</w:t>
      </w:r>
    </w:p>
    <w:p>
      <w:pPr/>
      <w:r>
        <w:t>The Open University, General Terms and Conditions of Purchase of Goods and/or Services, Version 12, June 2024 (document title “OU standard TCs Goods and Services under £50k”) — about.open.ac.uk/sites/about.open.ac.uk/files/files/Procurement/Open-University-standard-terms-and-condition-of-purchase.pdf — clauses 13.3 and 25.1; the terms of the Meazure Learning contract itself have not been published</w:t>
      </w:r>
    </w:p>
    <w:p>
      <w:pPr/>
      <w:r>
        <w:t>The Open University, “Information for suppliers” — about.open.ac.uk/governance/procurement-services/information-suppliers — purchase order requirement</w:t>
      </w:r>
    </w:p>
    <w:p>
      <w:pPr>
        <w:numPr>
          <w:ilvl w:val="0"/>
          <w:numId w:val="1004"/>
        </w:numPr>
      </w:pPr>
      <w:r>
        <w:t>The Open University, Responsible Procurement Strategy 2023–2026, Procurement Services, July 2023 (Release 1.0, authorised by the Vice-Chancellor’s Executive; “Change Made: N/a”) — source for Figure 1 (Responsible Procurement Priorities), Figure 2 (Responsible Procurement in the Procurement Cycle), paragraph 5 (“will be considered on all purchases made by the University”) and Appendix 1 (“Ensure responsible procurement is a consideration for all high-risk categories”)</w:t>
      </w:r>
    </w:p>
    <w:p>
      <w:pPr>
        <w:numPr>
          <w:ilvl w:val="0"/>
          <w:numId w:val="1004"/>
        </w:numPr>
      </w:pPr>
      <w:r>
        <w:t xml:space="preserve">Bain Capital Credit press release, 28 January 2021, baincapital.com — confirms senior credit facilities financing Gryphon Investors’ majority buyout of Meazure Learning/ProctorU</w:t>
      </w:r>
    </w:p>
    <w:p>
      <w:pPr>
        <w:numPr>
          <w:ilvl w:val="0"/>
          <w:numId w:val="1004"/>
        </w:numPr>
      </w:pPr>
      <w:r>
        <w:t xml:space="preserve">Fedrigoni SPA governance page — confirms Fedrigoni as a Bain Capital portfolio company and McCracken’s role chairing its Audit &amp; Risk Committee</w:t>
      </w:r>
    </w:p>
    <w:p>
      <w:pPr>
        <w:numPr>
          <w:ilvl w:val="0"/>
          <w:numId w:val="1004"/>
        </w:numPr>
      </w:pPr>
      <w:r>
        <w:t xml:space="preserve">Bain Capital Private Equity published portfolio list — confirms MKM Building Supplies Ltd</w:t>
      </w:r>
    </w:p>
    <w:p>
      <w:pPr>
        <w:numPr>
          <w:ilvl w:val="0"/>
          <w:numId w:val="1004"/>
        </w:numPr>
      </w:pPr>
      <w:r>
        <w:t xml:space="preserve">US FTC HSR early-termination filing, Transaction 20191119 (Bain Capital Europe Fund V, SCSp), granted, dated approximately 15 April 2019 — confirms Maesa Expansion SAS as a Bain Capital portfolio company, corroborated by Bain Capital’s own press release, 28 March 2019, and independent press coverage</w:t>
      </w:r>
    </w:p>
    <w:p>
      <w:pPr>
        <w:numPr>
          <w:ilvl w:val="0"/>
          <w:numId w:val="1004"/>
        </w:numPr>
      </w:pPr>
      <w:r>
        <w:t xml:space="preserve">GoTo ISO 27001 certificate MMIND-25093001, Mastermind Assurance LLC — held continuously since 26 July 2019, reissued 24 April 2026, scope names LogMeIn Rescue</w:t>
      </w:r>
    </w:p>
    <w:p>
      <w:pPr>
        <w:numPr>
          <w:ilvl w:val="0"/>
          <w:numId w:val="1004"/>
        </w:numPr>
      </w:pPr>
      <w:r>
        <w:t xml:space="preserve">GoTo Systems Management SOC 3 report, period 1 May 2025–30 April 2026, issued 9 July 2026 — scope names Rescue; trust criteria Security, Availability, Confidentiality (no Privacy category)</w:t>
      </w:r>
    </w:p>
    <w:p>
      <w:pPr>
        <w:numPr>
          <w:ilvl w:val="0"/>
          <w:numId w:val="1004"/>
        </w:numPr>
      </w:pPr>
      <w:r>
        <w:t xml:space="preserve">GoTo/LogMeIn Rescue Administrator Guide (GoTo, Inc., published vendor documentation) —</w:t>
      </w:r>
      <w:r>
        <w:t xml:space="preserve"> </w:t>
      </w:r>
      <w:r>
        <w:t xml:space="preserve">“</w:t>
      </w:r>
      <w:r>
        <w:t xml:space="preserve">Automatically start as Windows System Service</w:t>
      </w:r>
      <w:r>
        <w:t xml:space="preserve">”</w:t>
      </w:r>
      <w:r>
        <w:t xml:space="preserve"> </w:t>
      </w:r>
      <w:r>
        <w:t xml:space="preserve">/ administrative-rights configuration option; session timeout settings including indefinite non-expiry and the processes that prevent timeout; chat-log 24-hour post-queue deletion window</w:t>
      </w:r>
    </w:p>
    <w:bookmarkEnd w:id="58"/>
    <w:bookmarkStart w:id="59" w:name="part-iv-sources-septemberoctober-2026"/>
    <w:p>
      <w:pPr>
        <w:pStyle w:val="Heading3"/>
      </w:pPr>
      <w:r>
        <w:t xml:space="preserve">Part IV sources (September–October 2026)</w:t>
      </w:r>
    </w:p>
    <w:p>
      <w:pPr>
        <w:numPr>
          <w:ilvl w:val="0"/>
          <w:numId w:val="1005"/>
        </w:numPr>
      </w:pPr>
      <w:r>
        <w:t xml:space="preserve">ICO Freedom of Information response, Case Reference IC-552138-Y2M7, 4 September 2026 — confirms the ICO holds no policy or guidance for assessing complaints involving special category or biometric data collected by third-party remote invigilation vendors in higher education</w:t>
      </w:r>
    </w:p>
    <w:p>
      <w:pPr>
        <w:numPr>
          <w:ilvl w:val="0"/>
          <w:numId w:val="1005"/>
        </w:numPr>
      </w:pPr>
      <w:r>
        <w:t xml:space="preserve">ICO quarterly</w:t>
      </w:r>
      <w:r>
        <w:t xml:space="preserve"> </w:t>
      </w:r>
      <w:r>
        <w:t xml:space="preserve">“</w:t>
      </w:r>
      <w:r>
        <w:t xml:space="preserve">Data protection complaints</w:t>
      </w:r>
      <w:r>
        <w:t xml:space="preserve">”</w:t>
      </w:r>
      <w:r>
        <w:t xml:space="preserve"> </w:t>
      </w:r>
      <w:r>
        <w:t xml:space="preserve">casework datasets, financial year 2025/26 (Q1–Q4), ico.org.uk — downloaded and independently analysed directly</w:t>
      </w:r>
    </w:p>
    <w:p>
      <w:pPr>
        <w:numPr>
          <w:ilvl w:val="0"/>
          <w:numId w:val="1005"/>
        </w:numPr>
      </w:pPr>
      <w:r>
        <w:t xml:space="preserve">Office for Students blog,</w:t>
      </w:r>
      <w:r>
        <w:t xml:space="preserve"> </w:t>
      </w:r>
      <w:r>
        <w:t xml:space="preserve">“</w:t>
      </w:r>
      <w:r>
        <w:t xml:space="preserve">Building higher education pathways locally: Lessons from the OfS’s validation project with the Open University,</w:t>
      </w:r>
      <w:r>
        <w:t xml:space="preserve">”</w:t>
      </w:r>
      <w:r>
        <w:t xml:space="preserve"> </w:t>
      </w:r>
      <w:r>
        <w:t xml:space="preserve">Alastair Wilson, 27 May 2026, officeforstudents.org.uk</w:t>
      </w:r>
    </w:p>
    <w:p>
      <w:pPr>
        <w:numPr>
          <w:ilvl w:val="0"/>
          <w:numId w:val="1005"/>
        </w:numPr>
      </w:pPr>
      <w:r>
        <w:t xml:space="preserve">Office for Students,</w:t>
      </w:r>
      <w:r>
        <w:t xml:space="preserve"> </w:t>
      </w:r>
      <w:r>
        <w:t xml:space="preserve">“</w:t>
      </w:r>
      <w:r>
        <w:t xml:space="preserve">Regulatory case report for the Open University – specific ongoing condition BA,</w:t>
      </w:r>
      <w:r>
        <w:t xml:space="preserve">”</w:t>
      </w:r>
      <w:r>
        <w:t xml:space="preserve"> </w:t>
      </w:r>
      <w:r>
        <w:t xml:space="preserve">officeforstudents.org.uk</w:t>
      </w:r>
    </w:p>
    <w:p>
      <w:pPr>
        <w:numPr>
          <w:ilvl w:val="0"/>
          <w:numId w:val="1005"/>
        </w:numPr>
      </w:pPr>
      <w:r>
        <w:t xml:space="preserve">Higher Education and Research Act 2017, sections 5, 6, and 50 — legislation.gov.uk</w:t>
      </w:r>
    </w:p>
    <w:p>
      <w:pPr>
        <w:numPr>
          <w:ilvl w:val="0"/>
          <w:numId w:val="1005"/>
        </w:numPr>
      </w:pPr>
      <w:r>
        <w:t xml:space="preserve">House of Commons Public Accounts Committee,</w:t>
      </w:r>
      <w:r>
        <w:t xml:space="preserve"> </w:t>
      </w:r>
      <w:r>
        <w:t xml:space="preserve">“</w:t>
      </w:r>
      <w:r>
        <w:t xml:space="preserve">Financial sustainability of the higher education sector in England,</w:t>
      </w:r>
      <w:r>
        <w:t xml:space="preserve">”</w:t>
      </w:r>
      <w:r>
        <w:t xml:space="preserve"> </w:t>
      </w:r>
      <w:r>
        <w:t xml:space="preserve">Eighth Report of Session 2022–23, HC 257, June 2022</w:t>
      </w:r>
    </w:p>
    <w:p>
      <w:pPr>
        <w:numPr>
          <w:ilvl w:val="0"/>
          <w:numId w:val="1005"/>
        </w:numPr>
      </w:pPr>
      <w:r>
        <w:t xml:space="preserve">House of Lords Industry and Regulators Committee,</w:t>
      </w:r>
      <w:r>
        <w:t xml:space="preserve"> </w:t>
      </w:r>
      <w:r>
        <w:t xml:space="preserve">“</w:t>
      </w:r>
      <w:r>
        <w:t xml:space="preserve">Must do better: the Office for Students and the looming crisis facing higher education,</w:t>
      </w:r>
      <w:r>
        <w:t xml:space="preserve">”</w:t>
      </w:r>
      <w:r>
        <w:t xml:space="preserve"> </w:t>
      </w:r>
      <w:r>
        <w:t xml:space="preserve">HL Paper 246, September 2023, Chapter 8, paragraph 412</w:t>
      </w:r>
    </w:p>
    <w:p>
      <w:pPr>
        <w:numPr>
          <w:ilvl w:val="0"/>
          <w:numId w:val="1005"/>
        </w:numPr>
      </w:pPr>
      <w:r>
        <w:t xml:space="preserve">Freedom of Information request to the Department for Education,</w:t>
      </w:r>
      <w:r>
        <w:t xml:space="preserve"> </w:t>
      </w:r>
      <w:r>
        <w:t xml:space="preserve">“</w:t>
      </w:r>
      <w:r>
        <w:t xml:space="preserve">HERA 2017 Section 50 Commissioning, Regulatory Governance and Financial Monitoring,</w:t>
      </w:r>
      <w:r>
        <w:t xml:space="preserve">”</w:t>
      </w:r>
      <w:r>
        <w:t xml:space="preserve"> </w:t>
      </w:r>
      <w:r>
        <w:t xml:space="preserve">filed 4 September 2026, Ref: 2026-0087959, WhatDoTheyKnow</w:t>
      </w:r>
    </w:p>
    <w:p>
      <w:pPr>
        <w:numPr>
          <w:ilvl w:val="0"/>
          <w:numId w:val="1005"/>
        </w:numPr>
      </w:pPr>
      <w:r>
        <w:t xml:space="preserve">Department for Education, response to FOI request 2026-0087959, 2 October 2026 — refusal in full under Section 12(1) of the Freedom of Information Act 2000; no search log, sampling exercise, or cost breakdown provided; Section 16 advice identifying the principal grant-allocation instrument and the selection/funding decision as the categories of document the Department regarded as answerable within the cost limit</w:t>
      </w:r>
    </w:p>
    <w:p>
      <w:pPr>
        <w:numPr>
          <w:ilvl w:val="0"/>
          <w:numId w:val="1005"/>
        </w:numPr>
      </w:pPr>
      <w:r>
        <w:t xml:space="preserve">Freedom of Information request to the Department for Education,</w:t>
      </w:r>
      <w:r>
        <w:t xml:space="preserve"> </w:t>
      </w:r>
      <w:r>
        <w:t xml:space="preserve">“</w:t>
      </w:r>
      <w:r>
        <w:t xml:space="preserve">Level 4/5 Validation Project (The Open University) – Primary Grant Determination &amp; Selection Instruments (Refined from Ref: 2026-0087959),</w:t>
      </w:r>
      <w:r>
        <w:t xml:space="preserve">”</w:t>
      </w:r>
      <w:r>
        <w:t xml:space="preserve"> </w:t>
      </w:r>
      <w:r>
        <w:t xml:space="preserve">submitted 2 October 2026, WhatDoTheyKnow — outstanding as of this version, statutory response due by 30 October 2026</w:t>
      </w:r>
    </w:p>
    <w:p>
      <w:pPr>
        <w:numPr>
          <w:ilvl w:val="0"/>
          <w:numId w:val="1005"/>
        </w:numPr>
      </w:pPr>
      <w:r>
        <w:t xml:space="preserve">Business Impact Assessment BIA-460, Open University IT unit (OU-BIA-1 /</w:t>
      </w:r>
      <w:r>
        <w:t xml:space="preserve"> </w:t>
      </w:r>
      <w:r>
        <w:t xml:space="preserve">“</w:t>
      </w:r>
      <w:r>
        <w:t xml:space="preserve">BIA – ProctorU_Redacted (Question 4)</w:t>
      </w:r>
      <w:r>
        <w:t xml:space="preserve">”</w:t>
      </w:r>
      <w:r>
        <w:t xml:space="preserve">), disclosed under FOI — source for the overview (</w:t>
      </w:r>
      <w:r>
        <w:t xml:space="preserve">“</w:t>
      </w:r>
      <w:r>
        <w:t xml:space="preserve">procured due to professional accreditation standard in Accountancy and Maths … We will be piloting the software with B250, B251, B252, B253, and MST125 over the next 2.5 years</w:t>
      </w:r>
      <w:r>
        <w:t xml:space="preserve">”</w:t>
      </w:r>
      <w:r>
        <w:t xml:space="preserve">) and the</w:t>
      </w:r>
      <w:r>
        <w:t xml:space="preserve"> </w:t>
      </w:r>
      <w:r>
        <w:t xml:space="preserve">“</w:t>
      </w:r>
      <w:r>
        <w:t xml:space="preserve">Is there an alternative in use?</w:t>
      </w:r>
      <w:r>
        <w:t xml:space="preserve">”</w:t>
      </w:r>
      <w:r>
        <w:t xml:space="preserve"> </w:t>
      </w:r>
      <w:r>
        <w:t xml:space="preserve">answer, both quoted in Section 21</w:t>
      </w:r>
    </w:p>
    <w:p>
      <w:pPr>
        <w:numPr>
          <w:ilvl w:val="0"/>
          <w:numId w:val="1005"/>
        </w:numPr>
      </w:pPr>
      <w:r>
        <w:t xml:space="preserve">Open University Online Invigilation Policy, version 1.1 (</w:t>
      </w:r>
      <w:r>
        <w:t xml:space="preserve">“</w:t>
      </w:r>
      <w:r>
        <w:t xml:space="preserve">Approved by: Director Academic Services</w:t>
      </w:r>
      <w:r>
        <w:t xml:space="preserve">”</w:t>
      </w:r>
      <w:r>
        <w:t xml:space="preserve">,</w:t>
      </w:r>
      <w:r>
        <w:t xml:space="preserve"> </w:t>
      </w:r>
      <w:r>
        <w:t xml:space="preserve">“</w:t>
      </w:r>
      <w:r>
        <w:t xml:space="preserve">Effective from: June 2025</w:t>
      </w:r>
      <w:r>
        <w:t xml:space="preserve">”</w:t>
      </w:r>
      <w:r>
        <w:t xml:space="preserve">) and version 1.2 (</w:t>
      </w:r>
      <w:r>
        <w:t xml:space="preserve">“</w:t>
      </w:r>
      <w:r>
        <w:t xml:space="preserve">Approved by: Delegate, Director Academic Services</w:t>
      </w:r>
      <w:r>
        <w:t xml:space="preserve">”</w:t>
      </w:r>
      <w:r>
        <w:t xml:space="preserve">,</w:t>
      </w:r>
      <w:r>
        <w:t xml:space="preserve"> </w:t>
      </w:r>
      <w:r>
        <w:t xml:space="preserve">“</w:t>
      </w:r>
      <w:r>
        <w:t xml:space="preserve">Effective from: July 2026</w:t>
      </w:r>
      <w:r>
        <w:t xml:space="preserve">”</w:t>
      </w:r>
      <w:r>
        <w:t xml:space="preserve">) — identical scope clause deferring the module list to the Help Centre; identical</w:t>
      </w:r>
      <w:r>
        <w:t xml:space="preserve"> </w:t>
      </w:r>
      <w:r>
        <w:t xml:space="preserve">“</w:t>
      </w:r>
      <w:r>
        <w:t xml:space="preserve">academic integrity … and/or … Professional, Statutory or Regulatory bodies</w:t>
      </w:r>
      <w:r>
        <w:t xml:space="preserve">”</w:t>
      </w:r>
      <w:r>
        <w:t xml:space="preserve"> </w:t>
      </w:r>
      <w:r>
        <w:t xml:space="preserve">summary; version 1.2 section 12.5 (accredited vs</w:t>
      </w:r>
      <w:r>
        <w:t xml:space="preserve"> </w:t>
      </w:r>
      <w:r>
        <w:t xml:space="preserve">“</w:t>
      </w:r>
      <w:r>
        <w:t xml:space="preserve">not professionally accredited</w:t>
      </w:r>
      <w:r>
        <w:t xml:space="preserve">”</w:t>
      </w:r>
      <w:r>
        <w:t xml:space="preserve"> </w:t>
      </w:r>
      <w:r>
        <w:t xml:space="preserve">modules)</w:t>
      </w:r>
    </w:p>
    <w:p>
      <w:pPr>
        <w:numPr>
          <w:ilvl w:val="0"/>
          <w:numId w:val="1005"/>
        </w:numPr>
      </w:pPr>
      <w:r>
        <w:t xml:space="preserve">Open University Help Centre,</w:t>
      </w:r>
      <w:r>
        <w:t xml:space="preserve"> </w:t>
      </w:r>
      <w:r>
        <w:t xml:space="preserve">“</w:t>
      </w:r>
      <w:r>
        <w:t xml:space="preserve">Online invigilation (proctoring)</w:t>
      </w:r>
      <w:r>
        <w:t xml:space="preserve">”</w:t>
      </w:r>
      <w:r>
        <w:t xml:space="preserve"> </w:t>
      </w:r>
      <w:r>
        <w:t xml:space="preserve">— help.open.ac.uk/index.php/online-invigilation — capture saved June 2025 (</w:t>
      </w:r>
      <w:r>
        <w:t xml:space="preserve">“</w:t>
      </w:r>
      <w:r>
        <w:t xml:space="preserve">trialling online invigilation on a small number of modules</w:t>
      </w:r>
      <w:r>
        <w:t xml:space="preserve">”</w:t>
      </w:r>
      <w:r>
        <w:t xml:space="preserve">, nine modules) compared against the live page checked 7 October 2026 (</w:t>
      </w:r>
      <w:r>
        <w:t xml:space="preserve">“</w:t>
      </w:r>
      <w:r>
        <w:t xml:space="preserve">Modules using online invigilation</w:t>
      </w:r>
      <w:r>
        <w:t xml:space="preserve">”</w:t>
      </w:r>
      <w:r>
        <w:t xml:space="preserve">, fourteen modules)</w:t>
      </w:r>
    </w:p>
    <w:p>
      <w:pPr>
        <w:numPr>
          <w:ilvl w:val="0"/>
          <w:numId w:val="1005"/>
        </w:numPr>
      </w:pPr>
      <w:r>
        <w:t xml:space="preserve">Open University Senate Schedule of Delegation, dated 3 October 2022 — about.open.ac.uk/sites/about.open.ac.uk/files/files/Senate-Schedule-of-Delegation(1).pdf — Power 8:</w:t>
      </w:r>
      <w:r>
        <w:t xml:space="preserve"> </w:t>
      </w:r>
      <w:r>
        <w:t xml:space="preserve">“</w:t>
      </w:r>
      <w:r>
        <w:t xml:space="preserve">Qualifications and Assessment Committee approves policies and regulations relating to assessment and examinations</w:t>
      </w:r>
      <w:r>
        <w:t xml:space="preserve">”</w:t>
      </w:r>
    </w:p>
    <w:p>
      <w:pPr>
        <w:numPr>
          <w:ilvl w:val="0"/>
          <w:numId w:val="1005"/>
        </w:numPr>
      </w:pPr>
      <w:r>
        <w:t>Open University Senate minutes — S-2024-03-M (19 June 2024, unconfirmed copy held), Minute 9.2(b); S-2024-05-M (9 October 2024, confirmed), Minute 17; S-2025-04-M (8 October 2025, confirmed), Minute 20; S-2023-04-M (11 October 2023, unconfirmed), Minute 16 — about.open.ac.uk/governance-ou/governance-structure/academic-structure</w:t>
      </w:r>
    </w:p>
    <w:p>
      <w:pPr>
        <w:numPr>
          <w:ilvl w:val="0"/>
          <w:numId w:val="1005"/>
        </w:numPr>
      </w:pPr>
      <w:r>
        <w:t xml:space="preserve">Institute of Physics,</w:t>
      </w:r>
      <w:r>
        <w:t xml:space="preserve"> </w:t>
      </w:r>
      <w:r>
        <w:t xml:space="preserve">“</w:t>
      </w:r>
      <w:r>
        <w:t xml:space="preserve">Degree Accreditation Framework,</w:t>
      </w:r>
      <w:r>
        <w:t xml:space="preserve">”</w:t>
      </w:r>
      <w:r>
        <w:t xml:space="preserve"> </w:t>
      </w:r>
      <w:r>
        <w:t xml:space="preserve">July 2022 — iop.org — checked for and found to contain no reference to invigilation, proctoring, remote or online examinations, or identity verification; compared against the BSc (Hons) Physics (R51) qualification page, open.ac.uk/courses/qualifications/r51, confirming IOP accreditation and SM380/SM381 as compulsory Stage 3 modules</w:t>
      </w:r>
    </w:p>
    <w:p>
      <w:pPr>
        <w:numPr>
          <w:ilvl w:val="0"/>
          <w:numId w:val="1005"/>
        </w:numPr>
      </w:pPr>
      <w:r>
        <w:t xml:space="preserve">ProctorU Data Protection Questionnaire — version disclosed under FOI2025/238 (GOV-1) and version titled</w:t>
      </w:r>
      <w:r>
        <w:t xml:space="preserve"> </w:t>
      </w:r>
      <w:r>
        <w:t xml:space="preserve">“</w:t>
      </w:r>
      <w:r>
        <w:t xml:space="preserve">ProctorU DPQ Updated March 2026</w:t>
      </w:r>
      <w:r>
        <w:t xml:space="preserve">”</w:t>
      </w:r>
      <w:r>
        <w:t xml:space="preserve"> </w:t>
      </w:r>
      <w:r>
        <w:t xml:space="preserve">disclosed under FOI2026/039 — source for the</w:t>
      </w:r>
      <w:r>
        <w:t xml:space="preserve"> </w:t>
      </w:r>
      <w:r>
        <w:t xml:space="preserve">“</w:t>
      </w:r>
      <w:r>
        <w:t xml:space="preserve">4 specific courses</w:t>
      </w:r>
      <w:r>
        <w:t xml:space="preserve">”</w:t>
      </w:r>
      <w:r>
        <w:t xml:space="preserve"> </w:t>
      </w:r>
      <w:r>
        <w:t xml:space="preserve">description in both, the absence of any module code in both, the</w:t>
      </w:r>
      <w:r>
        <w:t xml:space="preserve"> </w:t>
      </w:r>
      <w:r>
        <w:t xml:space="preserve">“</w:t>
      </w:r>
      <w:r>
        <w:t xml:space="preserve">Version 0,9</w:t>
      </w:r>
      <w:r>
        <w:t xml:space="preserve">”</w:t>
      </w:r>
      <w:r>
        <w:t xml:space="preserve"> </w:t>
      </w:r>
      <w:r>
        <w:t xml:space="preserve">sign-off entry dated 06/12/2022 against a form date of 06/12/2023, and the empty</w:t>
      </w:r>
      <w:r>
        <w:t xml:space="preserve"> </w:t>
      </w:r>
      <w:r>
        <w:t xml:space="preserve">“</w:t>
      </w:r>
      <w:r>
        <w:t xml:space="preserve">Approved by</w:t>
      </w:r>
      <w:r>
        <w:t xml:space="preserve">”</w:t>
      </w:r>
      <w:r>
        <w:t xml:space="preserve"> </w:t>
      </w:r>
      <w:r>
        <w:t xml:space="preserve">/</w:t>
      </w:r>
      <w:r>
        <w:t xml:space="preserve"> </w:t>
      </w:r>
      <w:r>
        <w:t xml:space="preserve">“</w:t>
      </w:r>
      <w:r>
        <w:t xml:space="preserve">Date of next review</w:t>
      </w:r>
      <w:r>
        <w:t xml:space="preserve">”</w:t>
      </w:r>
      <w:r>
        <w:t xml:space="preserve"> </w:t>
      </w:r>
      <w:r>
        <w:t xml:space="preserve">cells (confirmed blank, not redacted, by visual inspection of the March 2026 sign-off page)</w:t>
      </w:r>
    </w:p>
    <w:p>
      <w:pPr>
        <w:numPr>
          <w:ilvl w:val="0"/>
          <w:numId w:val="1005"/>
        </w:numPr>
      </w:pPr>
      <w:r>
        <w:t xml:space="preserve">Open University Help Centre,</w:t>
      </w:r>
      <w:r>
        <w:t xml:space="preserve"> </w:t>
      </w:r>
      <w:r>
        <w:t xml:space="preserve">“</w:t>
      </w:r>
      <w:r>
        <w:t xml:space="preserve">Online invigilation (proctoring)</w:t>
      </w:r>
      <w:r>
        <w:t xml:space="preserve">”</w:t>
      </w:r>
      <w:r>
        <w:t xml:space="preserve"> </w:t>
      </w:r>
      <w:r>
        <w:t xml:space="preserve">— capture printed 6 November 2025,</w:t>
      </w:r>
      <w:r>
        <w:t xml:space="preserve"> </w:t>
      </w:r>
      <w:r>
        <w:t xml:space="preserve">“</w:t>
      </w:r>
      <w:r>
        <w:t xml:space="preserve">Modules trialling online invigilation</w:t>
      </w:r>
      <w:r>
        <w:t xml:space="preserve">”</w:t>
      </w:r>
      <w:r>
        <w:t xml:space="preserve"> </w:t>
      </w:r>
      <w:r>
        <w:t xml:space="preserve">with presentation start dates for B252, B253, B350, B351, B352 and B353</w:t>
      </w:r>
    </w:p>
    <w:p>
      <w:pPr>
        <w:numPr>
          <w:ilvl w:val="0"/>
          <w:numId w:val="1005"/>
        </w:numPr>
      </w:pPr>
      <w:r>
        <w:t xml:space="preserve">Meazure Learning Privacy Policy — version in force before 6 May 2026 (copies saved as the 2023 version and in November 2025:</w:t>
      </w:r>
      <w:r>
        <w:t xml:space="preserve"> </w:t>
      </w:r>
      <w:r>
        <w:t xml:space="preserve">“</w:t>
      </w:r>
      <w:r>
        <w:t xml:space="preserve">third-party biometric facial recognition software</w:t>
      </w:r>
      <w:r>
        <w:t xml:space="preserve">”</w:t>
      </w:r>
      <w:r>
        <w:t xml:space="preserve">;</w:t>
      </w:r>
      <w:r>
        <w:t xml:space="preserve"> </w:t>
      </w:r>
      <w:r>
        <w:t xml:space="preserve">“</w:t>
      </w:r>
      <w:r>
        <w:t xml:space="preserve">share your screen with our proctors through a LogMeIn File</w:t>
      </w:r>
      <w:r>
        <w:t xml:space="preserve">”</w:t>
      </w:r>
      <w:r>
        <w:t xml:space="preserve">;</w:t>
      </w:r>
      <w:r>
        <w:t xml:space="preserve"> </w:t>
      </w:r>
      <w:r>
        <w:t xml:space="preserve">“</w:t>
      </w:r>
      <w:r>
        <w:t xml:space="preserve">recordings of your test session for identity verification, exam integrity, and training purposes</w:t>
      </w:r>
      <w:r>
        <w:t xml:space="preserve">”</w:t>
      </w:r>
      <w:r>
        <w:t xml:space="preserve">) compared against the version</w:t>
      </w:r>
      <w:r>
        <w:t xml:space="preserve"> </w:t>
      </w:r>
      <w:r>
        <w:t xml:space="preserve">“</w:t>
      </w:r>
      <w:r>
        <w:t xml:space="preserve">Last Updated: May 6, 2026</w:t>
      </w:r>
      <w:r>
        <w:t xml:space="preserve">”</w:t>
      </w:r>
      <w:r>
        <w:t xml:space="preserve"> </w:t>
      </w:r>
      <w:r>
        <w:t xml:space="preserve">(research and development; Zendesk AI training; biometric profit pledge removed) — meazurelearning.com</w:t>
      </w:r>
    </w:p>
    <w:p>
      <w:pPr>
        <w:numPr>
          <w:ilvl w:val="0"/>
          <w:numId w:val="1005"/>
        </w:numPr>
      </w:pPr>
      <w:r>
        <w:t xml:space="preserve">Meazure Learning Terms of Service,</w:t>
      </w:r>
      <w:r>
        <w:t xml:space="preserve"> </w:t>
      </w:r>
      <w:r>
        <w:t xml:space="preserve">“</w:t>
      </w:r>
      <w:r>
        <w:t xml:space="preserve">Last Updated: May 6, 2026</w:t>
      </w:r>
      <w:r>
        <w:t xml:space="preserve">”</w:t>
      </w:r>
      <w:r>
        <w:t xml:space="preserve"> </w:t>
      </w:r>
      <w:r>
        <w:t xml:space="preserve">— test-session recordings</w:t>
      </w:r>
      <w:r>
        <w:t xml:space="preserve"> </w:t>
      </w:r>
      <w:r>
        <w:t xml:space="preserve">“</w:t>
      </w:r>
      <w:r>
        <w:t xml:space="preserve">exclusively owned by Meazure Learning</w:t>
      </w:r>
      <w:r>
        <w:t xml:space="preserve">”</w:t>
      </w:r>
      <w:r>
        <w:t xml:space="preserve">; perpetual licence over recordings made during test sessions — meazurelearning.com</w:t>
      </w:r>
    </w:p>
    <w:p>
      <w:pPr>
        <w:numPr>
          <w:ilvl w:val="0"/>
          <w:numId w:val="1005"/>
        </w:numPr>
      </w:pPr>
      <w:r>
        <w:t xml:space="preserve">Meazure Learning,</w:t>
      </w:r>
      <w:r>
        <w:t xml:space="preserve"> </w:t>
      </w:r>
      <w:r>
        <w:t xml:space="preserve">“</w:t>
      </w:r>
      <w:r>
        <w:t xml:space="preserve">Responsible Use of AI</w:t>
      </w:r>
      <w:r>
        <w:t xml:space="preserve">”</w:t>
      </w:r>
      <w:r>
        <w:t xml:space="preserve"> </w:t>
      </w:r>
      <w:r>
        <w:t xml:space="preserve">(captured 27 September 2026) —</w:t>
      </w:r>
      <w:r>
        <w:t xml:space="preserve"> </w:t>
      </w:r>
      <w:r>
        <w:t xml:space="preserve">“</w:t>
      </w:r>
      <w:r>
        <w:t xml:space="preserve">proctoring managers audit AI-generated flags</w:t>
      </w:r>
      <w:r>
        <w:t xml:space="preserve">”</w:t>
      </w:r>
      <w:r>
        <w:t xml:space="preserve"> </w:t>
      </w:r>
      <w:r>
        <w:t xml:space="preserve">— meazurelearning.com</w:t>
      </w:r>
    </w:p>
    <w:p>
      <w:pPr>
        <w:numPr>
          <w:ilvl w:val="0"/>
          <w:numId w:val="1005"/>
        </w:numPr>
      </w:pPr>
      <w:r>
        <w:t xml:space="preserve">ProctorU,</w:t>
      </w:r>
      <w:r>
        <w:t xml:space="preserve"> </w:t>
      </w:r>
      <w:r>
        <w:t xml:space="preserve">“</w:t>
      </w:r>
      <w:r>
        <w:t xml:space="preserve">Ports and Allow List Requirements</w:t>
      </w:r>
      <w:r>
        <w:t xml:space="preserve">”</w:t>
      </w:r>
      <w:r>
        <w:t xml:space="preserve"> </w:t>
      </w:r>
      <w:r>
        <w:t xml:space="preserve">—</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 support.proctoru.com</w:t>
      </w:r>
    </w:p>
    <w:p>
      <w:pPr>
        <w:numPr>
          <w:ilvl w:val="0"/>
          <w:numId w:val="1005"/>
        </w:numPr>
      </w:pPr>
      <w:r>
        <w:t xml:space="preserve">GoTo,</w:t>
      </w:r>
      <w:r>
        <w:t xml:space="preserve"> </w:t>
      </w:r>
      <w:r>
        <w:t xml:space="preserve">“</w:t>
      </w:r>
      <w:r>
        <w:t xml:space="preserve">GoTo Introduces New AI, Translation, and Security Innovations to Streamline Enterprise IT and Customer Support with LogMeIn Rescue,</w:t>
      </w:r>
      <w:r>
        <w:t xml:space="preserve">”</w:t>
      </w:r>
      <w:r>
        <w:t xml:space="preserve"> </w:t>
      </w:r>
      <w:r>
        <w:t xml:space="preserve">4 March 2025 — goto.com/blog/logmein-rescue-ai-security-translation</w:t>
      </w:r>
    </w:p>
    <w:p>
      <w:pPr>
        <w:numPr>
          <w:ilvl w:val="0"/>
          <w:numId w:val="1005"/>
        </w:numPr>
      </w:pPr>
      <w:r>
        <w:t xml:space="preserve">LogMeIn Rescue release notes, 15 September 2025 and 1 October 2025 — support.logmein.com; GoTo sub-processor list v2.0 (May 2026); GoTo Technical and Organizational Measures, LogMeIn Rescue and Rescue Lens, Version 1.5 (July 2025) — applet</w:t>
      </w:r>
      <w:r>
        <w:t xml:space="preserve"> </w:t>
      </w:r>
      <w:r>
        <w:t xml:space="preserve">“</w:t>
      </w:r>
      <w:r>
        <w:t xml:space="preserve">programmed to automatically remove itself upon the conclusion of the session</w:t>
      </w:r>
      <w:r>
        <w:t xml:space="preserve">”</w:t>
      </w:r>
      <w:r>
        <w:t xml:space="preserve">;</w:t>
      </w:r>
      <w:r>
        <w:t xml:space="preserve"> </w:t>
      </w:r>
      <w:r>
        <w:t xml:space="preserve">“</w:t>
      </w:r>
      <w:r>
        <w:t xml:space="preserve">Automatic access rights revocation when the session is terminated</w:t>
      </w:r>
      <w:r>
        <w:t xml:space="preserve">”</w:t>
      </w:r>
      <w:r>
        <w:t xml:space="preserve">; session logs online for two years and archived for two more; technician-directed session video recording; no mention of artificial intelligence — goto.com</w:t>
      </w:r>
    </w:p>
    <w:p>
      <w:pPr>
        <w:numPr>
          <w:ilvl w:val="0"/>
          <w:numId w:val="1005"/>
        </w:numPr>
      </w:pPr>
      <w:r>
        <w:t xml:space="preserve">ProctorU Data Protection Questionnaire, all disclosed versions — Q18, Q19, Q23, Q25, Q40, AI tab Q1–Q6, DPIA assessment tab (AI row; purpose limitation row), Risk Assessment (AI row</w:t>
      </w:r>
      <w:r>
        <w:t xml:space="preserve"> </w:t>
      </w:r>
      <w:r>
        <w:t xml:space="preserve">“</w:t>
      </w:r>
      <w:r>
        <w:t xml:space="preserve">No ML/AI used.</w:t>
      </w:r>
      <w:r>
        <w:t xml:space="preserve">”</w:t>
      </w:r>
      <w:r>
        <w:t xml:space="preserve">; storage and individual-rights notes)</w:t>
      </w:r>
    </w:p>
    <w:p>
      <w:pPr>
        <w:numPr>
          <w:ilvl w:val="0"/>
          <w:numId w:val="1005"/>
        </w:numPr>
      </w:pPr>
      <w:r>
        <w:t xml:space="preserve">ProctorU Data Protection Questionnaire, original copy (FOI2025/238) and</w:t>
      </w:r>
      <w:r>
        <w:t xml:space="preserve"> </w:t>
      </w:r>
      <w:r>
        <w:t xml:space="preserve">“</w:t>
      </w:r>
      <w:r>
        <w:t xml:space="preserve">ProctorU DPQ Updated March 2026</w:t>
      </w:r>
      <w:r>
        <w:t xml:space="preserve">”</w:t>
      </w:r>
      <w:r>
        <w:t xml:space="preserve"> </w:t>
      </w:r>
      <w:r>
        <w:t xml:space="preserve">(FOI2026/039) — Q7 (international transfers), Q11, Q25, Q31, Q35, narrative to Q33–Q39, the</w:t>
      </w:r>
      <w:r>
        <w:t xml:space="preserve"> </w:t>
      </w:r>
      <w:r>
        <w:t xml:space="preserve">“</w:t>
      </w:r>
      <w:r>
        <w:t xml:space="preserve">strictly necessary</w:t>
      </w:r>
      <w:r>
        <w:t xml:space="preserve">”</w:t>
      </w:r>
      <w:r>
        <w:t xml:space="preserve"> </w:t>
      </w:r>
      <w:r>
        <w:t xml:space="preserve">field and its WISEflow link, DPIA assessment tab (special category condition</w:t>
      </w:r>
      <w:r>
        <w:t xml:space="preserve"> </w:t>
      </w:r>
      <w:r>
        <w:t xml:space="preserve">“</w:t>
      </w:r>
      <w:r>
        <w:t xml:space="preserve">Article 9(d) and Part 1 of Schedule 1 of the DPA 2018 (academia)</w:t>
      </w:r>
      <w:r>
        <w:t xml:space="preserve">”</w:t>
      </w:r>
      <w:r>
        <w:t xml:space="preserve">; data minimisation; storage limitation; individual rights), March 2026 Risk Assessment (data minimisation and storage limitation rows:</w:t>
      </w:r>
      <w:r>
        <w:t xml:space="preserve"> </w:t>
      </w:r>
      <w:r>
        <w:t xml:space="preserve">“</w:t>
      </w:r>
      <w:r>
        <w:t xml:space="preserve">For exam pre-checks, photo ID will be used…</w:t>
      </w:r>
      <w:r>
        <w:t xml:space="preserve">”</w:t>
      </w:r>
      <w:r>
        <w:t xml:space="preserve">;</w:t>
      </w:r>
      <w:r>
        <w:t xml:space="preserve"> </w:t>
      </w:r>
      <w:r>
        <w:t xml:space="preserve">“</w:t>
      </w:r>
      <w:r>
        <w:t xml:space="preserve">Biometric data photos are deleted after seven days…</w:t>
      </w:r>
      <w:r>
        <w:t xml:space="preserve">”</w:t>
      </w:r>
      <w:r>
        <w:t xml:space="preserve">;</w:t>
      </w:r>
      <w:r>
        <w:t xml:space="preserve"> </w:t>
      </w:r>
      <w:r>
        <w:t xml:space="preserve">“</w:t>
      </w:r>
      <w:r>
        <w:t xml:space="preserve">cursor and keyboard control… only… with student consent</w:t>
      </w:r>
      <w:r>
        <w:t xml:space="preserve">”</w:t>
      </w:r>
      <w:r>
        <w:t xml:space="preserve">)</w:t>
      </w:r>
    </w:p>
    <w:p>
      <w:pPr>
        <w:numPr>
          <w:ilvl w:val="0"/>
          <w:numId w:val="1005"/>
        </w:numPr>
      </w:pPr>
      <w:r>
        <w:t xml:space="preserve">Meazure Learning Privacy Policy, version in force before 6 May 2026 —</w:t>
      </w:r>
      <w:r>
        <w:t xml:space="preserve"> </w:t>
      </w:r>
      <w:r>
        <w:t xml:space="preserve">“</w:t>
      </w:r>
      <w:r>
        <w:t xml:space="preserve">share your screen with our proctors through a LogMeIn File</w:t>
      </w:r>
      <w:r>
        <w:t xml:space="preserve">”</w:t>
      </w:r>
      <w:r>
        <w:t xml:space="preserve">;</w:t>
      </w:r>
      <w:r>
        <w:t xml:space="preserve"> </w:t>
      </w:r>
      <w:r>
        <w:t xml:space="preserve">“</w:t>
      </w:r>
      <w:r>
        <w:t xml:space="preserve">During your exam, we continue to monitor your screen, camera, and microphone</w:t>
      </w:r>
      <w:r>
        <w:t xml:space="preserve">”</w:t>
      </w:r>
      <w:r>
        <w:t xml:space="preserve"> </w:t>
      </w:r>
      <w:r>
        <w:t xml:space="preserve">— meazurelearning.com</w:t>
      </w:r>
    </w:p>
    <w:p>
      <w:pPr>
        <w:numPr>
          <w:ilvl w:val="0"/>
          <w:numId w:val="1005"/>
        </w:numPr>
      </w:pPr>
      <w:r>
        <w:t xml:space="preserve">Meazure Learning Terms of Service,</w:t>
      </w:r>
      <w:r>
        <w:t xml:space="preserve"> </w:t>
      </w:r>
      <w:r>
        <w:t xml:space="preserve">“</w:t>
      </w:r>
      <w:r>
        <w:t xml:space="preserve">Effective: May 5, 2021</w:t>
      </w:r>
      <w:r>
        <w:t xml:space="preserve">”</w:t>
      </w:r>
      <w:r>
        <w:t xml:space="preserve">, as published by the Open University on its own Help Centre — help.open.ac.uk/students/_data/documents/helpcentre/terms-of-service-meazure-learning.pdf —</w:t>
      </w:r>
      <w:r>
        <w:t xml:space="preserve"> </w:t>
      </w:r>
      <w:r>
        <w:t xml:space="preserve">“</w:t>
      </w:r>
      <w:r>
        <w:t xml:space="preserve">Connecting to Your Computer</w:t>
      </w:r>
      <w:r>
        <w:t xml:space="preserve">”</w:t>
      </w:r>
      <w:r>
        <w:t xml:space="preserve">; use outside the United States; Alabama governing law and Jefferson County courts; no arbitration clause; licence limited to the Testing Institution (checked repeatedly between November 2025 and 7 October 2026, unchanged)</w:t>
      </w:r>
    </w:p>
    <w:p>
      <w:pPr>
        <w:numPr>
          <w:ilvl w:val="0"/>
          <w:numId w:val="1005"/>
        </w:numPr>
      </w:pPr>
      <w:r>
        <w:t xml:space="preserve">Open University, Online Invigilation Policy, version 1.2 (effective July 2026) — sections 2.4, 4.1, 6.2, 9.1 and the definition of</w:t>
      </w:r>
      <w:r>
        <w:t xml:space="preserve"> </w:t>
      </w:r>
      <w:r>
        <w:t xml:space="preserve">“</w:t>
      </w:r>
      <w:r>
        <w:t xml:space="preserve">Live monitoring</w:t>
      </w:r>
      <w:r>
        <w:t xml:space="preserve">”</w:t>
      </w:r>
    </w:p>
    <w:p>
      <w:pPr>
        <w:numPr>
          <w:ilvl w:val="0"/>
          <w:numId w:val="1005"/>
        </w:numPr>
      </w:pPr>
      <w:r>
        <w:t xml:space="preserve">Meazure Learning Terms of Service, last updated 6 May 2026 —</w:t>
      </w:r>
      <w:r>
        <w:t xml:space="preserve"> </w:t>
      </w:r>
      <w:r>
        <w:t xml:space="preserve">“</w:t>
      </w:r>
      <w:r>
        <w:t xml:space="preserve">Connecting to Your Computer</w:t>
      </w:r>
      <w:r>
        <w:t xml:space="preserve">”</w:t>
      </w:r>
      <w:r>
        <w:t xml:space="preserve">; proctor’s right to recommend disqualification;</w:t>
      </w:r>
      <w:r>
        <w:t xml:space="preserve"> </w:t>
      </w:r>
      <w:r>
        <w:t xml:space="preserve">“</w:t>
      </w:r>
      <w:r>
        <w:t xml:space="preserve">makes no claims that the Services are appropriate for use outside of the United States</w:t>
      </w:r>
      <w:r>
        <w:t xml:space="preserve">”</w:t>
      </w:r>
      <w:r>
        <w:t xml:space="preserve">;</w:t>
      </w:r>
      <w:r>
        <w:t xml:space="preserve"> </w:t>
      </w:r>
      <w:r>
        <w:t xml:space="preserve">“</w:t>
      </w:r>
      <w:r>
        <w:t xml:space="preserve">sole remedy … is to discontinue use</w:t>
      </w:r>
      <w:r>
        <w:t xml:space="preserve">”</w:t>
      </w:r>
      <w:r>
        <w:t xml:space="preserve"> </w:t>
      </w:r>
      <w:r>
        <w:t xml:space="preserve">— meazurelearning.com</w:t>
      </w:r>
    </w:p>
    <w:p>
      <w:pPr>
        <w:numPr>
          <w:ilvl w:val="0"/>
          <w:numId w:val="1005"/>
        </w:numPr>
      </w:pPr>
      <w:r>
        <w:t xml:space="preserve">Meazure Learning Privacy Policy, last updated 6 May 2026 —</w:t>
      </w:r>
      <w:r>
        <w:t xml:space="preserve"> </w:t>
      </w:r>
      <w:r>
        <w:t xml:space="preserve">“</w:t>
      </w:r>
      <w:r>
        <w:t xml:space="preserve">Verification for Testing and Biometric Information</w:t>
      </w:r>
      <w:r>
        <w:t xml:space="preserve">”</w:t>
      </w:r>
      <w:r>
        <w:t xml:space="preserve">;</w:t>
      </w:r>
      <w:r>
        <w:t xml:space="preserve"> </w:t>
      </w:r>
      <w:r>
        <w:t xml:space="preserve">“</w:t>
      </w:r>
      <w:r>
        <w:t xml:space="preserve">Exam Information</w:t>
      </w:r>
      <w:r>
        <w:t xml:space="preserve">”</w:t>
      </w:r>
      <w:r>
        <w:t xml:space="preserve">;</w:t>
      </w:r>
      <w:r>
        <w:t xml:space="preserve"> </w:t>
      </w:r>
      <w:r>
        <w:t xml:space="preserve">“</w:t>
      </w:r>
      <w:r>
        <w:t xml:space="preserve">Usage and Interaction Information</w:t>
      </w:r>
      <w:r>
        <w:t xml:space="preserve">”</w:t>
      </w:r>
      <w:r>
        <w:t xml:space="preserve">;</w:t>
      </w:r>
      <w:r>
        <w:t xml:space="preserve"> </w:t>
      </w:r>
      <w:r>
        <w:t xml:space="preserve">“</w:t>
      </w:r>
      <w:r>
        <w:t xml:space="preserve">How We Use Personal Information</w:t>
      </w:r>
      <w:r>
        <w:t xml:space="preserve">”</w:t>
      </w:r>
      <w:r>
        <w:t xml:space="preserve">;</w:t>
      </w:r>
      <w:r>
        <w:t xml:space="preserve"> </w:t>
      </w:r>
      <w:r>
        <w:t xml:space="preserve">“</w:t>
      </w:r>
      <w:r>
        <w:t xml:space="preserve">Special Category Data</w:t>
      </w:r>
      <w:r>
        <w:t xml:space="preserve">”</w:t>
      </w:r>
      <w:r>
        <w:t xml:space="preserve">;</w:t>
      </w:r>
      <w:r>
        <w:t xml:space="preserve"> </w:t>
      </w:r>
      <w:r>
        <w:t xml:space="preserve">“</w:t>
      </w:r>
      <w:r>
        <w:t xml:space="preserve">Where Meazure acts as a controller</w:t>
      </w:r>
      <w:r>
        <w:t xml:space="preserve">”</w:t>
      </w:r>
      <w:r>
        <w:t xml:space="preserve">; automated decision-making statement; California retention table — meazurelearning.com</w:t>
      </w:r>
    </w:p>
    <w:p>
      <w:pPr>
        <w:numPr>
          <w:ilvl w:val="0"/>
          <w:numId w:val="1005"/>
        </w:numPr>
      </w:pPr>
      <w:r>
        <w:t xml:space="preserve">LogMeIn Rescue Step-by-Step Connection Guide (LogMeIn, Inc., © 2021) —</w:t>
      </w:r>
      <w:r>
        <w:t xml:space="preserve"> </w:t>
      </w:r>
      <w:r>
        <w:t xml:space="preserve">“</w:t>
      </w:r>
      <w:r>
        <w:t xml:space="preserve">The applet is automatically removed from your PC or Mac at session end</w:t>
      </w:r>
      <w:r>
        <w:t xml:space="preserve">”</w:t>
      </w:r>
      <w:r>
        <w:t xml:space="preserve"> </w:t>
      </w:r>
      <w:r>
        <w:t xml:space="preserve">— published vendor documentation</w:t>
      </w:r>
    </w:p>
    <w:p>
      <w:pPr>
        <w:numPr>
          <w:ilvl w:val="0"/>
          <w:numId w:val="1005"/>
        </w:numPr>
      </w:pPr>
      <w:r>
        <w:t xml:space="preserve">UK GDPR Article 9(2)(d) and Article 35(7)(b); Data Protection Act 2018, Schedule 1, Part 1 — legislation.gov.uk</w:t>
      </w:r>
    </w:p>
    <w:p>
      <w:pPr/>
      <w:r>
        <w:t>Information Commissioner’s Office, register of data protection fee payers, entry Z5521375 (The Open University) — captured 8, 9 and 10 October 2026; Data Protection Registration Certificate, Z5521375, downloaded 8 October 2026 (no issue date stated)</w:t>
      </w:r>
    </w:p>
    <w:p>
      <w:pPr/>
      <w:r>
        <w:t>The Open University, privacy notice — Data Protection Officer contact details (data-protection@open.ac.uk; +44 (0)1908 653994; PO Box 497, Walton Hall, Milton Keynes MK7 6AT); The Open University, internal review response to FOI2026/039 (“Meazure Learning (ProctorU) SOC 2 Compliance and Data Security”), Daniel Webb, Senior Manager Information Rights, 26 May 2026, WhatDoTheyKnow — “The University Data Protection Officer is Rebecca Ward.”</w:t>
      </w:r>
    </w:p>
    <w:p>
      <w:pPr/>
      <w:r>
        <w:t>Freedom of Information request to the Information Commissioner’s Office, “Changes to register entry Z5521375 (The Open University) – Data Protection Officer details,” submitted 8 October 2026, WhatDoTheyKnow, ICO reference IC-578715-P9V6 — outstanding as of this version, response due 5 November 2026</w:t>
      </w:r>
    </w:p>
    <w:p>
      <w:pPr/>
      <w:r>
        <w:t>UK GDPR Article 37(7) — legislation.gov.uk</w:t>
      </w:r>
    </w:p>
    <w:p>
      <w:pPr>
        <w:pStyle w:val="FirstParagraph"/>
      </w:pPr>
      <w:r>
        <w:t xml:space="preserve">Every document cited above is a public record: a statutory FOI disclosure, a court or tribunal filing, a published government or regulatory report, or a vendor’s or institution’s own live web page or disclosed governance document.</w:t>
      </w:r>
    </w:p>
    <w:p>
      <w:pPr>
        <w:pStyle w:val="BodyText"/>
      </w:pPr>
      <w:r>
        <w:rPr>
          <w:bCs/>
          <w:b/>
        </w:rPr>
        <w:t xml:space="preserve">Author:</w:t>
      </w:r>
      <w:r>
        <w:t xml:space="preserve"> </w:t>
      </w:r>
      <w:r>
        <w:t xml:space="preserve">Valentina Bozhilova, MIAB</w:t>
      </w:r>
    </w:p>
    <w:p>
      <w:pPr>
        <w:pStyle w:val="BodyText"/>
      </w:pPr>
      <w:r>
        <w:t>First drafted April 2026. This version: 11 October 2026.</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2026-10-07T13:59:05Z</dcterms:created>
  <dcterms:modified xsi:type="dcterms:W3CDTF">2026-10-11T04:20:00Z</dcterms:modified>
  <cp:lastModifiedBy/>
</cp:coreProperties>
</file>

<file path=docProps/custom.xml><?xml version="1.0" encoding="utf-8"?>
<Properties xmlns="http://schemas.openxmlformats.org/officeDocument/2006/custom-properties" xmlns:vt="http://schemas.openxmlformats.org/officeDocument/2006/docPropsVTypes"/>
</file>