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891B2"/>
          <w:sz w:val="52"/>
          <w:szCs w:val="52"/>
        </w:rPr>
        <w:t xml:space="preserve">PathScribe AI</w:t>
      </w:r>
    </w:p>
    <w:p>
      <w:pPr>
        <w:spacing w:after="160" w:before="0"/>
      </w:pPr>
      <w:r>
        <w:rPr>
          <w:rFonts w:ascii="Arial" w:cs="Arial" w:eastAsia="Arial" w:hAnsi="Arial"/>
          <w:b/>
          <w:bCs/>
          <w:color w:val="0F172A"/>
          <w:sz w:val="36"/>
          <w:szCs w:val="36"/>
        </w:rPr>
        <w:t xml:space="preserve">User Guide — Computational Sidecar</w:t>
      </w:r>
    </w:p>
    <w:p>
      <w:pPr>
        <w:spacing w:after="480" w:before="0"/>
      </w:pPr>
      <w:r>
        <w:rPr>
          <w:rFonts w:ascii="Arial" w:cs="Arial" w:eastAsia="Arial" w:hAnsi="Arial"/>
          <w:color w:val="64748B"/>
          <w:sz w:val="22"/>
          <w:szCs w:val="22"/>
        </w:rPr>
        <w:t xml:space="preserve">Version 1.1  ·  May 2026</w:t>
      </w:r>
    </w:p>
    <w:p>
      <w:pPr>
        <w:pBdr>
          <w:bottom w:val="single" w:color="E2E8F0" w:sz="3"/>
        </w:pBdr>
        <w:spacing w:after="200" w:before="200"/>
      </w:pPr>
    </w:p>
    <w:p>
      <w:pPr>
        <w:pStyle w:val="Heading1"/>
        <w:spacing w:after="160" w:before="400"/>
      </w:pPr>
      <w:r>
        <w:rPr>
          <w:rFonts w:ascii="Arial" w:cs="Arial" w:eastAsia="Arial" w:hAnsi="Arial"/>
          <w:b/>
          <w:bCs/>
          <w:color w:val="0F172A"/>
          <w:sz w:val="32"/>
          <w:szCs w:val="32"/>
        </w:rPr>
        <w:t xml:space="preserve">Overview</w:t>
      </w:r>
    </w:p>
    <w:p>
      <w:pPr>
        <w:spacing w:after="80" w:before="80"/>
      </w:pPr>
      <w:r>
        <w:rPr>
          <w:rFonts w:ascii="Arial" w:cs="Arial" w:eastAsia="Arial" w:hAnsi="Arial"/>
          <w:sz w:val="22"/>
          <w:szCs w:val="22"/>
        </w:rPr>
        <w:t xml:space="preserve">The Computational Sidecar brings live laboratory results directly into your PathScribe workflow. You no longer need to leave the application to check ancillary results during case reporting. Results surface in two places: the Worklist (for quick triage) and the Synoptic Report page (for detailed reference during data entry).</w:t>
      </w:r>
    </w:p>
    <w:p>
      <w:pPr>
        <w:spacing w:after="80" w:before="80"/>
      </w:pPr>
      <w:r>
        <w:t xml:space="preserve"/>
      </w:r>
    </w:p>
    <w:p>
      <w:pPr>
        <w:pStyle w:val="Heading1"/>
        <w:spacing w:after="160" w:before="400"/>
      </w:pPr>
      <w:r>
        <w:rPr>
          <w:rFonts w:ascii="Arial" w:cs="Arial" w:eastAsia="Arial" w:hAnsi="Arial"/>
          <w:b/>
          <w:bCs/>
          <w:color w:val="0F172A"/>
          <w:sz w:val="32"/>
          <w:szCs w:val="32"/>
        </w:rPr>
        <w:t xml:space="preserve">Worklist — Computational Icons</w:t>
      </w:r>
    </w:p>
    <w:p>
      <w:pPr>
        <w:pStyle w:val="Heading2"/>
        <w:spacing w:after="120" w:before="300"/>
      </w:pPr>
      <w:r>
        <w:rPr>
          <w:rFonts w:ascii="Arial" w:cs="Arial" w:eastAsia="Arial" w:hAnsi="Arial"/>
          <w:b/>
          <w:bCs/>
          <w:color w:val="0891B2"/>
          <w:sz w:val="26"/>
          <w:szCs w:val="26"/>
        </w:rPr>
        <w:t xml:space="preserve">Reading the Icons</w:t>
      </w:r>
    </w:p>
    <w:p>
      <w:pPr>
        <w:spacing w:after="80" w:before="80"/>
      </w:pPr>
      <w:r>
        <w:rPr>
          <w:rFonts w:ascii="Arial" w:cs="Arial" w:eastAsia="Arial" w:hAnsi="Arial"/>
          <w:sz w:val="22"/>
          <w:szCs w:val="22"/>
        </w:rPr>
        <w:t xml:space="preserve">In the Flag(s) column, computational tests appear as small coloured glyphs before any administrative text pills.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1D5DB" w:sz="1"/>
              <w:left w:val="single" w:color="D1D5DB" w:sz="1"/>
              <w:bottom w:val="single" w:color="D1D5DB" w:sz="1"/>
              <w:right w:val="single" w:color="D1D5DB"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Colour</w:t>
            </w:r>
          </w:p>
        </w:tc>
        <w:tc>
          <w:tcPr>
            <w:tcW w:type="dxa" w:w="1800"/>
            <w:tcBorders>
              <w:top w:val="single" w:color="D1D5DB" w:sz="1"/>
              <w:left w:val="single" w:color="D1D5DB" w:sz="1"/>
              <w:bottom w:val="single" w:color="D1D5DB" w:sz="1"/>
              <w:right w:val="single" w:color="D1D5DB"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5760"/>
            <w:tcBorders>
              <w:top w:val="single" w:color="D1D5DB" w:sz="1"/>
              <w:left w:val="single" w:color="D1D5DB" w:sz="1"/>
              <w:bottom w:val="single" w:color="D1D5DB" w:sz="1"/>
              <w:right w:val="single" w:color="D1D5DB"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Teal</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Pending</w:t>
            </w:r>
          </w:p>
        </w:tc>
        <w:tc>
          <w:tcPr>
            <w:tcW w:type="dxa" w:w="5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Test ordered. No result yet.</w:t>
            </w:r>
          </w:p>
        </w:tc>
      </w:tr>
      <w:tr>
        <w:tc>
          <w:tcPr>
            <w:tcW w:type="dxa" w:w="180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Amber</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Preliminary</w:t>
            </w:r>
          </w:p>
        </w:tc>
        <w:tc>
          <w:tcPr>
            <w:tcW w:type="dxa" w:w="576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Interim result available. Final is pending.</w:t>
            </w:r>
          </w:p>
        </w:tc>
      </w:tr>
      <w:tr>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Green</w:t>
            </w:r>
          </w:p>
        </w:tc>
        <w:tc>
          <w:tcPr>
            <w:tcW w:type="dxa" w:w="1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Final</w:t>
            </w:r>
          </w:p>
        </w:tc>
        <w:tc>
          <w:tcPr>
            <w:tcW w:type="dxa" w:w="57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Final result. No clinical action required.</w:t>
            </w:r>
          </w:p>
        </w:tc>
      </w:tr>
      <w:tr>
        <w:tc>
          <w:tcPr>
            <w:tcW w:type="dxa" w:w="180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Red</w:t>
            </w:r>
          </w:p>
        </w:tc>
        <w:tc>
          <w:tcPr>
            <w:tcW w:type="dxa" w:w="180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Final — Actionable</w:t>
            </w:r>
          </w:p>
        </w:tc>
        <w:tc>
          <w:tcPr>
            <w:tcW w:type="dxa" w:w="576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120"/>
            </w:tcMar>
          </w:tcPr>
          <w:p>
            <w:r>
              <w:rPr>
                <w:rFonts w:ascii="Arial" w:cs="Arial" w:eastAsia="Arial" w:hAnsi="Arial"/>
                <w:sz w:val="20"/>
                <w:szCs w:val="20"/>
              </w:rPr>
              <w:t xml:space="preserve">Final result. Review required — action may be needed.</w:t>
            </w:r>
          </w:p>
        </w:tc>
      </w:tr>
    </w:tbl>
    <w:p>
      <w:pPr>
        <w:spacing w:after="80" w:before="80"/>
      </w:pPr>
      <w:r>
        <w:t xml:space="preserve"/>
      </w:r>
    </w:p>
    <w:p>
      <w:pPr>
        <w:pStyle w:val="Heading2"/>
        <w:spacing w:after="120" w:before="300"/>
      </w:pPr>
      <w:r>
        <w:rPr>
          <w:rFonts w:ascii="Arial" w:cs="Arial" w:eastAsia="Arial" w:hAnsi="Arial"/>
          <w:b/>
          <w:bCs/>
          <w:color w:val="0891B2"/>
          <w:sz w:val="26"/>
          <w:szCs w:val="26"/>
        </w:rPr>
        <w:t xml:space="preserve">Quick Peek Drawer</w:t>
      </w:r>
    </w:p>
    <w:p>
      <w:pPr>
        <w:pStyle w:val="ListParagraph"/>
        <w:numPr>
          <w:ilvl w:val="0"/>
          <w:numId w:val="2"/>
        </w:numPr>
        <w:spacing w:after="40" w:before="40"/>
      </w:pPr>
      <w:r>
        <w:rPr>
          <w:rFonts w:ascii="Arial" w:cs="Arial" w:eastAsia="Arial" w:hAnsi="Arial"/>
          <w:sz w:val="22"/>
          <w:szCs w:val="22"/>
        </w:rPr>
        <w:t xml:space="preserve">Click any icon → Computational Data drawer opens on the right</w:t>
      </w:r>
    </w:p>
    <w:p>
      <w:pPr>
        <w:pStyle w:val="ListParagraph"/>
        <w:numPr>
          <w:ilvl w:val="0"/>
          <w:numId w:val="2"/>
        </w:numPr>
        <w:spacing w:after="40" w:before="40"/>
      </w:pPr>
      <w:r>
        <w:rPr>
          <w:rFonts w:ascii="Arial" w:cs="Arial" w:eastAsia="Arial" w:hAnsi="Arial"/>
          <w:sz w:val="22"/>
          <w:szCs w:val="22"/>
        </w:rPr>
        <w:t xml:space="preserve">Left pane: ordered tests for this case with status</w:t>
      </w:r>
    </w:p>
    <w:p>
      <w:pPr>
        <w:pStyle w:val="ListParagraph"/>
        <w:numPr>
          <w:ilvl w:val="0"/>
          <w:numId w:val="2"/>
        </w:numPr>
        <w:spacing w:after="40" w:before="40"/>
      </w:pPr>
      <w:r>
        <w:rPr>
          <w:rFonts w:ascii="Arial" w:cs="Arial" w:eastAsia="Arial" w:hAnsi="Arial"/>
          <w:sz w:val="22"/>
          <w:szCs w:val="22"/>
        </w:rPr>
        <w:t xml:space="preserve">Right pane: discrete result data for the selected test</w:t>
      </w:r>
    </w:p>
    <w:p>
      <w:pPr>
        <w:pStyle w:val="ListParagraph"/>
        <w:numPr>
          <w:ilvl w:val="0"/>
          <w:numId w:val="2"/>
        </w:numPr>
        <w:spacing w:after="40" w:before="40"/>
      </w:pPr>
      <w:r>
        <w:rPr>
          <w:rFonts w:ascii="Arial" w:cs="Arial" w:eastAsia="Arial" w:hAnsi="Arial"/>
          <w:sz w:val="22"/>
          <w:szCs w:val="22"/>
        </w:rPr>
        <w:t xml:space="preserve">Click outside the drawer to close without navigating</w:t>
      </w:r>
    </w:p>
    <w:p>
      <w:pPr>
        <w:pStyle w:val="ListParagraph"/>
        <w:numPr>
          <w:ilvl w:val="0"/>
          <w:numId w:val="2"/>
        </w:numPr>
        <w:spacing w:after="40" w:before="40"/>
      </w:pPr>
      <w:r>
        <w:rPr>
          <w:rFonts w:ascii="Arial" w:cs="Arial" w:eastAsia="Arial" w:hAnsi="Arial"/>
          <w:sz w:val="22"/>
          <w:szCs w:val="22"/>
        </w:rPr>
        <w:t xml:space="preserve">"→ Open case" in the drawer header opens the Synoptic Report</w:t>
      </w:r>
    </w:p>
    <w:p>
      <w:pPr>
        <w:spacing w:after="80" w:before="80"/>
      </w:pPr>
      <w:r>
        <w:t xml:space="preserve"/>
      </w:r>
    </w:p>
    <w:p>
      <w:pPr>
        <w:pStyle w:val="Heading1"/>
        <w:spacing w:after="160" w:before="400"/>
      </w:pPr>
      <w:r>
        <w:rPr>
          <w:rFonts w:ascii="Arial" w:cs="Arial" w:eastAsia="Arial" w:hAnsi="Arial"/>
          <w:b/>
          <w:bCs/>
          <w:color w:val="0F172A"/>
          <w:sz w:val="32"/>
          <w:szCs w:val="32"/>
        </w:rPr>
        <w:t xml:space="preserve">Synoptic Report — Computational Tab</w:t>
      </w:r>
    </w:p>
    <w:p>
      <w:pPr>
        <w:pStyle w:val="Heading2"/>
        <w:spacing w:after="120" w:before="300"/>
      </w:pPr>
      <w:r>
        <w:rPr>
          <w:rFonts w:ascii="Arial" w:cs="Arial" w:eastAsia="Arial" w:hAnsi="Arial"/>
          <w:b/>
          <w:bCs/>
          <w:color w:val="0891B2"/>
          <w:sz w:val="26"/>
          <w:szCs w:val="26"/>
        </w:rPr>
        <w:t xml:space="preserve">Using the Tab</w:t>
      </w:r>
    </w:p>
    <w:p>
      <w:pPr>
        <w:pStyle w:val="ListParagraph"/>
        <w:numPr>
          <w:ilvl w:val="0"/>
          <w:numId w:val="3"/>
        </w:numPr>
        <w:spacing w:after="40" w:before="40"/>
      </w:pPr>
      <w:r>
        <w:rPr>
          <w:rFonts w:ascii="Arial" w:cs="Arial" w:eastAsia="Arial" w:hAnsi="Arial"/>
          <w:sz w:val="22"/>
          <w:szCs w:val="22"/>
        </w:rPr>
        <w:t xml:space="preserve">Click the ⚗️ Computational tab — badge shows ordered test count for this case</w:t>
      </w:r>
    </w:p>
    <w:p>
      <w:pPr>
        <w:pStyle w:val="ListParagraph"/>
        <w:numPr>
          <w:ilvl w:val="0"/>
          <w:numId w:val="3"/>
        </w:numPr>
        <w:spacing w:after="40" w:before="40"/>
      </w:pPr>
      <w:r>
        <w:rPr>
          <w:rFonts w:ascii="Arial" w:cs="Arial" w:eastAsia="Arial" w:hAnsi="Arial"/>
          <w:sz w:val="22"/>
          <w:szCs w:val="22"/>
        </w:rPr>
        <w:t xml:space="preserve">Left pane lists ordered tests with colour status dots</w:t>
      </w:r>
    </w:p>
    <w:p>
      <w:pPr>
        <w:pStyle w:val="ListParagraph"/>
        <w:numPr>
          <w:ilvl w:val="0"/>
          <w:numId w:val="3"/>
        </w:numPr>
        <w:spacing w:after="40" w:before="40"/>
      </w:pPr>
      <w:r>
        <w:rPr>
          <w:rFonts w:ascii="Arial" w:cs="Arial" w:eastAsia="Arial" w:hAnsi="Arial"/>
          <w:sz w:val="22"/>
          <w:szCs w:val="22"/>
        </w:rPr>
        <w:t xml:space="preserve">Click any test to view its result in the right pane</w:t>
      </w:r>
    </w:p>
    <w:p>
      <w:pPr>
        <w:pStyle w:val="ListParagraph"/>
        <w:numPr>
          <w:ilvl w:val="0"/>
          <w:numId w:val="3"/>
        </w:numPr>
        <w:spacing w:after="40" w:before="40"/>
      </w:pPr>
      <w:r>
        <w:rPr>
          <w:rFonts w:ascii="Arial" w:cs="Arial" w:eastAsia="Arial" w:hAnsi="Arial"/>
          <w:sz w:val="22"/>
          <w:szCs w:val="22"/>
        </w:rPr>
        <w:t xml:space="preserve">The result header shows the assigned specimen (e.g. A: Sigmoid colon resection)</w:t>
      </w:r>
    </w:p>
    <w:p>
      <w:pPr>
        <w:pStyle w:val="ListParagraph"/>
        <w:numPr>
          <w:ilvl w:val="0"/>
          <w:numId w:val="3"/>
        </w:numPr>
        <w:spacing w:after="40" w:before="40"/>
      </w:pPr>
      <w:r>
        <w:rPr>
          <w:rFonts w:ascii="Arial" w:cs="Arial" w:eastAsia="Arial" w:hAnsi="Arial"/>
          <w:sz w:val="22"/>
          <w:szCs w:val="22"/>
        </w:rPr>
        <w:t xml:space="preserve">Full Report tab returns you to the LIS report with scroll position preserved</w:t>
      </w:r>
    </w:p>
    <w:p>
      <w:pPr>
        <w:spacing w:after="80" w:before="80"/>
      </w:pPr>
      <w:r>
        <w:t xml:space="preserve"/>
      </w:r>
    </w:p>
    <w:p>
      <w:pPr>
        <w:pStyle w:val="Heading2"/>
        <w:spacing w:after="120" w:before="300"/>
      </w:pPr>
      <w:r>
        <w:rPr>
          <w:rFonts w:ascii="Arial" w:cs="Arial" w:eastAsia="Arial" w:hAnsi="Arial"/>
          <w:b/>
          <w:bCs/>
          <w:color w:val="0891B2"/>
          <w:sz w:val="26"/>
          <w:szCs w:val="26"/>
        </w:rPr>
        <w:t xml:space="preserve">Result Display</w:t>
      </w:r>
    </w:p>
    <w:p>
      <w:pPr>
        <w:pStyle w:val="ListParagraph"/>
        <w:numPr>
          <w:ilvl w:val="0"/>
          <w:numId w:val="2"/>
        </w:numPr>
        <w:spacing w:after="40" w:before="40"/>
      </w:pPr>
      <w:r>
        <w:rPr>
          <w:rFonts w:ascii="Arial" w:cs="Arial" w:eastAsia="Arial" w:hAnsi="Arial"/>
          <w:sz w:val="22"/>
          <w:szCs w:val="22"/>
        </w:rPr>
        <w:t xml:space="preserve">Status badge — Pending, Preliminary, or Final with actionability</w:t>
      </w:r>
    </w:p>
    <w:p>
      <w:pPr>
        <w:pStyle w:val="ListParagraph"/>
        <w:numPr>
          <w:ilvl w:val="0"/>
          <w:numId w:val="2"/>
        </w:numPr>
        <w:spacing w:after="40" w:before="40"/>
      </w:pPr>
      <w:r>
        <w:rPr>
          <w:rFonts w:ascii="Arial" w:cs="Arial" w:eastAsia="Arial" w:hAnsi="Arial"/>
          <w:sz w:val="22"/>
          <w:szCs w:val="22"/>
        </w:rPr>
        <w:t xml:space="preserve">Specimen badge — which specimen this test applies to, or "All specimens"</w:t>
      </w:r>
    </w:p>
    <w:p>
      <w:pPr>
        <w:pStyle w:val="ListParagraph"/>
        <w:numPr>
          <w:ilvl w:val="0"/>
          <w:numId w:val="2"/>
        </w:numPr>
        <w:spacing w:after="40" w:before="40"/>
      </w:pPr>
      <w:r>
        <w:rPr>
          <w:rFonts w:ascii="Arial" w:cs="Arial" w:eastAsia="Arial" w:hAnsi="Arial"/>
          <w:sz w:val="22"/>
          <w:szCs w:val="22"/>
        </w:rPr>
        <w:t xml:space="preserve">Result data table — discrete LIS fields (ER: Positive, HER2 IHC: 3+, etc.)</w:t>
      </w:r>
    </w:p>
    <w:p>
      <w:pPr>
        <w:pStyle w:val="ListParagraph"/>
        <w:numPr>
          <w:ilvl w:val="0"/>
          <w:numId w:val="2"/>
        </w:numPr>
        <w:spacing w:after="40" w:before="40"/>
      </w:pPr>
      <w:r>
        <w:rPr>
          <w:rFonts w:ascii="Arial" w:cs="Arial" w:eastAsia="Arial" w:hAnsi="Arial"/>
          <w:sz w:val="22"/>
          <w:szCs w:val="22"/>
        </w:rPr>
        <w:t xml:space="preserve">AI concordance — Agrees or Differs with the AI pre-filled synoptic field</w:t>
      </w:r>
    </w:p>
    <w:p>
      <w:pPr>
        <w:pStyle w:val="ListParagraph"/>
        <w:numPr>
          <w:ilvl w:val="0"/>
          <w:numId w:val="2"/>
        </w:numPr>
        <w:spacing w:after="40" w:before="40"/>
      </w:pPr>
      <w:r>
        <w:rPr>
          <w:rFonts w:ascii="Arial" w:cs="Arial" w:eastAsia="Arial" w:hAnsi="Arial"/>
          <w:sz w:val="22"/>
          <w:szCs w:val="22"/>
        </w:rPr>
        <w:t xml:space="preserve">AI extraction badge — if AI parsed the result from unstructured text</w:t>
      </w:r>
    </w:p>
    <w:p>
      <w:pPr>
        <w:pStyle w:val="ListParagraph"/>
        <w:numPr>
          <w:ilvl w:val="0"/>
          <w:numId w:val="2"/>
        </w:numPr>
        <w:spacing w:after="40" w:before="40"/>
      </w:pPr>
      <w:r>
        <w:rPr>
          <w:rFonts w:ascii="Arial" w:cs="Arial" w:eastAsia="Arial" w:hAnsi="Arial"/>
          <w:sz w:val="22"/>
          <w:szCs w:val="22"/>
        </w:rPr>
        <w:t xml:space="preserve">Timestamp — when the lab reported the result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1D5DB" w:sz="1"/>
              <w:left w:val="single" w:color="D1D5DB" w:sz="1"/>
              <w:bottom w:val="single" w:color="D1D5DB" w:sz="1"/>
              <w:right w:val="single" w:color="D1D5DB" w:sz="1"/>
            </w:tcBorders>
            <w:shd w:fill="E0F2FE" w:val="clear"/>
            <w:tcMar>
              <w:top w:type="dxa" w:w="100"/>
              <w:left w:type="dxa" w:w="120"/>
              <w:bottom w:type="dxa" w:w="100"/>
              <w:right w:type="dxa" w:w="120"/>
            </w:tcMar>
          </w:tcPr>
          <w:p>
            <w:r>
              <w:rPr>
                <w:rFonts w:ascii="Arial" w:cs="Arial" w:eastAsia="Arial" w:hAnsi="Arial"/>
                <w:b/>
                <w:bCs/>
                <w:color w:val="0891B2"/>
                <w:sz w:val="20"/>
                <w:szCs w:val="20"/>
              </w:rPr>
              <w:t xml:space="preserve">About AI Concordance</w:t>
            </w:r>
          </w:p>
        </w:tc>
        <w:tc>
          <w:tcPr>
            <w:tcW w:type="dxa" w:w="91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If the discrete result and AI suggestion differ, review the relevant synoptic field before finalising.</w:t>
            </w:r>
          </w:p>
        </w:tc>
      </w:tr>
    </w:tbl>
    <w:p>
      <w:pPr>
        <w:spacing w:after="80" w:before="80"/>
      </w:pPr>
      <w:r>
        <w:t xml:space="preserve"/>
      </w:r>
    </w:p>
    <w:p>
      <w:pPr>
        <w:pStyle w:val="Heading2"/>
        <w:spacing w:after="120" w:before="300"/>
      </w:pPr>
      <w:r>
        <w:rPr>
          <w:rFonts w:ascii="Arial" w:cs="Arial" w:eastAsia="Arial" w:hAnsi="Arial"/>
          <w:b/>
          <w:bCs/>
          <w:color w:val="0891B2"/>
          <w:sz w:val="26"/>
          <w:szCs w:val="26"/>
        </w:rPr>
        <w:t xml:space="preserve">Cancelling a Pending Order</w:t>
      </w:r>
    </w:p>
    <w:p>
      <w:pPr>
        <w:spacing w:after="80" w:before="80"/>
      </w:pPr>
      <w:r>
        <w:rPr>
          <w:rFonts w:ascii="Arial" w:cs="Arial" w:eastAsia="Arial" w:hAnsi="Arial"/>
          <w:sz w:val="22"/>
          <w:szCs w:val="22"/>
        </w:rPr>
        <w:t xml:space="preserve">A trash icon appears beside any Pending test in the navigator (no icon on resulted tests).</w:t>
      </w:r>
    </w:p>
    <w:p>
      <w:pPr>
        <w:pStyle w:val="ListParagraph"/>
        <w:numPr>
          <w:ilvl w:val="0"/>
          <w:numId w:val="3"/>
        </w:numPr>
        <w:spacing w:after="40" w:before="40"/>
      </w:pPr>
      <w:r>
        <w:rPr>
          <w:rFonts w:ascii="Arial" w:cs="Arial" w:eastAsia="Arial" w:hAnsi="Arial"/>
          <w:sz w:val="22"/>
          <w:szCs w:val="22"/>
        </w:rPr>
        <w:t xml:space="preserve">Click the trash icon beside the test you want to cancel</w:t>
      </w:r>
    </w:p>
    <w:p>
      <w:pPr>
        <w:pStyle w:val="ListParagraph"/>
        <w:numPr>
          <w:ilvl w:val="0"/>
          <w:numId w:val="3"/>
        </w:numPr>
        <w:spacing w:after="40" w:before="40"/>
      </w:pPr>
      <w:r>
        <w:rPr>
          <w:rFonts w:ascii="Arial" w:cs="Arial" w:eastAsia="Arial" w:hAnsi="Arial"/>
          <w:sz w:val="22"/>
          <w:szCs w:val="22"/>
        </w:rPr>
        <w:t xml:space="preserve">A confirmation dialog appears — read it carefully</w:t>
      </w:r>
    </w:p>
    <w:p>
      <w:pPr>
        <w:pStyle w:val="ListParagraph"/>
        <w:numPr>
          <w:ilvl w:val="0"/>
          <w:numId w:val="3"/>
        </w:numPr>
        <w:spacing w:after="40" w:before="40"/>
      </w:pPr>
      <w:r>
        <w:rPr>
          <w:rFonts w:ascii="Arial" w:cs="Arial" w:eastAsia="Arial" w:hAnsi="Arial"/>
          <w:sz w:val="22"/>
          <w:szCs w:val="22"/>
        </w:rPr>
        <w:t xml:space="preserve">If the order originated in the LIS, you must also cancel it there</w:t>
      </w:r>
    </w:p>
    <w:p>
      <w:pPr>
        <w:pStyle w:val="ListParagraph"/>
        <w:numPr>
          <w:ilvl w:val="0"/>
          <w:numId w:val="3"/>
        </w:numPr>
        <w:spacing w:after="40" w:before="40"/>
      </w:pPr>
      <w:r>
        <w:rPr>
          <w:rFonts w:ascii="Arial" w:cs="Arial" w:eastAsia="Arial" w:hAnsi="Arial"/>
          <w:sz w:val="22"/>
          <w:szCs w:val="22"/>
        </w:rPr>
        <w:t xml:space="preserve">Click "Confirm Cancellation" to notify the lab and remove the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r>
              <w:rPr>
                <w:rFonts w:ascii="Arial" w:cs="Arial" w:eastAsia="Arial" w:hAnsi="Arial"/>
                <w:b/>
                <w:bCs/>
                <w:color w:val="F59E0B"/>
                <w:sz w:val="20"/>
                <w:szCs w:val="20"/>
              </w:rPr>
              <w:t xml:space="preserve">Note</w:t>
            </w:r>
          </w:p>
        </w:tc>
        <w:tc>
          <w:tcPr>
            <w:tcW w:type="dxa" w:w="91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You cannot cancel a Preliminary or Final result — the test has already been processed. Contact the laboratory directly for amendments.</w:t>
            </w:r>
          </w:p>
        </w:tc>
      </w:tr>
    </w:tbl>
    <w:p>
      <w:pPr>
        <w:spacing w:after="80" w:before="80"/>
      </w:pPr>
      <w:r>
        <w:t xml:space="preserve"/>
      </w:r>
    </w:p>
    <w:p>
      <w:pPr>
        <w:pStyle w:val="Heading1"/>
        <w:spacing w:after="160" w:before="400"/>
      </w:pPr>
      <w:r>
        <w:rPr>
          <w:rFonts w:ascii="Arial" w:cs="Arial" w:eastAsia="Arial" w:hAnsi="Arial"/>
          <w:b/>
          <w:bCs/>
          <w:color w:val="0F172A"/>
          <w:sz w:val="32"/>
          <w:szCs w:val="32"/>
        </w:rPr>
        <w:t xml:space="preserve">Ordering Additional Tests</w:t>
      </w:r>
    </w:p>
    <w:p>
      <w:pPr>
        <w:pStyle w:val="Heading2"/>
        <w:spacing w:after="120" w:before="300"/>
      </w:pPr>
      <w:r>
        <w:rPr>
          <w:rFonts w:ascii="Arial" w:cs="Arial" w:eastAsia="Arial" w:hAnsi="Arial"/>
          <w:b/>
          <w:bCs/>
          <w:color w:val="0891B2"/>
          <w:sz w:val="26"/>
          <w:szCs w:val="26"/>
        </w:rPr>
        <w:t xml:space="preserve">The Order Modal</w:t>
      </w:r>
    </w:p>
    <w:p>
      <w:pPr>
        <w:pStyle w:val="ListParagraph"/>
        <w:numPr>
          <w:ilvl w:val="0"/>
          <w:numId w:val="3"/>
        </w:numPr>
        <w:spacing w:after="40" w:before="40"/>
      </w:pPr>
      <w:r>
        <w:rPr>
          <w:rFonts w:ascii="Arial" w:cs="Arial" w:eastAsia="Arial" w:hAnsi="Arial"/>
          <w:sz w:val="22"/>
          <w:szCs w:val="22"/>
        </w:rPr>
        <w:t xml:space="preserve">Click "+ Order additional test" at the bottom of the navigator</w:t>
      </w:r>
    </w:p>
    <w:p>
      <w:pPr>
        <w:pStyle w:val="ListParagraph"/>
        <w:numPr>
          <w:ilvl w:val="0"/>
          <w:numId w:val="3"/>
        </w:numPr>
        <w:spacing w:after="40" w:before="40"/>
      </w:pPr>
      <w:r>
        <w:rPr>
          <w:rFonts w:ascii="Arial" w:cs="Arial" w:eastAsia="Arial" w:hAnsi="Arial"/>
          <w:sz w:val="22"/>
          <w:szCs w:val="22"/>
        </w:rPr>
        <w:t xml:space="preserve">The Order Additional Test modal opens</w:t>
      </w:r>
    </w:p>
    <w:p>
      <w:pPr>
        <w:pStyle w:val="ListParagraph"/>
        <w:numPr>
          <w:ilvl w:val="0"/>
          <w:numId w:val="3"/>
        </w:numPr>
        <w:spacing w:after="40" w:before="40"/>
      </w:pPr>
      <w:r>
        <w:rPr>
          <w:rFonts w:ascii="Arial" w:cs="Arial" w:eastAsia="Arial" w:hAnsi="Arial"/>
          <w:sz w:val="22"/>
          <w:szCs w:val="22"/>
        </w:rPr>
        <w:t xml:space="preserve">Select "All Specimens" or a specific specimen in the left panel</w:t>
      </w:r>
    </w:p>
    <w:p>
      <w:pPr>
        <w:pStyle w:val="ListParagraph"/>
        <w:numPr>
          <w:ilvl w:val="0"/>
          <w:numId w:val="3"/>
        </w:numPr>
        <w:spacing w:after="40" w:before="40"/>
      </w:pPr>
      <w:r>
        <w:rPr>
          <w:rFonts w:ascii="Arial" w:cs="Arial" w:eastAsia="Arial" w:hAnsi="Arial"/>
          <w:sz w:val="22"/>
          <w:szCs w:val="22"/>
        </w:rPr>
        <w:t xml:space="preserve">Search for the test you want in the right panel</w:t>
      </w:r>
    </w:p>
    <w:p>
      <w:pPr>
        <w:pStyle w:val="ListParagraph"/>
        <w:numPr>
          <w:ilvl w:val="0"/>
          <w:numId w:val="3"/>
        </w:numPr>
        <w:spacing w:after="40" w:before="40"/>
      </w:pPr>
      <w:r>
        <w:rPr>
          <w:rFonts w:ascii="Arial" w:cs="Arial" w:eastAsia="Arial" w:hAnsi="Arial"/>
          <w:sz w:val="22"/>
          <w:szCs w:val="22"/>
        </w:rPr>
        <w:t xml:space="preserve">Click "+ Order" to stage it — it appears in the Pending Orders list on the left</w:t>
      </w:r>
    </w:p>
    <w:p>
      <w:pPr>
        <w:pStyle w:val="ListParagraph"/>
        <w:numPr>
          <w:ilvl w:val="0"/>
          <w:numId w:val="3"/>
        </w:numPr>
        <w:spacing w:after="40" w:before="40"/>
      </w:pPr>
      <w:r>
        <w:rPr>
          <w:rFonts w:ascii="Arial" w:cs="Arial" w:eastAsia="Arial" w:hAnsi="Arial"/>
          <w:sz w:val="22"/>
          <w:szCs w:val="22"/>
        </w:rPr>
        <w:t xml:space="preserve">Stage additional tests as needed — use the trash icon to remove any</w:t>
      </w:r>
    </w:p>
    <w:p>
      <w:pPr>
        <w:pStyle w:val="ListParagraph"/>
        <w:numPr>
          <w:ilvl w:val="0"/>
          <w:numId w:val="3"/>
        </w:numPr>
        <w:spacing w:after="40" w:before="40"/>
      </w:pPr>
      <w:r>
        <w:rPr>
          <w:rFonts w:ascii="Arial" w:cs="Arial" w:eastAsia="Arial" w:hAnsi="Arial"/>
          <w:sz w:val="22"/>
          <w:szCs w:val="22"/>
        </w:rPr>
        <w:t xml:space="preserve">Review the pending list, then click "Place Orders" to submit</w:t>
      </w:r>
    </w:p>
    <w:p>
      <w:pPr>
        <w:pStyle w:val="ListParagraph"/>
        <w:numPr>
          <w:ilvl w:val="0"/>
          <w:numId w:val="3"/>
        </w:numPr>
        <w:spacing w:after="40" w:before="40"/>
      </w:pPr>
      <w:r>
        <w:rPr>
          <w:rFonts w:ascii="Arial" w:cs="Arial" w:eastAsia="Arial" w:hAnsi="Arial"/>
          <w:sz w:val="22"/>
          <w:szCs w:val="22"/>
        </w:rPr>
        <w:t xml:space="preserve">If protocols are linked to the test, the Add Synoptic dialog opens pre-filtered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1D5DB" w:sz="1"/>
              <w:left w:val="single" w:color="D1D5DB" w:sz="1"/>
              <w:bottom w:val="single" w:color="D1D5DB" w:sz="1"/>
              <w:right w:val="single" w:color="D1D5DB" w:sz="1"/>
            </w:tcBorders>
            <w:shd w:fill="E0F2FE" w:val="clear"/>
            <w:tcMar>
              <w:top w:type="dxa" w:w="100"/>
              <w:left w:type="dxa" w:w="120"/>
              <w:bottom w:type="dxa" w:w="100"/>
              <w:right w:type="dxa" w:w="120"/>
            </w:tcMar>
          </w:tcPr>
          <w:p>
            <w:r>
              <w:rPr>
                <w:rFonts w:ascii="Arial" w:cs="Arial" w:eastAsia="Arial" w:hAnsi="Arial"/>
                <w:b/>
                <w:bCs/>
                <w:color w:val="0891B2"/>
                <w:sz w:val="20"/>
                <w:szCs w:val="20"/>
              </w:rPr>
              <w:t xml:space="preserve">Tip</w:t>
            </w:r>
          </w:p>
        </w:tc>
        <w:tc>
          <w:tcPr>
            <w:tcW w:type="dxa" w:w="91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You can stage multiple tests before placing the order. "Place Orders" submits them all at once and notifies the laboratory.</w:t>
            </w:r>
          </w:p>
        </w:tc>
      </w:tr>
    </w:tbl>
    <w:p>
      <w:pPr>
        <w:spacing w:after="80" w:before="80"/>
      </w:pPr>
      <w:r>
        <w:t xml:space="preserve"/>
      </w:r>
    </w:p>
    <w:p>
      <w:pPr>
        <w:pStyle w:val="Heading1"/>
        <w:spacing w:after="160" w:before="400"/>
      </w:pPr>
      <w:r>
        <w:rPr>
          <w:rFonts w:ascii="Arial" w:cs="Arial" w:eastAsia="Arial" w:hAnsi="Arial"/>
          <w:b/>
          <w:bCs/>
          <w:color w:val="0F172A"/>
          <w:sz w:val="32"/>
          <w:szCs w:val="32"/>
        </w:rPr>
        <w:t xml:space="preserve">Administrator — Flag Maintenance</w:t>
      </w:r>
    </w:p>
    <w:p>
      <w:pPr>
        <w:pStyle w:val="Heading2"/>
        <w:spacing w:after="120" w:before="300"/>
      </w:pPr>
      <w:r>
        <w:rPr>
          <w:rFonts w:ascii="Arial" w:cs="Arial" w:eastAsia="Arial" w:hAnsi="Arial"/>
          <w:b/>
          <w:bCs/>
          <w:color w:val="0891B2"/>
          <w:sz w:val="26"/>
          <w:szCs w:val="26"/>
        </w:rPr>
        <w:t xml:space="preserve">Setting Up Computational Flags</w:t>
      </w:r>
    </w:p>
    <w:p>
      <w:pPr>
        <w:spacing w:after="80" w:before="80"/>
      </w:pPr>
      <w:r>
        <w:rPr>
          <w:rFonts w:ascii="Arial" w:cs="Arial" w:eastAsia="Arial" w:hAnsi="Arial"/>
          <w:sz w:val="22"/>
          <w:szCs w:val="22"/>
        </w:rPr>
        <w:t xml:space="preserve">Go to Configuration → System → Flag Maintenance. Selecting Computational expands the modal to a two-column layout.</w:t>
      </w:r>
    </w:p>
    <w:p>
      <w:pPr>
        <w:spacing w:after="80" w:before="80"/>
      </w:pPr>
      <w:r>
        <w:t xml:space="preserve"/>
      </w:r>
    </w:p>
    <w:p>
      <w:pPr>
        <w:pStyle w:val="Heading3"/>
        <w:spacing w:after="80" w:before="200"/>
      </w:pPr>
      <w:r>
        <w:rPr>
          <w:rFonts w:ascii="Arial" w:cs="Arial" w:eastAsia="Arial" w:hAnsi="Arial"/>
          <w:b/>
          <w:bCs/>
          <w:color w:val="0F172A"/>
          <w:sz w:val="22"/>
          <w:szCs w:val="22"/>
        </w:rPr>
        <w:t xml:space="preserve">Data Source Type</w:t>
      </w:r>
    </w:p>
    <w:p>
      <w:pPr>
        <w:pStyle w:val="ListParagraph"/>
        <w:numPr>
          <w:ilvl w:val="0"/>
          <w:numId w:val="2"/>
        </w:numPr>
        <w:spacing w:after="40" w:before="40"/>
      </w:pPr>
      <w:r>
        <w:rPr>
          <w:rFonts w:ascii="Arial" w:cs="Arial" w:eastAsia="Arial" w:hAnsi="Arial"/>
          <w:sz w:val="22"/>
          <w:szCs w:val="22"/>
        </w:rPr>
        <w:t xml:space="preserve">LIS Endpoint — direct REST call. Requires Source ID and API Endpoint.</w:t>
      </w:r>
    </w:p>
    <w:p>
      <w:pPr>
        <w:pStyle w:val="ListParagraph"/>
        <w:numPr>
          <w:ilvl w:val="0"/>
          <w:numId w:val="2"/>
        </w:numPr>
        <w:spacing w:after="40" w:before="40"/>
      </w:pPr>
      <w:r>
        <w:rPr>
          <w:rFonts w:ascii="Arial" w:cs="Arial" w:eastAsia="Arial" w:hAnsi="Arial"/>
          <w:sz w:val="22"/>
          <w:szCs w:val="22"/>
        </w:rPr>
        <w:t xml:space="preserve">AI Extraction — AI proxy parses unstructured LIS text. Requires extraction endpoint.</w:t>
      </w:r>
    </w:p>
    <w:p>
      <w:pPr>
        <w:pStyle w:val="ListParagraph"/>
        <w:numPr>
          <w:ilvl w:val="0"/>
          <w:numId w:val="2"/>
        </w:numPr>
        <w:spacing w:after="40" w:before="40"/>
      </w:pPr>
      <w:r>
        <w:rPr>
          <w:rFonts w:ascii="Arial" w:cs="Arial" w:eastAsia="Arial" w:hAnsi="Arial"/>
          <w:sz w:val="22"/>
          <w:szCs w:val="22"/>
        </w:rPr>
        <w:t xml:space="preserve">PathScribe Entry — pathologist enters the result in the synoptic. No endpoint required.</w:t>
      </w:r>
    </w:p>
    <w:p>
      <w:pPr>
        <w:spacing w:after="80" w:before="80"/>
      </w:pPr>
      <w:r>
        <w:t xml:space="preserve"/>
      </w:r>
    </w:p>
    <w:p>
      <w:pPr>
        <w:pStyle w:val="Heading3"/>
        <w:spacing w:after="80" w:before="200"/>
      </w:pPr>
      <w:r>
        <w:rPr>
          <w:rFonts w:ascii="Arial" w:cs="Arial" w:eastAsia="Arial" w:hAnsi="Arial"/>
          <w:b/>
          <w:bCs/>
          <w:color w:val="0F172A"/>
          <w:sz w:val="22"/>
          <w:szCs w:val="22"/>
        </w:rPr>
        <w:t xml:space="preserve">Default Protocols</w:t>
      </w:r>
    </w:p>
    <w:p>
      <w:pPr>
        <w:spacing w:after="80" w:before="80"/>
      </w:pPr>
      <w:r>
        <w:rPr>
          <w:rFonts w:ascii="Arial" w:cs="Arial" w:eastAsia="Arial" w:hAnsi="Arial"/>
          <w:sz w:val="22"/>
          <w:szCs w:val="22"/>
        </w:rPr>
        <w:t xml:space="preserve">Link published synoptic protocols to a flag. When a pathologist orders that test, PathScribe suggests these protocols for addition to the case. Use the search box to filter the protocol 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1D5DB" w:sz="1"/>
              <w:left w:val="single" w:color="D1D5DB" w:sz="1"/>
              <w:bottom w:val="single" w:color="D1D5DB" w:sz="1"/>
              <w:right w:val="single" w:color="D1D5DB" w:sz="1"/>
            </w:tcBorders>
            <w:shd w:fill="E0F2FE" w:val="clear"/>
            <w:tcMar>
              <w:top w:type="dxa" w:w="100"/>
              <w:left w:type="dxa" w:w="120"/>
              <w:bottom w:type="dxa" w:w="100"/>
              <w:right w:type="dxa" w:w="120"/>
            </w:tcMar>
          </w:tcPr>
          <w:p>
            <w:r>
              <w:rPr>
                <w:rFonts w:ascii="Arial" w:cs="Arial" w:eastAsia="Arial" w:hAnsi="Arial"/>
                <w:b/>
                <w:bCs/>
                <w:color w:val="0891B2"/>
                <w:sz w:val="20"/>
                <w:szCs w:val="20"/>
              </w:rPr>
              <w:t xml:space="preserve">Example</w:t>
            </w:r>
          </w:p>
        </w:tc>
        <w:tc>
          <w:tcPr>
            <w:tcW w:type="dxa" w:w="91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HER2 FISH linked to "CAP HER2 ISH Reporting Template" — ordering HER2 FISH pre-filters the Add Synoptic dialog to that template.</w:t>
            </w:r>
          </w:p>
        </w:tc>
      </w:tr>
    </w:tbl>
    <w:p>
      <w:pPr>
        <w:spacing w:after="80" w:before="80"/>
      </w:pPr>
      <w:r>
        <w:t xml:space="preserve"/>
      </w:r>
    </w:p>
    <w:p>
      <w:pPr>
        <w:pStyle w:val="Heading1"/>
        <w:spacing w:after="160" w:before="400"/>
      </w:pPr>
      <w:r>
        <w:rPr>
          <w:rFonts w:ascii="Arial" w:cs="Arial" w:eastAsia="Arial" w:hAnsi="Arial"/>
          <w:b/>
          <w:bCs/>
          <w:color w:val="0F172A"/>
          <w:sz w:val="32"/>
          <w:szCs w:val="32"/>
        </w:rPr>
        <w:t xml:space="preserve">Demo Reset (Testing Only)</w:t>
      </w:r>
    </w:p>
    <w:p>
      <w:pPr>
        <w:pStyle w:val="ListParagraph"/>
        <w:numPr>
          <w:ilvl w:val="0"/>
          <w:numId w:val="3"/>
        </w:numPr>
        <w:spacing w:after="40" w:before="40"/>
      </w:pPr>
      <w:r>
        <w:rPr>
          <w:rFonts w:ascii="Arial" w:cs="Arial" w:eastAsia="Arial" w:hAnsi="Arial"/>
          <w:sz w:val="22"/>
          <w:szCs w:val="22"/>
        </w:rPr>
        <w:t xml:space="preserve">Go to Configuration → ⟳ Demo Reset</w:t>
      </w:r>
    </w:p>
    <w:p>
      <w:pPr>
        <w:pStyle w:val="ListParagraph"/>
        <w:numPr>
          <w:ilvl w:val="0"/>
          <w:numId w:val="3"/>
        </w:numPr>
        <w:spacing w:after="40" w:before="40"/>
      </w:pPr>
      <w:r>
        <w:rPr>
          <w:rFonts w:ascii="Arial" w:cs="Arial" w:eastAsia="Arial" w:hAnsi="Arial"/>
          <w:sz w:val="22"/>
          <w:szCs w:val="22"/>
        </w:rPr>
        <w:t xml:space="preserve">"Reset my data only" — restores your hospital's cases without affecting other testers</w:t>
      </w:r>
    </w:p>
    <w:p>
      <w:pPr>
        <w:pStyle w:val="ListParagraph"/>
        <w:numPr>
          <w:ilvl w:val="0"/>
          <w:numId w:val="3"/>
        </w:numPr>
        <w:spacing w:after="40" w:before="40"/>
      </w:pPr>
      <w:r>
        <w:rPr>
          <w:rFonts w:ascii="Arial" w:cs="Arial" w:eastAsia="Arial" w:hAnsi="Arial"/>
          <w:sz w:val="22"/>
          <w:szCs w:val="22"/>
        </w:rPr>
        <w:t xml:space="preserve">"Full reset" — restores all data for all users (use sparingly)</w:t>
      </w:r>
    </w:p>
    <w:p>
      <w:pPr>
        <w:pStyle w:val="ListParagraph"/>
        <w:numPr>
          <w:ilvl w:val="0"/>
          <w:numId w:val="3"/>
        </w:numPr>
        <w:spacing w:after="40" w:before="40"/>
      </w:pPr>
      <w:r>
        <w:rPr>
          <w:rFonts w:ascii="Arial" w:cs="Arial" w:eastAsia="Arial" w:hAnsi="Arial"/>
          <w:sz w:val="22"/>
          <w:szCs w:val="22"/>
        </w:rPr>
        <w:t xml:space="preserve">Confirm — PathScribe reloads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tcPr>
          <w:p>
            <w:r>
              <w:rPr>
                <w:rFonts w:ascii="Arial" w:cs="Arial" w:eastAsia="Arial" w:hAnsi="Arial"/>
                <w:b/>
                <w:bCs/>
                <w:color w:val="F59E0B"/>
                <w:sz w:val="20"/>
                <w:szCs w:val="20"/>
              </w:rPr>
              <w:t xml:space="preserve">Note</w:t>
            </w:r>
          </w:p>
        </w:tc>
        <w:tc>
          <w:tcPr>
            <w:tcW w:type="dxa" w:w="918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Arial" w:cs="Arial" w:eastAsia="Arial" w:hAnsi="Arial"/>
                <w:sz w:val="20"/>
                <w:szCs w:val="20"/>
              </w:rPr>
              <w:t xml:space="preserve">The Demo Reset tab will be removed before production deployment.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891B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2026-05-02T14:07:55.405Z</dcterms:created>
  <dcterms:modified xsi:type="dcterms:W3CDTF">2026-05-02T14:07:55.405Z</dcterms:modified>
</cp:coreProperties>
</file>

<file path=docProps/custom.xml><?xml version="1.0" encoding="utf-8"?>
<Properties xmlns="http://schemas.openxmlformats.org/officeDocument/2006/custom-properties" xmlns:vt="http://schemas.openxmlformats.org/officeDocument/2006/docPropsVTypes"/>
</file>