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440"/>
      </w:pPr>
      <w:r>
        <w:rPr>
          <w:rFonts w:ascii="Arial" w:cs="Arial" w:eastAsia="Arial" w:hAnsi="Arial"/>
          <w:b/>
          <w:bCs/>
          <w:color w:val="0891B2"/>
          <w:sz w:val="52"/>
          <w:szCs w:val="52"/>
        </w:rPr>
        <w:t xml:space="preserve">PathScribe AI</w:t>
      </w:r>
    </w:p>
    <w:p>
      <w:pPr>
        <w:spacing w:after="160" w:before="0"/>
      </w:pPr>
      <w:r>
        <w:rPr>
          <w:rFonts w:ascii="Arial" w:cs="Arial" w:eastAsia="Arial" w:hAnsi="Arial"/>
          <w:b/>
          <w:bCs/>
          <w:color w:val="0F172A"/>
          <w:sz w:val="36"/>
          <w:szCs w:val="36"/>
        </w:rPr>
        <w:t xml:space="preserve">Computational Sidecar — Guest Tester Guide</w:t>
      </w:r>
    </w:p>
    <w:p>
      <w:pPr>
        <w:spacing w:after="480" w:before="0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Version 1.2  ·  May 2026  ·  Dr. Paul Carter (HOSP-MFT) and Dr. Amber Fehrs-Battey (HOSP-MPA)</w:t>
      </w:r>
    </w:p>
    <w:p>
      <w:pPr>
        <w:pBdr>
          <w:bottom w:val="single" w:color="E2E8F0" w:sz="3"/>
        </w:pBdr>
        <w:spacing w:after="200" w:before="20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1. Welcome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Thank you for taking part in the PathScribe Computational Sidecar testing round. This guide covers what was built, how to test it, and the feedback that will be most useful.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This is a V1 prototype. Your honest reactions as practising pathologists are the most valuable input we can get.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2. What is the Computational Sidecar?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PathScribe now surfaces live LIS results — IHC panels, molecular tests, FISH assays — directly in the worklist and synoptic report, without requiring you to switch to another system.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4680"/>
      </w:tblGrid>
      <w:tr>
        <w:trPr>
          <w:tblHeader/>
        </w:trP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F172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Icon State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F172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Colour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F172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Pending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Teal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 ordered, no result yet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Preliminary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Amber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Interim result available, final pending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Final — Non-actionable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Green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Final result, no intervention needed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Final — Actionable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Red</w:t>
            </w:r>
          </w:p>
        </w:tc>
        <w:tc>
          <w:tcPr>
            <w:tcW w:type="dxa" w:w="4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Final result, clinical action required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3. Your Test Accounts</w:t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891B2"/>
          <w:sz w:val="26"/>
          <w:szCs w:val="26"/>
        </w:rPr>
        <w:t xml:space="preserve">Dr. Paul Carter — Manchester Foundation Trust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Login: paul.carter@mft.nhs.uk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Cases: MFT26-8801, MFT26-8802, MFT26-8804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Computational tests: MMR IHC panel, Molecular Panel, PSMA IHC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891B2"/>
          <w:sz w:val="26"/>
          <w:szCs w:val="26"/>
        </w:rPr>
        <w:t xml:space="preserve">Dr. Amber Fehrs-Battey — Midwest Pathology Associates / Henry Ford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Login: amber.fehrsbattey@mpa.com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Cases: MPA26-1001, MPA26-1002, MPA26-1003, HFHS26-1004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Computational tests: ER/PR/HER2, HER2 FISH, MMR IHC, Molecular Profiling, IHC Panel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4. Before You Start — Demo Reset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Before beginning each testing session, please reset your mock data to ensure a clean baseline: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Go to Configuration → ⟳ Demo Reset (last tab)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Click "Reset my data only"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Confirm — PathScribe reloads with your cases restored to seed data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"/>
        <w:gridCol w:w="9180"/>
      </w:tblGrid>
      <w:tr>
        <w:tc>
          <w:tcPr>
            <w:tcW w:type="dxa" w:w="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3C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59E0B"/>
                <w:sz w:val="20"/>
                <w:szCs w:val="20"/>
              </w:rPr>
              <w:t xml:space="preserve">Important</w:t>
            </w:r>
          </w:p>
        </w:tc>
        <w:tc>
          <w:tcPr>
            <w:tcW w:type="dxa" w:w="9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Always reset before testing the ordering workflow. Previous sessions may leave residual data that causes unexpected flag counts.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5. Test Scenarios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"/>
        <w:gridCol w:w="9180"/>
      </w:tblGrid>
      <w:tr>
        <w:tc>
          <w:tcPr>
            <w:tcW w:type="dxa" w:w="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0F2F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891B2"/>
                <w:sz w:val="20"/>
                <w:szCs w:val="20"/>
              </w:rPr>
              <w:t xml:space="preserve">Note</w:t>
            </w:r>
          </w:p>
        </w:tc>
        <w:tc>
          <w:tcPr>
            <w:tcW w:type="dxa" w:w="9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Work through these in order — each builds on the previous one.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891B2"/>
          <w:sz w:val="26"/>
          <w:szCs w:val="26"/>
        </w:rPr>
        <w:t xml:space="preserve">Scenario 1 — Worklist Triage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Objective: Verify that computational icons are visible and communicate status correctly.</w:t>
      </w:r>
    </w:p>
    <w:p>
      <w:pPr>
        <w:spacing w:after="80" w:before="8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Log in and go to the Worklist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Find your cases — look at the Flag(s) column for small coloured glyphs before any text pills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Hover over an icon to see its tooltip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Click an icon — the Computational Data drawer opens from the right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The left pane shows: Case level section, then each specimen with its ordered tests listed underneath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Click a test to view its result in the right pane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Click outside the drawer to close — then click a row to open the case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"/>
        <w:gridCol w:w="9180"/>
      </w:tblGrid>
      <w:tr>
        <w:tc>
          <w:tcPr>
            <w:tcW w:type="dxa" w:w="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3C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59E0B"/>
                <w:sz w:val="20"/>
                <w:szCs w:val="20"/>
              </w:rPr>
              <w:t xml:space="preserve">What to notice</w:t>
            </w:r>
          </w:p>
        </w:tc>
        <w:tc>
          <w:tcPr>
            <w:tcW w:type="dxa" w:w="9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Does the grouping by Case level / Specimen make clinical sense? Is the specimen badge in the result pane helpful?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891B2"/>
          <w:sz w:val="26"/>
          <w:szCs w:val="26"/>
        </w:rPr>
        <w:t xml:space="preserve">Scenario 2 — Computational Tab in Synoptic Report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Objective: Verify the tab shows ordered tests correctly grouped by specimen.</w:t>
      </w:r>
    </w:p>
    <w:p>
      <w:pPr>
        <w:spacing w:after="80" w:before="8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Open any of your cases from the worklist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Click the ⚗️ Computational tab — the badge count should match ordered tests only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The left navigator shows Case level section, then each specimen with its tests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Each group has a small count badge matching the number of tests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Click any test to view its result in the right pane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Check the AI concordance indicator — Agrees or Differs with the AI pre-fill?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Switch back to Full Report — verify scroll position is preserved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"/>
        <w:gridCol w:w="9180"/>
      </w:tblGrid>
      <w:tr>
        <w:tc>
          <w:tcPr>
            <w:tcW w:type="dxa" w:w="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3C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59E0B"/>
                <w:sz w:val="20"/>
                <w:szCs w:val="20"/>
              </w:rPr>
              <w:t xml:space="preserve">What to notice</w:t>
            </w:r>
          </w:p>
        </w:tc>
        <w:tc>
          <w:tcPr>
            <w:tcW w:type="dxa" w:w="9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Does the grouped layout help you navigate multi-specimen cases? Is the count badge useful?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891B2"/>
          <w:sz w:val="26"/>
          <w:szCs w:val="26"/>
        </w:rPr>
        <w:t xml:space="preserve">Scenario 3 — Ordering a New Test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Objective: Test the multi-order staging workflow with specimen assignment.</w:t>
      </w:r>
    </w:p>
    <w:p>
      <w:pPr>
        <w:spacing w:after="80" w:before="8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Open a case and go to the Computational tab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Click "+ Order additional test" at the bottom of the navigator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The Order Additional Test modal opens with an X close button in the top right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The left panel shows: Pending Orders (empty), Apply to section with Case level and each specimen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The left panel also shows already-ordered tests under their specimen with trash icons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Select "A: [specimen name]" in the Apply to section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Click "+ Order" on a test in the right panel — it moves to Pending Orders with the specimen name shown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Select "B: [specimen name]" and stage a second test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Review the Pending Orders list — use the trash icon to remove one if needed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Click "Place 2 Orders" to submit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"/>
        <w:gridCol w:w="9180"/>
      </w:tblGrid>
      <w:tr>
        <w:tc>
          <w:tcPr>
            <w:tcW w:type="dxa" w:w="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3C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59E0B"/>
                <w:sz w:val="20"/>
                <w:szCs w:val="20"/>
              </w:rPr>
              <w:t xml:space="preserve">What to notice</w:t>
            </w:r>
          </w:p>
        </w:tc>
        <w:tc>
          <w:tcPr>
            <w:tcW w:type="dxa" w:w="9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Was specimen assignment clear? Did the correct tests appear under the correct specimens after placing?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891B2"/>
          <w:sz w:val="26"/>
          <w:szCs w:val="26"/>
        </w:rPr>
        <w:t xml:space="preserve">Scenario 4 — Cancelling an Order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Objective: Test cancellation from both the navigator and the order modal.</w:t>
      </w:r>
    </w:p>
    <w:p>
      <w:pPr>
        <w:spacing w:after="80" w:before="8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In the Computational tab navigator, find a Pending test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Click the trash icon beside it — a confirmation dialog appears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Note whether it says the order originated in PathScribe or the LIS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Click "Confirm Cancellation" — verify the test is removed from its specimen group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Open the Order Additional Test modal — you can also trash already-ordered tests from within the modal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"/>
        <w:gridCol w:w="9180"/>
      </w:tblGrid>
      <w:tr>
        <w:tc>
          <w:tcPr>
            <w:tcW w:type="dxa" w:w="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3C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59E0B"/>
                <w:sz w:val="20"/>
                <w:szCs w:val="20"/>
              </w:rPr>
              <w:t xml:space="preserve">What to notice</w:t>
            </w:r>
          </w:p>
        </w:tc>
        <w:tc>
          <w:tcPr>
            <w:tcW w:type="dxa" w:w="9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Was the LIS origin warning clear? Did cancellation correctly remove the test from the right specimen group?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891B2"/>
          <w:sz w:val="26"/>
          <w:szCs w:val="26"/>
        </w:rPr>
        <w:t xml:space="preserve">Scenario 5 — Flag Maintenance (Admin)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Objective: Link a protocol to a computational flag and verify it appears in the order workflow.</w:t>
      </w:r>
    </w:p>
    <w:p>
      <w:pPr>
        <w:spacing w:after="80" w:before="8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Go to Configuration → System → Flag Maintenance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Find a Computational flag and click Edit — note the two-column modal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Use the Default Protocols search to link a protocol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Save, then order that test from the Computational tab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Verify the linked protocol is suggested in the Add Synoptic dialog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6. Feedback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Grouped navigator — does Case level / Specimen grouping feel right?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Specimen assignment — were orders assigned to the correct specimen?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Order modal — was the currently-ordered list in the left panel useful context?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Cancellation — did the LIS origin warning make sense?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Protocol suggestions — were the suggested protocols the right ones?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AI concordance — did Agrees/Differs add value or noise?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Anything that confused or surprised you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0F172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300"/>
      <w:outlineLvl w:val="1"/>
    </w:pPr>
    <w:rPr>
      <w:rFonts w:ascii="Arial" w:cs="Arial" w:eastAsia="Arial" w:hAnsi="Arial"/>
      <w:b/>
      <w:bCs/>
      <w:color w:val="0891B2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0F172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2026-05-02T21:56:23.761Z</dcterms:created>
  <dcterms:modified xsi:type="dcterms:W3CDTF">2026-05-02T21:56:23.797Z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