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pPr>
      <w:r>
        <w:rPr>
          <w:rFonts w:ascii="Arial" w:cs="Arial" w:eastAsia="Arial" w:hAnsi="Arial"/>
          <w:b/>
          <w:bCs/>
          <w:color w:val="0891B2"/>
          <w:sz w:val="52"/>
          <w:szCs w:val="52"/>
        </w:rPr>
        <w:t xml:space="preserve">PathScribe AI</w:t>
      </w:r>
    </w:p>
    <w:p>
      <w:pPr>
        <w:spacing w:before="0" w:after="60"/>
      </w:pPr>
      <w:r>
        <w:rPr>
          <w:rFonts w:ascii="Arial" w:cs="Arial" w:eastAsia="Arial" w:hAnsi="Arial"/>
          <w:b/>
          <w:bCs/>
          <w:color w:val="0F172A"/>
          <w:sz w:val="44"/>
          <w:szCs w:val="44"/>
        </w:rPr>
        <w:t xml:space="preserve">Module Glossary &amp; Data Entity Reference</w:t>
      </w:r>
    </w:p>
    <w:p>
      <w:pPr>
        <w:spacing w:before="0" w:after="80"/>
      </w:pPr>
      <w:r>
        <w:rPr>
          <w:rFonts w:ascii="Arial" w:cs="Arial" w:eastAsia="Arial" w:hAnsi="Arial"/>
          <w:color w:val="64748B"/>
          <w:sz w:val="24"/>
          <w:szCs w:val="24"/>
        </w:rPr>
        <w:t xml:space="preserve">Every entity, module, service, and concept — what it is, where it lives, why it exists</w:t>
      </w:r>
    </w:p>
    <w:p>
      <w:pPr>
        <w:shd w:fill="0F172A" w:val="clear"/>
        <w:spacing w:before="0" w:after="0"/>
      </w:pPr>
      <w:r>
        <w:rPr>
          <w:rFonts w:ascii="Arial" w:cs="Arial" w:eastAsia="Arial" w:hAnsi="Arial"/>
          <w:b/>
          <w:bCs/>
          <w:color w:val="FFFFFF"/>
          <w:sz w:val="20"/>
          <w:szCs w:val="20"/>
        </w:rPr>
        <w:t xml:space="preserve">  REFERENCE  •  v1.0  •  March 2026  </w:t>
      </w:r>
    </w:p>
    <w:p>
      <w:pPr>
        <w:pBdr>
          <w:bottom w:val="single" w:color="0891B2" w:sz="10" w:space="1"/>
        </w:pBdr>
        <w:spacing w:before="0" w:after="400"/>
      </w:pPr>
      <w:r>
        <w:t xml:space="preserve"/>
      </w:r>
    </w:p>
    <w:p>
      <w:pPr>
        <w:spacing w:before="60" w:after="80"/>
      </w:pPr>
      <w:r>
        <w:rPr>
          <w:rFonts w:ascii="Arial" w:cs="Arial" w:eastAsia="Arial" w:hAnsi="Arial"/>
          <w:color w:val="64748B"/>
          <w:sz w:val="22"/>
          <w:szCs w:val="22"/>
        </w:rPr>
        <w:t xml:space="preserve">This document is the single reference for understanding the entities and modules in PathScribe. Each entry answers: what is it, where does the code live, what are its key fields, and how does it relate to other entities. Use this when onboarding, when troubleshooting, or when planning new features.</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1. Core Domain Entities</w:t>
      </w:r>
    </w:p>
    <w:p>
      <w:pPr>
        <w:pStyle w:val="Heading2"/>
        <w:pBdr>
          <w:bottom w:val="single" w:color="E2E8F0" w:sz="4" w:space="1"/>
        </w:pBdr>
        <w:spacing w:before="280" w:after="120"/>
      </w:pPr>
      <w:r>
        <w:rPr>
          <w:rFonts w:ascii="Arial" w:cs="Arial" w:eastAsia="Arial" w:hAnsi="Arial"/>
          <w:b/>
          <w:bCs/>
          <w:color w:val="0891B2"/>
          <w:sz w:val="27"/>
          <w:szCs w:val="27"/>
        </w:rPr>
        <w:t xml:space="preserve">Institution</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The top-level configuration record for a single lab or hospital. One institution = one PathScribe deployment.</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Firestore institutions collection. Config shape in src/types/systemConfig.ts (SystemConfig).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Key field</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Type</w:t>
            </w:r>
          </w:p>
        </w:tc>
        <w:tc>
          <w:tcPr>
            <w:tcW w:type="dxa" w:w="5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deployment_mode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co_pilot | standalone_lis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Set at onboarding. Immutable by institution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jurisdiction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 | CA | GB_EW | GB_SCT | IE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Drives SNOMED national release and ICD-10 variant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terminologyConfig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InstitutionTerminologyConfig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Per-system mode (mock/hosted/live_api) and active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identifierFormats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IdentifierFormats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Regex patterns for smart identifier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lisIntegrationEnabled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Master switch for HL7/FHIR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approvedFonts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Fonts available in the report editor</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PathologyCase</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single pathology case — the primary unit of work in PathScribe. Created by accession.</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src/services/cases/ICaseService.ts (type). mockCaseService.ts (mock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Key field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Type</w:t>
            </w:r>
          </w:p>
        </w:tc>
        <w:tc>
          <w:tcPr>
            <w:tcW w:type="dxa" w:w="5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Accession number — e.g. S26-4200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patientName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"Surname, Firstname"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hospitalId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MRN / Hospital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Grossed | Awaiting Micro | Finalizing |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CasePriority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Routine | STAT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caseFlags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Applied flag names from the flag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Specimen types from the specimen dictionary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diagnosisList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Free-text diagnosis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CT display strings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icdCodes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ICD code display strings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accessionDate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ISO date string YYYY-MM-DD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pathologistId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FK → Staff.id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attendingId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FK → Physician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synopticId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FK → SynopticTemplate.id</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StaffUser</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An internal user of PathScribe — Pathologist, Resident, or Admin.</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src/services/users/IUserService.ts.</w:t>
      </w:r>
    </w:p>
    <w:p>
      <w:pPr>
        <w:spacing w:before="60" w:after="80"/>
      </w:pPr>
      <w:r>
        <w:rPr>
          <w:rFonts w:ascii="Arial" w:cs="Arial" w:eastAsia="Arial" w:hAnsi="Arial"/>
          <w:b/>
          <w:bCs/>
          <w:color w:val="0F172A"/>
          <w:sz w:val="22"/>
          <w:szCs w:val="22"/>
        </w:rPr>
        <w:t xml:space="preserve">Distinct from: </w:t>
      </w:r>
      <w:r>
        <w:rPr>
          <w:rFonts w:ascii="Arial" w:cs="Arial" w:eastAsia="Arial" w:hAnsi="Arial"/>
          <w:color w:val="0F172A"/>
          <w:sz w:val="22"/>
          <w:szCs w:val="22"/>
        </w:rPr>
        <w:t xml:space="preserve">Physician. Staff log in and have permissions. Physicians are directory-only and never log in.</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Physician</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An external ordering or referring doctor. Directory entry only — no login, no permissions.</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src/services/physicians/IPhysicianService.ts.</w:t>
      </w:r>
    </w:p>
    <w:p>
      <w:pPr>
        <w:spacing w:before="60" w:after="80"/>
      </w:pPr>
      <w:r>
        <w:rPr>
          <w:rFonts w:ascii="Arial" w:cs="Arial" w:eastAsia="Arial" w:hAnsi="Arial"/>
          <w:b/>
          <w:bCs/>
          <w:color w:val="0F172A"/>
          <w:sz w:val="22"/>
          <w:szCs w:val="22"/>
        </w:rPr>
        <w:t xml:space="preserve">Key design: </w:t>
      </w:r>
      <w:r>
        <w:rPr>
          <w:rFonts w:ascii="Arial" w:cs="Arial" w:eastAsia="Arial" w:hAnsi="Arial"/>
          <w:color w:val="0F172A"/>
          <w:sz w:val="22"/>
          <w:szCs w:val="22"/>
        </w:rPr>
        <w:t xml:space="preserve">At accession time, a lightweight snapshot of the physician is embedded directly on the case document. Case display reads the snapshot, not the live directory — this avoids expensive Firestore joins on every case render.</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Client</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submitting practice, hospital, or clinic that sends cases to the lab. HL7 configuration lives here.</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src/services/clients/mockClientService.ts (type + mock). useClientDictionary hook in src/context/useClientDictionary.ts.</w:t>
      </w:r>
    </w:p>
    <w:p>
      <w:pPr>
        <w:spacing w:before="60" w:after="80"/>
      </w:pPr>
      <w:r>
        <w:rPr>
          <w:rFonts w:ascii="Arial" w:cs="Arial" w:eastAsia="Arial" w:hAnsi="Arial"/>
          <w:b/>
          <w:bCs/>
          <w:color w:val="0F172A"/>
          <w:sz w:val="22"/>
          <w:szCs w:val="22"/>
        </w:rPr>
        <w:t xml:space="preserve">Key fields: </w:t>
      </w:r>
      <w:r>
        <w:rPr>
          <w:rFonts w:ascii="Arial" w:cs="Arial" w:eastAsia="Arial" w:hAnsi="Arial"/>
          <w:color w:val="0F172A"/>
          <w:sz w:val="22"/>
          <w:szCs w:val="22"/>
        </w:rPr>
        <w:t xml:space="preserve">name, code (short ID), hl7 settings (sendingFacility, hl7Version, enabled), reporting preferences (format, delivery method, autoRelease).</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ClinicalCode</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single entry from a clinical terminology system — SNOMED CT, ICD-10, ICD-11, or ICD-O.</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src/services/codes/ICodeService.ts. Mock data in mockCodeService.ts (~80 SNOMED concepts, ~30 ICD-10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Key field</w:t>
            </w:r>
          </w:p>
        </w:tc>
        <w:tc>
          <w:tcPr>
            <w:tcW w:type="dxa" w:w="7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formal code string — e.g. "413448000"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display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Human-readable label — e.g. "Adenocarcinoma"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 "ICD-10" | "ICD-11" | "ICD-O"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SNOMED: "Axis|Subgroup" (e.g. "Morphology|Malignant Epithelial"). ICD: plain category string (e.g. "Breast").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jurisdiction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 | "US" | "CA" | "GB" | "IE" — which national release includes this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boolean — false = deprecated code, shown with strikethrough</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SynopticTemplate</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CAP, RCPath, RCPA, or ICCR protocol template. The structure (sections, fields, validation rules) for one type of synoptic report.</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Synoptic Library data model (synoptic_library_datamodel). DB table SYNOPTIC_TEMPLATE. Managed via Configuration → Protocols.</w:t>
      </w:r>
    </w:p>
    <w:p>
      <w:pPr>
        <w:spacing w:before="60" w:after="80"/>
      </w:pPr>
      <w:r>
        <w:rPr>
          <w:rFonts w:ascii="Arial" w:cs="Arial" w:eastAsia="Arial" w:hAnsi="Arial"/>
          <w:b/>
          <w:bCs/>
          <w:color w:val="0F172A"/>
          <w:sz w:val="22"/>
          <w:szCs w:val="22"/>
        </w:rPr>
        <w:t xml:space="preserve">Key design: </w:t>
      </w:r>
      <w:r>
        <w:rPr>
          <w:rFonts w:ascii="Arial" w:cs="Arial" w:eastAsia="Arial" w:hAnsi="Arial"/>
          <w:color w:val="0F172A"/>
          <w:sz w:val="22"/>
          <w:szCs w:val="22"/>
        </w:rPr>
        <w:t xml:space="preserve">Templates are versioned. A new version creates a new record — the old version is never overwritten. Deprecated templates are retained for historical cases. The superseded_by_id FK chains versions together.</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SynopticReport</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completed or in-progress AI-assisted synoptic report for a specific case. Contains field answers, AI confidence scores, and provenance.</w:t>
      </w:r>
    </w:p>
    <w:p>
      <w:pPr>
        <w:spacing w:before="60" w:after="80"/>
      </w:pPr>
      <w:r>
        <w:rPr>
          <w:rFonts w:ascii="Arial" w:cs="Arial" w:eastAsia="Arial" w:hAnsi="Arial"/>
          <w:b/>
          <w:bCs/>
          <w:color w:val="0F172A"/>
          <w:sz w:val="22"/>
          <w:szCs w:val="22"/>
        </w:rPr>
        <w:t xml:space="preserve">Key design: </w:t>
      </w:r>
      <w:r>
        <w:rPr>
          <w:rFonts w:ascii="Arial" w:cs="Arial" w:eastAsia="Arial" w:hAnsi="Arial"/>
          <w:color w:val="0F172A"/>
          <w:sz w:val="22"/>
          <w:szCs w:val="22"/>
        </w:rPr>
        <w:t xml:space="preserve">Immutable versioning — SynopticVersion rows are never updated after creation. A new version is always created for any change. Audit logs are append-only with 7-year minimum retention.</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Flag</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case or specimen-level alert marker — e.g. RUSH, IHC Pending, Teaching Case.</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src/services/flags/IFlagService.ts. Managed via Configuration → System → Flags.</w:t>
      </w:r>
    </w:p>
    <w:p>
      <w:pPr>
        <w:spacing w:before="60" w:after="80"/>
      </w:pPr>
      <w:r>
        <w:rPr>
          <w:rFonts w:ascii="Arial" w:cs="Arial" w:eastAsia="Arial" w:hAnsi="Arial"/>
          <w:b/>
          <w:bCs/>
          <w:color w:val="0F172A"/>
          <w:sz w:val="22"/>
          <w:szCs w:val="22"/>
        </w:rPr>
        <w:t xml:space="preserve">Key distinction: </w:t>
      </w:r>
      <w:r>
        <w:rPr>
          <w:rFonts w:ascii="Arial" w:cs="Arial" w:eastAsia="Arial" w:hAnsi="Arial"/>
          <w:color w:val="0F172A"/>
          <w:sz w:val="22"/>
          <w:szCs w:val="22"/>
        </w:rPr>
        <w:t xml:space="preserve">The AutoCreatedBanner component (src/components/Flags/) is the LIS flag detection and review workflow — it is not the same as case flags in the worklist. These are different features that share the word "flag".</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SavedSearch</w:t>
      </w:r>
    </w:p>
    <w:p>
      <w:pPr>
        <w:spacing w:before="60" w:after="80"/>
      </w:pPr>
      <w:r>
        <w:rPr>
          <w:rFonts w:ascii="Arial" w:cs="Arial" w:eastAsia="Arial" w:hAnsi="Arial"/>
          <w:b/>
          <w:bCs/>
          <w:color w:val="0F172A"/>
          <w:sz w:val="22"/>
          <w:szCs w:val="22"/>
        </w:rPr>
        <w:t xml:space="preserve">What it is: </w:t>
      </w:r>
      <w:r>
        <w:rPr>
          <w:rFonts w:ascii="Arial" w:cs="Arial" w:eastAsia="Arial" w:hAnsi="Arial"/>
          <w:color w:val="0F172A"/>
          <w:sz w:val="22"/>
          <w:szCs w:val="22"/>
        </w:rPr>
        <w:t xml:space="preserve">A named set of Case Search filter criteria saved by a user for reuse.</w:t>
      </w:r>
    </w:p>
    <w:p>
      <w:pPr>
        <w:spacing w:before="60" w:after="80"/>
      </w:pPr>
      <w:r>
        <w:rPr>
          <w:rFonts w:ascii="Arial" w:cs="Arial" w:eastAsia="Arial" w:hAnsi="Arial"/>
          <w:b/>
          <w:bCs/>
          <w:color w:val="0F172A"/>
          <w:sz w:val="22"/>
          <w:szCs w:val="22"/>
        </w:rPr>
        <w:t xml:space="preserve">Where: </w:t>
      </w:r>
      <w:r>
        <w:rPr>
          <w:rFonts w:ascii="Arial" w:cs="Arial" w:eastAsia="Arial" w:hAnsi="Arial"/>
          <w:color w:val="0F172A"/>
          <w:sz w:val="22"/>
          <w:szCs w:val="22"/>
        </w:rPr>
        <w:t xml:space="preserve">Serialised to localStorage under pathscribe:savedSearches. Interface in ISavedSearchService.ts.</w:t>
      </w:r>
    </w:p>
    <w:p>
      <w:pPr>
        <w:spacing w:before="60" w:after="80"/>
      </w:pPr>
      <w:r>
        <w:rPr>
          <w:rFonts w:ascii="Arial" w:cs="Arial" w:eastAsia="Arial" w:hAnsi="Arial"/>
          <w:b/>
          <w:bCs/>
          <w:color w:val="0F172A"/>
          <w:sz w:val="22"/>
          <w:szCs w:val="22"/>
        </w:rPr>
        <w:t xml:space="preserve">Key distinction from session restore: </w:t>
      </w:r>
      <w:r>
        <w:rPr>
          <w:rFonts w:ascii="Arial" w:cs="Arial" w:eastAsia="Arial" w:hAnsi="Arial"/>
          <w:color w:val="0F172A"/>
          <w:sz w:val="22"/>
          <w:szCs w:val="22"/>
        </w:rPr>
        <w:t xml:space="preserve">SavedSearch is intentionally persisted long-term (across sessions). The session restore snapshot (pathscribe:lastSearch in sessionStorage) is short-term — it restores the last search when navigating back from a case, and is cleared on fresh navigation to Search.</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2. Module Reference</w:t>
      </w:r>
    </w:p>
    <w:p>
      <w:pPr>
        <w:pStyle w:val="Heading2"/>
        <w:pBdr>
          <w:bottom w:val="single" w:color="E2E8F0" w:sz="4" w:space="1"/>
        </w:pBdr>
        <w:spacing w:before="280" w:after="120"/>
      </w:pPr>
      <w:r>
        <w:rPr>
          <w:rFonts w:ascii="Arial" w:cs="Arial" w:eastAsia="Arial" w:hAnsi="Arial"/>
          <w:b/>
          <w:bCs/>
          <w:color w:val="0891B2"/>
          <w:sz w:val="27"/>
          <w:szCs w:val="27"/>
        </w:rPr>
        <w:t xml:space="preserve">Case Search</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Multi-criteria search across all pathology cases with smart identifier detection, clinical code browsing, and session-persistent results.</w:t>
      </w:r>
    </w:p>
    <w:p>
      <w:pPr>
        <w:spacing w:before="60" w:after="80"/>
      </w:pPr>
      <w:r>
        <w:rPr>
          <w:rFonts w:ascii="Arial" w:cs="Arial" w:eastAsia="Arial" w:hAnsi="Arial"/>
          <w:b/>
          <w:bCs/>
          <w:color w:val="0F172A"/>
          <w:sz w:val="22"/>
          <w:szCs w:val="22"/>
        </w:rPr>
        <w:t xml:space="preserve">Primary file: </w:t>
      </w:r>
      <w:r>
        <w:rPr>
          <w:rFonts w:ascii="Arial" w:cs="Arial" w:eastAsia="Arial" w:hAnsi="Arial"/>
          <w:color w:val="0F172A"/>
          <w:sz w:val="22"/>
          <w:szCs w:val="22"/>
        </w:rPr>
        <w:t xml:space="preserve">src/pages/SearchPage.tsx (1477 lines).</w:t>
      </w:r>
    </w:p>
    <w:p>
      <w:pPr>
        <w:spacing w:before="60" w:after="80"/>
      </w:pPr>
      <w:r>
        <w:rPr>
          <w:rFonts w:ascii="Arial" w:cs="Arial" w:eastAsia="Arial" w:hAnsi="Arial"/>
          <w:b/>
          <w:bCs/>
          <w:color w:val="0F172A"/>
          <w:sz w:val="22"/>
          <w:szCs w:val="22"/>
        </w:rPr>
        <w:t xml:space="preserve">Key sub-components: </w:t>
      </w:r>
      <w:r>
        <w:rPr>
          <w:rFonts w:ascii="Arial" w:cs="Arial" w:eastAsia="Arial" w:hAnsi="Arial"/>
          <w:color w:val="0F172A"/>
          <w:sz w:val="22"/>
          <w:szCs w:val="22"/>
        </w:rPr>
        <w:t xml:space="preserve">SnomedModalContent (Big Four axis tabs), CodeLookupContent (ICD with category pills), SnomedAxisContent, UserLookupContent (physician two-field search), LookupModal shell.</w:t>
      </w:r>
    </w:p>
    <w:p>
      <w:pPr>
        <w:pStyle w:val="ListParagraph"/>
        <w:numPr>
          <w:ilvl w:val="0"/>
          <w:numId w:val="2"/>
        </w:numPr>
        <w:spacing w:before="40" w:after="40"/>
      </w:pPr>
      <w:r>
        <w:rPr>
          <w:rFonts w:ascii="Arial" w:cs="Arial" w:eastAsia="Arial" w:hAnsi="Arial"/>
          <w:color w:val="0F172A"/>
          <w:sz w:val="22"/>
          <w:szCs w:val="22"/>
        </w:rPr>
        <w:t xml:space="preserve">FilterState interface holds all filter values. It is the serialisation format for both saved searches and session restore.</w:t>
      </w:r>
    </w:p>
    <w:p>
      <w:pPr>
        <w:pStyle w:val="ListParagraph"/>
        <w:numPr>
          <w:ilvl w:val="0"/>
          <w:numId w:val="2"/>
        </w:numPr>
        <w:spacing w:before="40" w:after="40"/>
      </w:pPr>
      <w:r>
        <w:rPr>
          <w:rFonts w:ascii="Arial" w:cs="Arial" w:eastAsia="Arial" w:hAnsi="Arial"/>
          <w:color w:val="0F172A"/>
          <w:sz w:val="22"/>
          <w:szCs w:val="22"/>
        </w:rPr>
        <w:t xml:space="preserve">Smart identifier detection reads config.identifierFormats.accessionPattern and mrnPattern from SystemConfigContext at runtime.</w:t>
      </w:r>
    </w:p>
    <w:p>
      <w:pPr>
        <w:pStyle w:val="ListParagraph"/>
        <w:numPr>
          <w:ilvl w:val="0"/>
          <w:numId w:val="2"/>
        </w:numPr>
        <w:spacing w:before="40" w:after="40"/>
      </w:pPr>
      <w:r>
        <w:rPr>
          <w:rFonts w:ascii="Arial" w:cs="Arial" w:eastAsia="Arial" w:hAnsi="Arial"/>
          <w:color w:val="0F172A"/>
          <w:sz w:val="22"/>
          <w:szCs w:val="22"/>
        </w:rPr>
        <w:t xml:space="preserve">Detection order: accession regex → MRN regex → name heuristic (space/comma + &gt;60% alpha) → ambiguous (all fields).</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Configuration Module</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All institution-level setup. Tab-based orchestrator at src/pages/ConfigurationPage.tsx.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Tab</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Orchestrator</w:t>
            </w:r>
          </w:p>
        </w:tc>
        <w:tc>
          <w:tcPr>
            <w:tcW w:type="dxa" w:w="5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Sub-sections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src/components/Config/System/index.tsx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LIS Integration, Jurisdiction, Terminology, Identifier Formats, Flags, Specimen Dictionary, Subspecialties, Physicians, Approved Fonts, Keyboard Shortcuts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src/components/Config/Users/index.tsx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Staff list + Role Dictionary (RoleDictionary.tsx)</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Protocols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src/components/Config/Protocols/index.tsx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ActiveProtocolsSection, ReviewQueueSection, AllProtocolsSection</w:t>
            </w:r>
          </w:p>
        </w:tc>
      </w:tr>
    </w:tbl>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Worklist</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Active case management — the primary daily view for pathologists.</w:t>
      </w:r>
    </w:p>
    <w:p>
      <w:pPr>
        <w:spacing w:before="60" w:after="80"/>
      </w:pPr>
      <w:r>
        <w:rPr>
          <w:rFonts w:ascii="Arial" w:cs="Arial" w:eastAsia="Arial" w:hAnsi="Arial"/>
          <w:b/>
          <w:bCs/>
          <w:color w:val="0F172A"/>
          <w:sz w:val="22"/>
          <w:szCs w:val="22"/>
        </w:rPr>
        <w:t xml:space="preserve">Primary file: </w:t>
      </w:r>
      <w:r>
        <w:rPr>
          <w:rFonts w:ascii="Arial" w:cs="Arial" w:eastAsia="Arial" w:hAnsi="Arial"/>
          <w:color w:val="0F172A"/>
          <w:sz w:val="22"/>
          <w:szCs w:val="22"/>
        </w:rPr>
        <w:t xml:space="preserve">src/components/Worklist/WorklistTable.tsx.</w:t>
      </w:r>
    </w:p>
    <w:p>
      <w:pPr>
        <w:spacing w:before="60" w:after="80"/>
      </w:pPr>
      <w:r>
        <w:rPr>
          <w:rFonts w:ascii="Arial" w:cs="Arial" w:eastAsia="Arial" w:hAnsi="Arial"/>
          <w:b/>
          <w:bCs/>
          <w:color w:val="0F172A"/>
          <w:sz w:val="22"/>
          <w:szCs w:val="22"/>
        </w:rPr>
        <w:t xml:space="preserve">Key design: </w:t>
      </w:r>
      <w:r>
        <w:rPr>
          <w:rFonts w:ascii="Arial" w:cs="Arial" w:eastAsia="Arial" w:hAnsi="Arial"/>
          <w:color w:val="0F172A"/>
          <w:sz w:val="22"/>
          <w:szCs w:val="22"/>
        </w:rPr>
        <w:t xml:space="preserve">AI confidence column was removed in the March 2026 refactor. The table renders incrementally in batches of 50 rows. onBeforeNavigate sets the sessionStorage flag that enables Search results restoration on back-navigation.</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Contribution Dashboard</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Per-pathologist contribution metrics — case mix, TAT, AI usage, quality flags.</w:t>
      </w:r>
    </w:p>
    <w:p>
      <w:pPr>
        <w:spacing w:before="60" w:after="80"/>
      </w:pPr>
      <w:r>
        <w:rPr>
          <w:rFonts w:ascii="Arial" w:cs="Arial" w:eastAsia="Arial" w:hAnsi="Arial"/>
          <w:b/>
          <w:bCs/>
          <w:color w:val="0F172A"/>
          <w:sz w:val="22"/>
          <w:szCs w:val="22"/>
        </w:rPr>
        <w:t xml:space="preserve">Primary file: </w:t>
      </w:r>
      <w:r>
        <w:rPr>
          <w:rFonts w:ascii="Arial" w:cs="Arial" w:eastAsia="Arial" w:hAnsi="Arial"/>
          <w:color w:val="0F172A"/>
          <w:sz w:val="22"/>
          <w:szCs w:val="22"/>
        </w:rPr>
        <w:t xml:space="preserve">src/pages/ContributionDashboardPage.tsx.</w:t>
      </w:r>
    </w:p>
    <w:p>
      <w:pPr>
        <w:spacing w:before="60" w:after="80"/>
      </w:pPr>
      <w:r>
        <w:rPr>
          <w:rFonts w:ascii="Arial" w:cs="Arial" w:eastAsia="Arial" w:hAnsi="Arial"/>
          <w:b/>
          <w:bCs/>
          <w:color w:val="0F172A"/>
          <w:sz w:val="22"/>
          <w:szCs w:val="22"/>
        </w:rPr>
        <w:t xml:space="preserve">Sub-components: </w:t>
      </w:r>
      <w:r>
        <w:rPr>
          <w:rFonts w:ascii="Arial" w:cs="Arial" w:eastAsia="Arial" w:hAnsi="Arial"/>
          <w:color w:val="0F172A"/>
          <w:sz w:val="22"/>
          <w:szCs w:val="22"/>
        </w:rPr>
        <w:t xml:space="preserve">src/components/Dashboards/FlagRow.tsx, src/components/Dashboards/CaseMixTile.tsx.</w:t>
      </w:r>
    </w:p>
    <w:p>
      <w:pPr>
        <w:spacing w:before="60" w:after="80"/>
      </w:pPr>
      <w:r>
        <w:rPr>
          <w:rFonts w:ascii="Arial" w:cs="Arial" w:eastAsia="Arial" w:hAnsi="Arial"/>
          <w:b/>
          <w:bCs/>
          <w:color w:val="0F172A"/>
          <w:sz w:val="22"/>
          <w:szCs w:val="22"/>
        </w:rPr>
        <w:t xml:space="preserve">Key design: </w:t>
      </w:r>
      <w:r>
        <w:rPr>
          <w:rFonts w:ascii="Arial" w:cs="Arial" w:eastAsia="Arial" w:hAnsi="Arial"/>
          <w:color w:val="0F172A"/>
          <w:sz w:val="22"/>
          <w:szCs w:val="22"/>
        </w:rPr>
        <w:t xml:space="preserve">All colour values must reference pathScribeTheme tokens — no hard-coded hex. The caseMix colour tokens use the nested dot notation: pathScribeTheme.colors.caseMix.breast (not the old flat caseMixBreast format).</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LIS Integration Layer</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Translates between the external LIS format and PathScribe's internal event model. Inbound: HL7/FHIR case data. Outbound: completed synoptic reports.</w:t>
      </w:r>
    </w:p>
    <w:p>
      <w:pPr>
        <w:spacing w:before="60" w:after="80"/>
      </w:pPr>
      <w:r>
        <w:rPr>
          <w:rFonts w:ascii="Arial" w:cs="Arial" w:eastAsia="Arial" w:hAnsi="Arial"/>
          <w:b/>
          <w:bCs/>
          <w:color w:val="0F172A"/>
          <w:sz w:val="22"/>
          <w:szCs w:val="22"/>
        </w:rPr>
        <w:t xml:space="preserve">Co-Pilot mode only. </w:t>
      </w:r>
      <w:r>
        <w:rPr>
          <w:rFonts w:ascii="Arial" w:cs="Arial" w:eastAsia="Arial" w:hAnsi="Arial"/>
          <w:color w:val="0F172A"/>
          <w:sz w:val="22"/>
          <w:szCs w:val="22"/>
        </w:rPr>
        <w:t xml:space="preserve">Standalone LIS does not use this layer — it owns the data directly.</w:t>
      </w:r>
    </w:p>
    <w:p>
      <w:pPr>
        <w:spacing w:before="60" w:after="80"/>
      </w:pPr>
      <w:r>
        <w:rPr>
          <w:rFonts w:ascii="Arial" w:cs="Arial" w:eastAsia="Arial" w:hAnsi="Arial"/>
          <w:b/>
          <w:bCs/>
          <w:color w:val="0F172A"/>
          <w:sz w:val="22"/>
          <w:szCs w:val="22"/>
        </w:rPr>
        <w:t xml:space="preserve">Core pattern: </w:t>
      </w:r>
      <w:r>
        <w:rPr>
          <w:rFonts w:ascii="Arial" w:cs="Arial" w:eastAsia="Arial" w:hAnsi="Arial"/>
          <w:color w:val="0F172A"/>
          <w:sz w:val="22"/>
          <w:szCs w:val="22"/>
        </w:rPr>
        <w:t xml:space="preserve">Adapter → Normaliser → Internal Event Bus → PathScribe Core → Adapter → LIS.</w:t>
      </w:r>
    </w:p>
    <w:p>
      <w:pPr>
        <w:pStyle w:val="ListParagraph"/>
        <w:numPr>
          <w:ilvl w:val="0"/>
          <w:numId w:val="2"/>
        </w:numPr>
        <w:spacing w:before="40" w:after="40"/>
      </w:pPr>
      <w:r>
        <w:rPr>
          <w:rFonts w:ascii="Arial" w:cs="Arial" w:eastAsia="Arial" w:hAnsi="Arial"/>
          <w:color w:val="0F172A"/>
          <w:sz w:val="22"/>
          <w:szCs w:val="22"/>
        </w:rPr>
        <w:t xml:space="preserve">Adapter isolation: each LIS connector is self-contained. Adding a new LIS = new adapter only, no core changes.</w:t>
      </w:r>
    </w:p>
    <w:p>
      <w:pPr>
        <w:pStyle w:val="ListParagraph"/>
        <w:numPr>
          <w:ilvl w:val="0"/>
          <w:numId w:val="2"/>
        </w:numPr>
        <w:spacing w:before="40" w:after="40"/>
      </w:pPr>
      <w:r>
        <w:rPr>
          <w:rFonts w:ascii="Arial" w:cs="Arial" w:eastAsia="Arial" w:hAnsi="Arial"/>
          <w:color w:val="0F172A"/>
          <w:sz w:val="22"/>
          <w:szCs w:val="22"/>
        </w:rPr>
        <w:t xml:space="preserve">Symmetric format: HL7 in → HL7 synoptic out. FHIR in → FHIR DiagnosticReport out.</w:t>
      </w:r>
    </w:p>
    <w:p>
      <w:pPr>
        <w:pStyle w:val="ListParagraph"/>
        <w:numPr>
          <w:ilvl w:val="0"/>
          <w:numId w:val="2"/>
        </w:numPr>
        <w:spacing w:before="40" w:after="40"/>
      </w:pPr>
      <w:r>
        <w:rPr>
          <w:rFonts w:ascii="Arial" w:cs="Arial" w:eastAsia="Arial" w:hAnsi="Arial"/>
          <w:color w:val="0F172A"/>
          <w:sz w:val="22"/>
          <w:szCs w:val="22"/>
        </w:rPr>
        <w:t xml:space="preserve">Idempotent processing: every event has a stable external_id from the LIS accession + event type. Duplicate delivery is a no-op.</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QC Module</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Quality control, compliance reporting, and peer review monitoring.</w:t>
      </w:r>
    </w:p>
    <w:p>
      <w:pPr>
        <w:spacing w:before="60" w:after="8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Spec complete (🔵). Not yet built. Co-Pilot scope covers: synoptic completeness by pathologist, AI confidence metrics, TAT vs CAP benchmarks, flagged case surface (read-only), and scheduled compliance report export.</w:t>
      </w:r>
    </w:p>
    <w:p>
      <w:pPr>
        <w:spacing w:before="60" w:after="80"/>
      </w:pPr>
      <w:r>
        <w:rPr>
          <w:rFonts w:ascii="Arial" w:cs="Arial" w:eastAsia="Arial" w:hAnsi="Arial"/>
          <w:b/>
          <w:bCs/>
          <w:color w:val="0F172A"/>
          <w:sz w:val="22"/>
          <w:szCs w:val="22"/>
        </w:rPr>
        <w:t xml:space="preserve">Data source: </w:t>
      </w:r>
      <w:r>
        <w:rPr>
          <w:rFonts w:ascii="Arial" w:cs="Arial" w:eastAsia="Arial" w:hAnsi="Arial"/>
          <w:color w:val="0F172A"/>
          <w:sz w:val="22"/>
          <w:szCs w:val="22"/>
        </w:rPr>
        <w:t xml:space="preserve">The QC Module consumes data produced by the Synoptic Library data model (SynopticReport, SynopticVersion, AuditLog). It does not have its own separate data store.</w:t>
      </w:r>
    </w:p>
    <w:p>
      <w:pPr>
        <w:spacing w:before="80" w:after="80"/>
      </w:pPr>
      <w:r>
        <w:t xml:space="preserve"/>
      </w:r>
    </w:p>
    <w:p>
      <w:pPr>
        <w:pStyle w:val="Heading2"/>
        <w:pBdr>
          <w:bottom w:val="single" w:color="E2E8F0" w:sz="4" w:space="1"/>
        </w:pBdr>
        <w:spacing w:before="280" w:after="120"/>
      </w:pPr>
      <w:r>
        <w:rPr>
          <w:rFonts w:ascii="Arial" w:cs="Arial" w:eastAsia="Arial" w:hAnsi="Arial"/>
          <w:b/>
          <w:bCs/>
          <w:color w:val="0891B2"/>
          <w:sz w:val="27"/>
          <w:szCs w:val="27"/>
        </w:rPr>
        <w:t xml:space="preserve">Synoptic Library</w:t>
      </w:r>
    </w:p>
    <w:p>
      <w:pPr>
        <w:spacing w:before="60" w:after="80"/>
      </w:pPr>
      <w:r>
        <w:rPr>
          <w:rFonts w:ascii="Arial" w:cs="Arial" w:eastAsia="Arial" w:hAnsi="Arial"/>
          <w:b/>
          <w:bCs/>
          <w:color w:val="0F172A"/>
          <w:sz w:val="22"/>
          <w:szCs w:val="22"/>
        </w:rPr>
        <w:t xml:space="preserve">What it does: </w:t>
      </w:r>
      <w:r>
        <w:rPr>
          <w:rFonts w:ascii="Arial" w:cs="Arial" w:eastAsia="Arial" w:hAnsi="Arial"/>
          <w:color w:val="0F172A"/>
          <w:sz w:val="22"/>
          <w:szCs w:val="22"/>
        </w:rPr>
        <w:t xml:space="preserve">Stores and manages all synoptic report templates, versions, AI confidence snapshots, and validation rules.</w:t>
      </w:r>
    </w:p>
    <w:p>
      <w:pPr>
        <w:spacing w:before="60" w:after="8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Data model complete (ERD in synoptic_library_erd.mermaid). Build now 🟢.</w:t>
      </w:r>
    </w:p>
    <w:p>
      <w:pPr>
        <w:spacing w:before="60" w:after="80"/>
      </w:pPr>
      <w:r>
        <w:rPr>
          <w:rFonts w:ascii="Arial" w:cs="Arial" w:eastAsia="Arial" w:hAnsi="Arial"/>
          <w:b/>
          <w:bCs/>
          <w:color w:val="0F172A"/>
          <w:sz w:val="22"/>
          <w:szCs w:val="22"/>
        </w:rPr>
        <w:t xml:space="preserve">Key tables: </w:t>
      </w:r>
      <w:r>
        <w:rPr>
          <w:rFonts w:ascii="Arial" w:cs="Arial" w:eastAsia="Arial" w:hAnsi="Arial"/>
          <w:color w:val="0F172A"/>
          <w:sz w:val="22"/>
          <w:szCs w:val="22"/>
        </w:rPr>
        <w:t xml:space="preserve">SYNOPTIC_TEMPLATE, TEMPLATE_SECTION, TEMPLATE_FIELD, TEMPLATE_VALIDATION_RULE, SYNOPTIC_REPORT, SYNOPTIC_VERSION, AI_CONFIDENCE_SNAPSHOT, SYNOPTIC_APPROVAL, AUDIT_LOG.</w:t>
      </w:r>
    </w:p>
    <w:p>
      <w:pPr>
        <w:spacing w:before="80" w:after="80"/>
      </w:pPr>
      <w:r>
        <w:t xml:space="preserve"/>
      </w:r>
    </w:p>
    <w:p>
      <w:pPr>
        <w:pStyle w:val="Heading1"/>
        <w:spacing w:before="400" w:after="160"/>
      </w:pPr>
      <w:r>
        <w:rPr>
          <w:rFonts w:ascii="Arial" w:cs="Arial" w:eastAsia="Arial" w:hAnsi="Arial"/>
          <w:b/>
          <w:bCs/>
          <w:color w:val="0F172A"/>
          <w:sz w:val="34"/>
          <w:szCs w:val="34"/>
        </w:rPr>
        <w:t xml:space="preserve">3. Key Patterns Glossary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Term</w:t>
            </w:r>
          </w:p>
        </w:tc>
        <w:tc>
          <w:tcPr>
            <w:tcW w:type="dxa" w:w="6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it means in PathScribe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Service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 data access via src/services/index.ts aliases. Mock ↔ Firestore switch = one line change per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Mock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Development default. All services use in-memory arrays. No Firestore, no API calls. identifiable by zero network requests on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Hosted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Production terminology mode. Firestore collections seeded by scripts/seedTerminology.ts.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Smart identifier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Single search input that detects accession # vs MRN vs name using configurable regex patterns + name heuristic.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 removable filter tag rendered in the sidebar after a code/specimen/flag/physician is selected. Clicking × removes it from the active filter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Big Four (SNOMED)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four SNOMED CT axes used in pathology: Morphology, Body Structure, Procedure, Specimen. The basis of the four-tab SNOMED browse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FilterState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TypeScript interface containing all Case Search filter values. Used for saved searches (localStorage), session restore (sessionStorage), and the English summary sentence.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Session restore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When navigating back from a case to Search, filters and results are restored from sessionStorage. A fresh navigation always gives a clean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Identifier formats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Institution-configurable regex patterns for accession # and MRN. Set in Configuration → System → Identifier Formats. Read at runtime by the smart identifier 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Physician snapshot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Lightweight physician data embedded directly on a case document at accession time. Case display reads the snapshot — not the live directory — to avoid expensive Firestore joins.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Prewired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 feature with reserved architecture (data model stubs, route stubs, feature flags) but zero implementation logic. Invisible to users. Exists so Phase 2 slots in without rework.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deployment_mode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institution-level configuration flag: co_pilot or standalone_lis. Set at onboarding, immutable by institution admin. All feature gating goes through usePermission which reads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usePermission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single hook for all permission checks. Evaluates role + deployment_mode + module simultaneously. No component should implement its own permission check.</w:t>
            </w:r>
          </w:p>
        </w:tc>
      </w:tr>
    </w:tbl>
    <w:sectPr>
      <w:footerReference w:type="default" r:id="rId6"/>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Module Glossary &amp; Data Entity Reference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891B2"/>
      <w:sz w:val="27"/>
      <w:szCs w:val="27"/>
    </w:rPr>
  </w:style>
  <w:style w:type="paragraph" w:styleId="Heading3">
    <w:name w:val="Heading 3"/>
    <w:basedOn w:val="Normal"/>
    <w:next w:val="Normal"/>
    <w:qFormat/>
    <w:pPr>
      <w:spacing w:before="200" w:after="80"/>
      <w:outlineLvl w:val="2"/>
    </w:pPr>
    <w:rPr>
      <w:rFonts w:ascii="Arial" w:cs="Arial" w:eastAsia="Arial" w:hAnsi="Arial"/>
      <w:b/>
      <w:b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2026-03-09T02:38:30.953Z</dcterms:created>
  <dcterms:modified xsi:type="dcterms:W3CDTF">2026-03-09T02:38:30.953Z</dcterms:modified>
</cp:coreProperties>
</file>

<file path=docProps/custom.xml><?xml version="1.0" encoding="utf-8"?>
<Properties xmlns="http://schemas.openxmlformats.org/officeDocument/2006/custom-properties" xmlns:vt="http://schemas.openxmlformats.org/officeDocument/2006/docPropsVTypes"/>
</file>