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B3A5C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/>
          <w:p>
            <w:pPr>
              <w:spacing w:before="1440" w:after="0"/>
              <w:jc w:val="center"/>
            </w:pPr>
            <w:r>
              <w:rPr>
                <w:rFonts w:ascii="Arial" w:hAnsi="Arial"/>
                <w:b/>
                <w:color w:val="FFFFFF"/>
                <w:sz w:val="72"/>
              </w:rPr>
              <w:t>PathScribe</w:t>
            </w:r>
          </w:p>
          <w:p>
            <w:pPr>
              <w:spacing w:before="160" w:after="0"/>
              <w:jc w:val="center"/>
            </w:pPr>
            <w:r>
              <w:rPr>
                <w:rFonts w:ascii="Arial" w:hAnsi="Arial"/>
                <w:b/>
                <w:color w:val="B8D4E8"/>
                <w:sz w:val="44"/>
              </w:rPr>
              <w:t>Flags &amp; Code Assignment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 w:val="0"/>
                <w:color w:val="B8D4E8"/>
                <w:sz w:val="36"/>
              </w:rPr>
              <w:t>Implementation &amp; Operations Guide</w:t>
            </w:r>
          </w:p>
          <w:p>
            <w:pPr>
              <w:spacing w:before="320" w:after="0"/>
              <w:jc w:val="center"/>
            </w:pPr>
          </w:p>
          <w:p>
            <w:pPr>
              <w:spacing w:before="160" w:after="0"/>
              <w:jc w:val="center"/>
            </w:pPr>
            <w:r>
              <w:rPr>
                <w:rFonts w:ascii="Arial" w:hAnsi="Arial"/>
                <w:b w:val="0"/>
                <w:color w:val="B8D4E8"/>
                <w:sz w:val="26"/>
              </w:rPr>
              <w:t>For PathScribe Implementation and Support Teams — CONFIDENTIAL</w:t>
            </w:r>
          </w:p>
          <w:p>
            <w:pPr>
              <w:spacing w:before="80" w:after="0"/>
              <w:jc w:val="center"/>
            </w:pPr>
            <w:r>
              <w:rPr>
                <w:rFonts w:ascii="Arial" w:hAnsi="Arial"/>
                <w:b w:val="0"/>
                <w:color w:val="7A9AB8"/>
                <w:sz w:val="22"/>
              </w:rPr>
              <w:t>Version 1.0  |  April 2026</w:t>
            </w:r>
          </w:p>
          <w:p>
            <w:pPr>
              <w:spacing w:before="1440" w:after="0"/>
            </w:pPr>
          </w:p>
        </w:tc>
      </w:tr>
    </w:tbl>
    <w:p>
      <w:r>
        <w:br w:type="page"/>
      </w:r>
    </w:p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Pre-Launch Requirements Checklist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single" w:sz="4" w:color="F59E0B"/>
              <w:left w:val="single" w:sz="4" w:color="F59E0B"/>
              <w:bottom w:val="single" w:sz="4" w:color="F59E0B"/>
              <w:right w:val="single" w:sz="4" w:color="F59E0B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/>
          <w:p>
            <w:r>
              <w:rPr>
                <w:rFonts w:ascii="Arial" w:hAnsi="Arial"/>
                <w:b/>
                <w:color w:val="F59E0B"/>
                <w:sz w:val="20"/>
              </w:rPr>
              <w:t>⚠️  Important</w:t>
            </w:r>
          </w:p>
          <w:p>
            <w:r>
              <w:rPr>
                <w:rFonts w:ascii="Arial" w:hAnsi="Arial"/>
                <w:color w:val="0F172A"/>
                <w:sz w:val="20"/>
              </w:rPr>
              <w:t>All items must be completed before a customer goes live. Do not grant production access until every item is verified.</w:t>
            </w:r>
          </w:p>
        </w:tc>
      </w:tr>
    </w:tbl>
    <w:p/>
    <w:p>
      <w:pPr>
        <w:spacing w:before="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3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748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15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5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748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Anthropic API key in backend secrets manager (never in VITE_ env vars)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Eng</w:t>
            </w:r>
          </w:p>
        </w:tc>
      </w:tr>
      <w:tr>
        <w:tc>
          <w:tcPr>
            <w:tcW w:type="dxa" w:w="4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748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BAA signed with Anthropic before any real PHI is processed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Legal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748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Anthropic training data opt-out confirmed for API account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Eng</w:t>
            </w:r>
          </w:p>
        </w:tc>
      </w:tr>
      <w:tr>
        <w:tc>
          <w:tcPr>
            <w:tcW w:type="dxa" w:w="4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748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Production backend proxy built for AI calls — Vite proxy is dev only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748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AMA CPT data license procured (~$3–10k/year)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Legal</w:t>
            </w:r>
          </w:p>
        </w:tc>
      </w:tr>
      <w:tr>
        <w:tc>
          <w:tcPr>
            <w:tcW w:type="dxa" w:w="4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748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CPT backend proxy endpoint built at /api/terminology/cpt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748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UMLS license obtained for full SNOMED CT (NLM Conditions API used in dev only)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Legal</w:t>
            </w:r>
          </w:p>
        </w:tc>
      </w:tr>
      <w:tr>
        <w:tc>
          <w:tcPr>
            <w:tcW w:type="dxa" w:w="4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748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SNOMED CT production endpoint configured via UMLS API with backend key injection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748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Non-US ICD-10 variant proxy configured if customer uses RCPath, RCPA, or ICCR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Eng</w:t>
            </w:r>
          </w:p>
        </w:tc>
      </w:tr>
      <w:tr>
        <w:tc>
          <w:tcPr>
            <w:tcW w:type="dxa" w:w="4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748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Firestore encryption at rest confirmed enabled in GCP project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Eng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748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Flag definitions seeded for customer jurisdiction and lab type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Impl</w:t>
            </w:r>
          </w:p>
        </w:tc>
      </w:tr>
      <w:tr>
        <w:tc>
          <w:tcPr>
            <w:tcW w:type="dxa" w:w="4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748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Governing body configured for customer region (CAP/RCPath/RCPA/ICCR)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Impl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748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AI provider set to Claude Sonnet 4 (recommended)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Impl</w:t>
            </w:r>
          </w:p>
        </w:tc>
      </w:tr>
      <w:tr>
        <w:tc>
          <w:tcPr>
            <w:tcW w:type="dxa" w:w="43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748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Terminology Services health check passing (Configuration → System → Terminology Services)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Impl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748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Penetration test completed by external vendor before go-live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[ ]</w:t>
            </w:r>
          </w:p>
        </w:tc>
        <w:tc>
          <w:tcPr>
            <w:tcW w:type="dxa" w:w="115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Security</w:t>
            </w:r>
          </w:p>
        </w:tc>
      </w:tr>
    </w:tbl>
    <w:p/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System Architecture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Flags Storage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Flags are stored in Firestore as an array on the Case document. Each flag record contains: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definitionId — references a FlagDefinition in the org configuration collection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specimenId — null for case-level, specimen ID string for specimen-level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appliedAt — ISO timestamp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appliedBy — user ID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Flag definitions are configured in Configuration → System → Flags, stored per-organisation with name, description, LIS code, severity (1–5), and case/specimen level.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Codes Storage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Codes are stored as a MedicalCode array on the Case document (caseData.codes). Each entry contains: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id — unique identifier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system — SNOMED | ICD10 | ICD11 | ICDO | LOINC | CPT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code — the terminology code string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display — human-readable label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source — synoptic | narrative-ai | synoptic-ai | manual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specimenId — null for case-level, specimen.id string for specimen-level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confidence — 0–100 (AI-assigned codes only)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verification — unverified | verified | disputed (AI codes only)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rvu — Relative Value Units (CPT codes only)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tier — 1 (synoptic) | 2 (narrative AI) | 3 (synoptic AI) | 4 (manual)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AI Code Generation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The AI Suggest Codes feature calls the Anthropic API via a backend proxy. In development, the Vite dev proxy (vite.config.ts) handles this. In production, all calls must route through your backend server which: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Authenticates the requesting user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Injects the Anthropic API key server-side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Logs the request for audit trail (without logging PHI content)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Returns the JSON code array to the browser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0F2FE"/>
            <w:tcBorders>
              <w:top w:val="single" w:sz="4" w:color="0891B2"/>
              <w:left w:val="single" w:sz="4" w:color="0891B2"/>
              <w:bottom w:val="single" w:sz="4" w:color="0891B2"/>
              <w:right w:val="single" w:sz="4" w:color="0891B2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/>
          <w:p>
            <w:r>
              <w:rPr>
                <w:rFonts w:ascii="Arial" w:hAnsi="Arial"/>
                <w:b/>
                <w:color w:val="0891B2"/>
                <w:sz w:val="20"/>
              </w:rPr>
              <w:t>📋  Note</w:t>
            </w:r>
          </w:p>
          <w:p>
            <w:r>
              <w:rPr>
                <w:rFonts w:ascii="Arial" w:hAnsi="Arial"/>
                <w:color w:val="0F172A"/>
                <w:sz w:val="20"/>
              </w:rPr>
              <w:t>The prompt sent to Claude includes full case text (gross, microscopic, ancillary, synoptic answers). PHI de-identification must be implemented before go-live with real patient data.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Terminology Service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316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Dev Endpoint</w:t>
            </w:r>
          </w:p>
        </w:tc>
        <w:tc>
          <w:tcPr>
            <w:tcW w:type="dxa" w:w="3168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Prod Requirement</w:t>
            </w:r>
          </w:p>
        </w:tc>
        <w:tc>
          <w:tcPr>
            <w:tcW w:type="dxa" w:w="288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License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SNOMED CT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NLM Conditions API (subset)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UMLS API with backend key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UMLS Metathesaurus</w:t>
            </w:r>
          </w:p>
        </w:tc>
      </w:tr>
      <w:tr>
        <w:tc>
          <w:tcPr>
            <w:tcW w:type="dxa" w:w="158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ICD-10-CM</w:t>
            </w:r>
          </w:p>
        </w:tc>
        <w:tc>
          <w:tcPr>
            <w:tcW w:type="dxa" w:w="31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NLM clinicaltables.nlm.nih.gov</w:t>
            </w:r>
          </w:p>
        </w:tc>
        <w:tc>
          <w:tcPr>
            <w:tcW w:type="dxa" w:w="31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Same (free)</w:t>
            </w:r>
          </w:p>
        </w:tc>
        <w:tc>
          <w:tcPr>
            <w:tcW w:type="dxa" w:w="288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ICD-11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NLM clinicaltables.nlm.nih.gov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Same (free)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158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LOINC</w:t>
            </w:r>
          </w:p>
        </w:tc>
        <w:tc>
          <w:tcPr>
            <w:tcW w:type="dxa" w:w="31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NLM clinicaltables.nlm.nih.gov</w:t>
            </w:r>
          </w:p>
        </w:tc>
        <w:tc>
          <w:tcPr>
            <w:tcW w:type="dxa" w:w="31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Same (free)</w:t>
            </w:r>
          </w:p>
        </w:tc>
        <w:tc>
          <w:tcPr>
            <w:tcW w:type="dxa" w:w="288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ICD-O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NLM Conditions API (SNOMED subset)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Dedicated ICD-O backend endpoint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1584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CPT</w:t>
            </w:r>
          </w:p>
        </w:tc>
        <w:tc>
          <w:tcPr>
            <w:tcW w:type="dxa" w:w="31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Placeholder — not available</w:t>
            </w:r>
          </w:p>
        </w:tc>
        <w:tc>
          <w:tcPr>
            <w:tcW w:type="dxa" w:w="3168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AMA-licensed backend proxy</w:t>
            </w:r>
          </w:p>
        </w:tc>
        <w:tc>
          <w:tcPr>
            <w:tcW w:type="dxa" w:w="288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AMA CPT License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Governing Body → ICD-10 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Governing Body</w:t>
            </w:r>
          </w:p>
        </w:tc>
        <w:tc>
          <w:tcPr>
            <w:tcW w:type="dxa" w:w="259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2592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ICD-10 Variant</w:t>
            </w:r>
          </w:p>
        </w:tc>
        <w:tc>
          <w:tcPr>
            <w:tcW w:type="dxa" w:w="3456"/>
            <w:shd w:val="clear" w:color="auto" w:fill="1B3A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Proxy Required?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CAP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United States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ICD-10-CM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No — NLM direct (free)</w:t>
            </w:r>
          </w:p>
        </w:tc>
      </w:tr>
      <w:tr>
        <w:tc>
          <w:tcPr>
            <w:tcW w:type="dxa" w:w="216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RCPath</w:t>
            </w:r>
          </w:p>
        </w:tc>
        <w:tc>
          <w:tcPr>
            <w:tcW w:type="dxa" w:w="259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United Kingdom</w:t>
            </w:r>
          </w:p>
        </w:tc>
        <w:tc>
          <w:tcPr>
            <w:tcW w:type="dxa" w:w="259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ICD-10 WHO</w:t>
            </w:r>
          </w:p>
        </w:tc>
        <w:tc>
          <w:tcPr>
            <w:tcW w:type="dxa" w:w="345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ICCR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International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ICD-10 WHO</w:t>
            </w:r>
          </w:p>
        </w:tc>
        <w:tc>
          <w:tcPr>
            <w:tcW w:type="dxa" w:w="345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  <w:tr>
        <w:tc>
          <w:tcPr>
            <w:tcW w:type="dxa" w:w="2160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RCPA</w:t>
            </w:r>
          </w:p>
        </w:tc>
        <w:tc>
          <w:tcPr>
            <w:tcW w:type="dxa" w:w="259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Australia / NZ</w:t>
            </w:r>
          </w:p>
        </w:tc>
        <w:tc>
          <w:tcPr>
            <w:tcW w:type="dxa" w:w="2592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ICD-10-AM</w:t>
            </w:r>
          </w:p>
        </w:tc>
        <w:tc>
          <w:tcPr>
            <w:tcW w:type="dxa" w:w="345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sz w:val="18"/>
              </w:rPr>
              <w:t>Yes</w:t>
            </w:r>
          </w:p>
        </w:tc>
      </w:tr>
    </w:tbl>
    <w:p/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Customer Setup — Step by Step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Step 1 — Configure Governing Body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Navigate to Configuration → System → Governing Bodies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Enable the appropriate governing body for the customer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Enable Auto-Sync for nightly protocol sync if required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Save Changes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single" w:sz="4" w:color="F59E0B"/>
              <w:left w:val="single" w:sz="4" w:color="F59E0B"/>
              <w:bottom w:val="single" w:sz="4" w:color="F59E0B"/>
              <w:right w:val="single" w:sz="4" w:color="F59E0B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/>
          <w:p>
            <w:r>
              <w:rPr>
                <w:rFonts w:ascii="Arial" w:hAnsi="Arial"/>
                <w:b/>
                <w:color w:val="F59E0B"/>
                <w:sz w:val="20"/>
              </w:rPr>
              <w:t>⚠️  Important</w:t>
            </w:r>
          </w:p>
          <w:p>
            <w:r>
              <w:rPr>
                <w:rFonts w:ascii="Arial" w:hAnsi="Arial"/>
                <w:color w:val="0F172A"/>
                <w:sz w:val="20"/>
              </w:rPr>
              <w:t>The governing body drives which ICD-10 variant is used. Set this correctly before the customer begins coding cases.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Step 2 — Configure AI Provider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Navigate to Configuration → AI Behavior → Models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Set Provider to Anthropic (Claude)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Set Model to Claude Sonnet 4 (recommended)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Verify Connection OK is displayed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Save Org Config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Step 3 — Verify Terminology Services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Navigate to Configuration → System → Terminology Services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Click ↻ Test All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Verify ICD-10-CM, ICD-11, LOINC, and ICD-O show Live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SNOMED CT may show Degraded in dev (expected — NLM Conditions API subset)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CPT always shows License Required until AMA proxy is built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Step 4 — Seed Flag Definitions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Navigate to Configuration → System → Flags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Add case-level and specimen-level flag definitions for the customer lab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Set severity levels (1–5) for each flag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Assign LIS codes for downstream LIS integration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Verify flags appear correctly in the Flag Manager on a test case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Step 5 — End-to-End Validation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Open a test case with gross, microscopic, and ancillary text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Open Code Manager — verify AI suggestions appear within 10 seconds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Apply codes to specific specimens, save, reload, verify persistence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Open Flag Manager — apply a flag to a specimen, save, reload and verify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Move a code between specimens using drag-and-drop and context menu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Move a flag between specimens using drag-and-drop and context menu</w:t>
      </w:r>
    </w:p>
    <w:p>
      <w:pPr>
        <w:pStyle w:val="ListNumber"/>
        <w:spacing w:before="40" w:after="40"/>
        <w:ind w:left="360"/>
      </w:pPr>
      <w:r>
        <w:rPr>
          <w:rFonts w:ascii="Arial" w:hAnsi="Arial"/>
          <w:sz w:val="22"/>
        </w:rPr>
        <w:t>Navigate away from the case and back — verify all changes persist</w:t>
      </w:r>
    </w:p>
    <w:p>
      <w:pPr>
        <w:spacing w:before="360" w:after="120"/>
        <w:pBdr>
          <w:bottom w:val="single" w:sz="6" w:color="0891B2" w:space="1"/>
        </w:pBdr>
      </w:pPr>
      <w:r>
        <w:rPr>
          <w:rFonts w:ascii="Arial" w:hAnsi="Arial"/>
          <w:b/>
          <w:color w:val="1B3A5C"/>
          <w:sz w:val="36"/>
        </w:rPr>
        <w:t>Security &amp; Compliance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PHI Handling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BAA with Anthropic required before any real patient data is processed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De-identification required on case text before sending to AI prompt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API keys must never appear in VITE_ environment variables in production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All AI calls must be proxied through your backend, never direct from browser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API Data Retention (Anthropic)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API input/output logs retained 7 days by default (not used for training)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Zero Data Retention agreements available for enterprise customers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Firestore data retention governed by your GCP configuration</w:t>
      </w:r>
    </w:p>
    <w:p>
      <w:pPr>
        <w:spacing w:before="280" w:after="80"/>
      </w:pPr>
      <w:r>
        <w:rPr>
          <w:rFonts w:ascii="Arial" w:hAnsi="Arial"/>
          <w:b/>
          <w:color w:val="0891B2"/>
          <w:sz w:val="28"/>
        </w:rPr>
        <w:t>Audit Logging</w:t>
      </w:r>
    </w:p>
    <w:p>
      <w:pPr>
        <w:spacing w:before="60" w:after="60"/>
      </w:pPr>
      <w:r>
        <w:rPr>
          <w:rFonts w:ascii="Arial" w:hAnsi="Arial"/>
          <w:b w:val="0"/>
          <w:sz w:val="22"/>
        </w:rPr>
        <w:t>Implement audit logging at the mockCaseService.updateCase call point in production. Capture: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User ID and timestamp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Case ID and specimen ID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Codes added, removed, or moved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Flags applied or removed</w:t>
      </w:r>
    </w:p>
    <w:p>
      <w:pPr>
        <w:pStyle w:val="ListBullet"/>
        <w:spacing w:before="40" w:after="40"/>
        <w:ind w:left="360"/>
      </w:pPr>
      <w:r>
        <w:rPr>
          <w:rFonts w:ascii="Arial" w:hAnsi="Arial"/>
          <w:sz w:val="22"/>
        </w:rPr>
        <w:t>Whether the change was AI-suggested or manual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