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2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0891B2"/>
          <w:sz w:val="64"/>
          <w:szCs w:val="64"/>
        </w:rPr>
        <w:t xml:space="preserve">PathScribe AI CoPilot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334155"/>
          <w:sz w:val="40"/>
          <w:szCs w:val="40"/>
        </w:rPr>
        <w:t xml:space="preserve">Internal Team Guide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For PathScribe Developers, QA, and Product  ·  April 2026</w:t>
      </w:r>
    </w:p>
    <w:p>
      <w:r>
        <w:br w:type="page"/>
      </w:r>
    </w:p>
    <w:p>
      <w:pPr>
        <w:pStyle w:val="Heading1"/>
        <w:pBdr>
          <w:bottom w:val="single" w:color="0891B2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0891B2"/>
          <w:sz w:val="36"/>
          <w:szCs w:val="36"/>
        </w:rPr>
        <w:t xml:space="preserve">1. Development Environment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1.1 Mock Data System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All data during development is stored in localStorage under the prefix pathscribe_mock_. The MOCK_VERSION constant in mockCaseService.ts controls cache invalidation — increment it when adding or changing mock case field data.</w:t>
      </w:r>
    </w:p>
    <w:p>
      <w:pPr>
        <w:spacing w:after="0" w:before="120"/>
      </w:pPr>
      <w:r>
        <w:t xml:space="preserve"/>
      </w:r>
    </w:p>
    <w:p>
      <w:pPr>
        <w:pBdr>
          <w:left w:val="single" w:color="F59E0B" w:sz="12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⚠ Current MOCK_VERSION is "6". Increment whenever MOCK_CASES structure changes, field IDs are corrected, or new seed data is added.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12 fully seeded cases across 5 CAP templates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3 pool cases (2 GI, 1 Derm STAT) ready for pool workflow testing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All field IDs verified against real CAP JSON template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All aiSuggestions source strings verified against actual case text for highlight accuracy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1.2 AI Integration Architecture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callAi() in aiProviderService.ts is the single entry point for all AI calls. In dev mode, requests route through the Vite proxy at /api/ai/anthropic, which injects the API key server-side. This avoids CORS errors.</w:t>
      </w:r>
    </w:p>
    <w:p>
      <w:pPr>
        <w:spacing w:after="0" w:before="120"/>
      </w:pPr>
      <w:r>
        <w:t xml:space="preserve"/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The provider configuration is layered: org config → user override → env var fallback. During development VITE_AI_DEV_MODE=true enables direct API calls through the proxy.</w:t>
      </w:r>
    </w:p>
    <w:p>
      <w:pPr>
        <w:spacing w:after="0" w:before="120"/>
      </w:pPr>
      <w:r>
        <w:t xml:space="preserve"/>
      </w:r>
    </w:p>
    <w:p>
      <w:pPr>
        <w:pBdr>
          <w:left w:val="single" w:color="EF4444" w:sz="12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⛔ Never commit .env or API keys. The .gitignore must include .env. Verify with: git status | grep .env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1.3 Template Field ID Alignment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 critical lesson from development: mock aiSuggestions keys must exactly match the field IDs in the CAP JSON template files. Mismatches cause silent failures — the suggestion is in memory but no badge renders.</w:t>
      </w:r>
    </w:p>
    <w:p>
      <w:pPr>
        <w:spacing w:after="0" w:before="120"/>
      </w:pPr>
      <w:r>
        <w:t xml:space="preserve"/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To verify alignment: open DevTools console and check "aiSug count" log output. If count matches localStorage but fewer badges render, field IDs are mismatched. Cross-reference against src/data/templates/*.json.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1.4 Z-Index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Layer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Z-Index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Page content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SynopticReportPage main content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Page modals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1000–10001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Missing fields, AiReviewModal, PoolAcceptModal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Messages backdrop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19999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AppShell overlay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Messages drawer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20000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ps-msg-drawer in pathscribe.css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0891B2" w:sz="12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ℹ Adding new modals in SynopticReportPage: use z-index ≤ 10001 so the messages drawer remains accessible.</w:t>
      </w:r>
    </w:p>
    <w:p>
      <w:r>
        <w:br w:type="page"/>
      </w:r>
    </w:p>
    <w:p>
      <w:pPr>
        <w:pStyle w:val="Heading1"/>
        <w:pBdr>
          <w:bottom w:val="single" w:color="0891B2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0891B2"/>
          <w:sz w:val="36"/>
          <w:szCs w:val="36"/>
        </w:rPr>
        <w:t xml:space="preserve">2. Feature Architecture Decisions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2.1 RightSynopticPanel forwardRef Handle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RightSynopticPanel exposes three methods via useImperativeHandle: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validateRequired() — returns missing required fields, blocks finalization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getUncertainRequiredFields(threshold?) — returns low-confidence unverified fields for triage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sweepAndGetFinalState() — auto-confirms unverified suggestions, returns audit summary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setFieldVerification(fieldId, v) — called by AiReviewModal to update field verification</w:t>
      </w:r>
    </w:p>
    <w:p>
      <w:pPr>
        <w:spacing w:after="0" w:before="120"/>
      </w:pPr>
      <w:r>
        <w:t xml:space="preserve"/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SynopticReportPage holds a ref (synopticPanelRef) and calls these at finalization. This keeps all field state inside RightSynopticPanel while giving the parent page lifecycle control.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2.2 Confidence Threshold Flow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The confidence threshold from AI Behavior config flows through three places: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SectionFields — fields below threshold have aiSuggestion set to undefined (no badge rendered)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getUncertainRequiredFields — uses threshold to determine which fields need triage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sweepAndGetFinalState — high-confidence fields auto-confirm; only uncertain ones need triage</w:t>
      </w:r>
    </w:p>
    <w:p>
      <w:pPr>
        <w:spacing w:after="0" w:before="120"/>
      </w:pPr>
      <w:r>
        <w:t xml:space="preserve"/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The threshold is loaded from aiBehaviorService on panel mount. Changing it in Configuration → AI Behavior takes effect on the next panel load.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2.3 Pool Claim Race Condition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The claim system uses localStorage with a 30-second TTL. In production this must be replaced with a backend atomic write (e.g. a database transaction with optimistic locking). The mock implementation is sufficient for single-user testing but will not protect against races in a real multi-user environment.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2.4 Delegation Two-Step UI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DelegateModal uses a two-step flow: type selection first, recipient second. This is intentional — it forces the pathologist to explicitly declare intent before choosing a recipient, which is important for audit trail quality. The delegation type context (e.g. "Second Opinion") is shown in the header badge on step 2 as a reminder.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2.5 Deferred Synoptic vs Amendment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The distinction is case status at the time the deferred synoptic is completed: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Case in-progress + deferred synoptic completed → normal finalization, part of primary report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Case finalized + deferred synoptic completed → Amendment modal auto-opens, pre-populated with context</w:t>
      </w:r>
    </w:p>
    <w:p>
      <w:pPr>
        <w:spacing w:after="0" w:before="120"/>
      </w:pPr>
      <w:r>
        <w:t xml:space="preserve"/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The Amendment modal text is pre-filled but the pathologist must actively review and submit. There is no automatic amendment generation.</w:t>
      </w:r>
    </w:p>
    <w:p>
      <w:r>
        <w:br w:type="page"/>
      </w:r>
    </w:p>
    <w:p>
      <w:pPr>
        <w:pStyle w:val="Heading1"/>
        <w:pBdr>
          <w:bottom w:val="single" w:color="0891B2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0891B2"/>
          <w:sz w:val="36"/>
          <w:szCs w:val="36"/>
        </w:rPr>
        <w:t xml:space="preserve">3. Voice System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3.1 Action Registry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Voice actions are registered in mockActionRegistryService.ts in MOCK_ACTIONS. Each action has: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id — stable dispatch token (e.g. NEXT_UNANSWERED)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category — must match VOICE_CONTEXT for context-aware filtering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voiceTriggers — minimum two words to prevent mid-sentence false fires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shortcut — keyboard equivalent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internalKey — F-key code for keyboard dispatch</w:t>
      </w:r>
    </w:p>
    <w:p>
      <w:pPr>
        <w:spacing w:after="0" w:before="120"/>
      </w:pPr>
      <w:r>
        <w:t xml:space="preserve"/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CUSTOM_EVENT_ACTIONS lists actions that dispatch as PATHSCRIBE_{ACTION_ID} DOM events rather than keyboard events. New UI actions that target React state should go here.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3.2 New Actions Added This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Action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Shortcut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Voice Triggers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AI_REVIEW_CONFIRM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Space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"confirm field", "accept field", "agree"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AI_REVIEW_OVERRIDE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"override", "incorrect", "ai is wrong"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AI_REVIEW_SKIP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"skip field", "move on"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AI_REVIEW_CANCEL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Esc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"cancel review", "exit review"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POOL_ACCEPT_CASE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Alt+A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"accept case", "take this case"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POOL_PASS_CASE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Alt+P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"pass case", "return to pool"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NEXT_UNANSWERED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Alt+U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"next unanswered", "next blank"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NEXT_REQUIRED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Alt+R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"next required field", "show required"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891B2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0891B2"/>
          <w:sz w:val="36"/>
          <w:szCs w:val="36"/>
        </w:rPr>
        <w:t xml:space="preserve">4. Coding Standards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4.1 Mock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No inline data in UI components — all mock data goes in mock*Service.ts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All field IDs must match the corresponding CAP JSON template exactly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Source strings in aiSuggestions must match actual report text for highlight accuracy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Bump MOCK_VERSION when changing MOCK_CASES to force localStorage re-seed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4.2 AI Calls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All AI calls go through callAi() in aiProviderService.ts — never fetch Anthropic API directly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Always include a system prompt that requests JSON-only output when structured data is needed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Always strip ```json fences from AI responses before JSON.parse()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Wrap all AI calls in try/catch — never let a failed AI call break the UI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4.3 CSS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No inline styles in new components — use pathscribe.css classes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Exception: dynamic values (colours from props, calculated dimensions) may use inline styles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No Tailwind — it is not configured in this project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New modal z-indexes must be ≤ 10001 to stay below the messages drawer at 20000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4.4 TypeScript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CaseStatus type in src/types/case/CaseStatus.ts is the single source of truth — never use string literals for case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DelegationType definitions in src/constants/delegationTypes.ts — never hardcode delegation type IDs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SynopticReportInstance fields for assignment and deferred status are all optional — code defensively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Step %1:"/>
      <w:lvlJc w:val="left"/>
      <w:pPr>
        <w:ind w:left="900" w:hanging="540"/>
      </w:pPr>
      <w:rPr>
        <w:b/>
        <w:bCs/>
        <w:color w:val="0891B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891B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6474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2026-04-07T14:57:35.680Z</dcterms:created>
  <dcterms:modified xsi:type="dcterms:W3CDTF">2026-04-07T14:57:35.680Z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