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60"/>
      </w:pPr>
      <w:r>
        <w:rPr>
          <w:rFonts w:ascii="Arial" w:cs="Arial" w:eastAsia="Arial" w:hAnsi="Arial"/>
          <w:b/>
          <w:bCs/>
          <w:color w:val="0891B2"/>
          <w:sz w:val="52"/>
          <w:szCs w:val="52"/>
        </w:rPr>
        <w:t xml:space="preserve">PathScribe AI</w:t>
      </w:r>
    </w:p>
    <w:p>
      <w:pPr>
        <w:spacing w:before="0" w:after="60"/>
      </w:pPr>
      <w:r>
        <w:rPr>
          <w:rFonts w:ascii="Arial" w:cs="Arial" w:eastAsia="Arial" w:hAnsi="Arial"/>
          <w:b/>
          <w:bCs/>
          <w:color w:val="0F172A"/>
          <w:sz w:val="44"/>
          <w:szCs w:val="44"/>
        </w:rPr>
        <w:t xml:space="preserve">System Administration Guide</w:t>
      </w:r>
    </w:p>
    <w:p>
      <w:pPr>
        <w:spacing w:before="0" w:after="80"/>
      </w:pPr>
      <w:r>
        <w:rPr>
          <w:rFonts w:ascii="Arial" w:cs="Arial" w:eastAsia="Arial" w:hAnsi="Arial"/>
          <w:color w:val="64748B"/>
          <w:sz w:val="24"/>
          <w:szCs w:val="24"/>
        </w:rPr>
        <w:t xml:space="preserve">Configuration, user management, and system setup for PathScribe AI</w:t>
      </w:r>
    </w:p>
    <w:p>
      <w:pPr>
        <w:shd w:fill="0F172A" w:val="clear"/>
        <w:spacing w:before="0" w:after="0"/>
      </w:pPr>
      <w:r>
        <w:rPr>
          <w:rFonts w:ascii="Arial" w:cs="Arial" w:eastAsia="Arial" w:hAnsi="Arial"/>
          <w:b/>
          <w:bCs/>
          <w:color w:val="FFFFFF"/>
          <w:sz w:val="20"/>
          <w:szCs w:val="20"/>
        </w:rPr>
        <w:t xml:space="preserve">  ADMINISTRATOR GUIDE  •  v1.0  •  March 2026  </w:t>
      </w:r>
    </w:p>
    <w:p>
      <w:pPr>
        <w:pBdr>
          <w:bottom w:val="single" w:color="0891B2" w:sz="10" w:space="1"/>
        </w:pBdr>
        <w:spacing w:before="0" w:after="400"/>
      </w:pPr>
      <w:r>
        <w:t xml:space="preserve"/>
      </w:r>
    </w:p>
    <w:p>
      <w:pPr>
        <w:pStyle w:val="Heading1"/>
        <w:spacing w:before="400" w:after="160"/>
      </w:pPr>
      <w:r>
        <w:rPr>
          <w:rFonts w:ascii="Arial" w:cs="Arial" w:eastAsia="Arial" w:hAnsi="Arial"/>
          <w:b/>
          <w:bCs/>
          <w:color w:val="0F172A"/>
          <w:sz w:val="34"/>
          <w:szCs w:val="34"/>
        </w:rPr>
        <w:t xml:space="preserve">1. Overview</w:t>
      </w:r>
    </w:p>
    <w:p>
      <w:pPr>
        <w:spacing w:before="60" w:after="80"/>
      </w:pPr>
      <w:r>
        <w:rPr>
          <w:rFonts w:ascii="Arial" w:cs="Arial" w:eastAsia="Arial" w:hAnsi="Arial"/>
          <w:color w:val="0F172A"/>
          <w:sz w:val="22"/>
          <w:szCs w:val="22"/>
        </w:rPr>
        <w:t xml:space="preserve">This guide covers everything a PathScribe administrator needs to set up and maintain the system. Administrators access Configuration from the Home screen. Configuration is divided into four tabs: System, Staff, Protocols, and (in Standalone LIS mode) LIS Integration.</w:t>
      </w:r>
    </w:p>
    <w:p>
      <w:pPr>
        <w:spacing w:before="60" w:after="80"/>
      </w:pPr>
      <w:r>
        <w:rPr>
          <w:rFonts w:ascii="Arial" w:cs="Arial" w:eastAsia="Arial" w:hAnsi="Arial"/>
          <w:color w:val="0F172A"/>
          <w:sz w:val="22"/>
          <w:szCs w:val="22"/>
        </w:rPr>
        <w:t xml:space="preserve">Administrators have no access to clinical case data — this is by design. The Admin role provides configuration access only. A user who needs both clinical and admin access holds both the Pathologist and Admin roles simultaneously.</w:t>
      </w:r>
    </w:p>
    <w:p>
      <w:pPr>
        <w:spacing w:before="80" w:after="80"/>
      </w:pPr>
      <w:r>
        <w:t xml:space="preserve"/>
      </w:r>
    </w:p>
    <w:p>
      <w:pPr>
        <w:pStyle w:val="Heading1"/>
        <w:spacing w:before="400" w:after="160"/>
      </w:pPr>
      <w:r>
        <w:rPr>
          <w:rFonts w:ascii="Arial" w:cs="Arial" w:eastAsia="Arial" w:hAnsi="Arial"/>
          <w:b/>
          <w:bCs/>
          <w:color w:val="0F172A"/>
          <w:sz w:val="34"/>
          <w:szCs w:val="34"/>
        </w:rPr>
        <w:t xml:space="preserve">2. People: Staff vs Physicians</w:t>
      </w:r>
    </w:p>
    <w:p>
      <w:pPr>
        <w:spacing w:before="60" w:after="80"/>
      </w:pPr>
      <w:r>
        <w:rPr>
          <w:rFonts w:ascii="Arial" w:cs="Arial" w:eastAsia="Arial" w:hAnsi="Arial"/>
          <w:color w:val="0F172A"/>
          <w:sz w:val="22"/>
          <w:szCs w:val="22"/>
        </w:rPr>
        <w:t xml:space="preserve">PathScribe distinguishes two categories of people. Understanding this distinction is essential before setting up any users.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60"/>
        <w:gridCol w:w="3000"/>
      </w:tblGrid>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Category</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Who they are</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Do they log in?</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Where they are managed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Staff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Internal users — Pathologists, Residents, Admins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Yes — they have login credentials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Configuration → Staff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Physicians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External ordering / referring doctors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Never — directory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Configuration → System → Physicians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891B2" w:sz="16"/>
              <w:bottom w:val="single" w:color="CCCCCC" w:sz="1"/>
              <w:right w:val="single" w:color="CCCCCC" w:sz="1"/>
            </w:tcBorders>
            <w:shd w:fill="E0F2FE" w:val="clear"/>
            <w:tcMar>
              <w:top w:type="dxa" w:w="80"/>
              <w:left w:type="dxa" w:w="120"/>
              <w:bottom w:type="dxa" w:w="80"/>
              <w:right w:type="dxa" w:w="120"/>
            </w:tcMar>
          </w:tcPr>
          <w:p>
            <w:pPr>
              <w:spacing w:before="0" w:after="40"/>
            </w:pPr>
            <w:r>
              <w:rPr>
                <w:rFonts w:ascii="Arial" w:cs="Arial" w:eastAsia="Arial" w:hAnsi="Arial"/>
                <w:b/>
                <w:bCs/>
                <w:color w:val="0891B2"/>
                <w:sz w:val="20"/>
                <w:szCs w:val="20"/>
              </w:rPr>
              <w:t xml:space="preserve">Why physicians are separate</w:t>
            </w:r>
          </w:p>
          <w:p>
            <w:pPr>
              <w:spacing w:before="0" w:after="0"/>
            </w:pPr>
            <w:r>
              <w:rPr>
                <w:rFonts w:ascii="Arial" w:cs="Arial" w:eastAsia="Arial" w:hAnsi="Arial"/>
                <w:color w:val="334155"/>
                <w:sz w:val="20"/>
                <w:szCs w:val="20"/>
              </w:rPr>
              <w:t xml:space="preserve">Physicians appear on reports and drive result routing (fax/email). They are not system users and do not hold any permissions. Mixing them with staff creates confusion about access and audit trails. This separation is intentional and enforced at the data model level.</w:t>
            </w:r>
          </w:p>
        </w:tc>
      </w:tr>
    </w:tbl>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2.1 Staff — Roles and Permissions</w:t>
      </w:r>
    </w:p>
    <w:p>
      <w:pPr>
        <w:spacing w:before="60" w:after="80"/>
      </w:pPr>
      <w:r>
        <w:rPr>
          <w:rFonts w:ascii="Arial" w:cs="Arial" w:eastAsia="Arial" w:hAnsi="Arial"/>
          <w:color w:val="0F172A"/>
          <w:sz w:val="22"/>
          <w:szCs w:val="22"/>
        </w:rPr>
        <w:t xml:space="preserve">Roles are not mutually exclusive. A staff member can hold multiple roles and their permissions are the union of all assigned roles.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600"/>
        <w:gridCol w:w="2960"/>
      </w:tblGrid>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Role</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Case worklist</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Sign-out</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Configuration</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Pathologist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Full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Yes (primary sign-out)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Core clinical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Resident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Full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Co-sign only (configurable)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Sign-out gating controlled by usePermission config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Full access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Cannot see clinical case data by design</w:t>
            </w:r>
          </w:p>
        </w:tc>
      </w:tr>
    </w:tbl>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2.2 Staff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Field</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Required</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First &amp; Last 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Used on reports, audit logs, and in-app 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Recommended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Used for notifications if SSO is not managing 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Role(s)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One or more — Pathologist, Resident,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NPI 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Required for billing-related workflows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License 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State medical license — jurisdiction-specific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Department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e.g. Surgical Pathology, Hematopathology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Signature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Image upload — used on signed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Active / Inactive — Inactive users cannot log in</w:t>
            </w:r>
          </w:p>
        </w:tc>
      </w:tr>
    </w:tbl>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2.3 Physician Directory</w:t>
      </w:r>
    </w:p>
    <w:p>
      <w:pPr>
        <w:spacing w:before="60" w:after="80"/>
      </w:pPr>
      <w:r>
        <w:rPr>
          <w:rFonts w:ascii="Arial" w:cs="Arial" w:eastAsia="Arial" w:hAnsi="Arial"/>
          <w:color w:val="0F172A"/>
          <w:sz w:val="22"/>
          <w:szCs w:val="22"/>
        </w:rPr>
        <w:t xml:space="preserve">Physicians are added manually or auto-created when an incoming case references an NPI not yet in the directory. Auto-created physicians are flagged as Unverified and require admin review before result delivery is active.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Field</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Required</w:t>
            </w:r>
          </w:p>
        </w:tc>
        <w:tc>
          <w:tcPr>
            <w:tcW w:type="dxa" w:w="5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First &amp; Last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Used on reports and result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NPI 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Recommended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Used for billing validation and deduplication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Fax / 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At least one recommended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Required for result delivery — without this, reports cannot be 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Preferred Contact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Drives automatic result routing — Email, Fax, or Portal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Client Affiliations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Links physician to one or more submitting facilities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Active / Inactive / Unverified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6"/>
              <w:bottom w:val="single" w:color="CCCCCC" w:sz="1"/>
              <w:right w:val="single" w:color="CCCCCC" w:sz="1"/>
            </w:tcBorders>
            <w:shd w:fill="FEF3C7" w:val="clear"/>
            <w:tcMar>
              <w:top w:type="dxa" w:w="80"/>
              <w:left w:type="dxa" w:w="120"/>
              <w:bottom w:type="dxa" w:w="80"/>
              <w:right w:type="dxa" w:w="120"/>
            </w:tcMar>
          </w:tcPr>
          <w:p>
            <w:pPr>
              <w:spacing w:before="0" w:after="40"/>
            </w:pPr>
            <w:r>
              <w:rPr>
                <w:rFonts w:ascii="Arial" w:cs="Arial" w:eastAsia="Arial" w:hAnsi="Arial"/>
                <w:b/>
                <w:bCs/>
                <w:color w:val="D97706"/>
                <w:sz w:val="20"/>
                <w:szCs w:val="20"/>
              </w:rPr>
              <w:t xml:space="preserve">Action required on Unverified physicians</w:t>
            </w:r>
          </w:p>
          <w:p>
            <w:pPr>
              <w:spacing w:before="0" w:after="0"/>
            </w:pPr>
            <w:r>
              <w:rPr>
                <w:rFonts w:ascii="Arial" w:cs="Arial" w:eastAsia="Arial" w:hAnsi="Arial"/>
                <w:color w:val="334155"/>
                <w:sz w:val="20"/>
                <w:szCs w:val="20"/>
              </w:rPr>
              <w:t xml:space="preserve">Auto-created Unverified physicians will not receive result notifications until an admin adds a preferred contact method and sets the record to Active. Check the Physicians table regularly for the amber Unverified indicator.</w:t>
            </w:r>
          </w:p>
        </w:tc>
      </w:tr>
    </w:tbl>
    <w:p>
      <w:pPr>
        <w:spacing w:before="80" w:after="80"/>
      </w:pPr>
      <w:r>
        <w:t xml:space="preserve"/>
      </w:r>
    </w:p>
    <w:p>
      <w:pPr>
        <w:pStyle w:val="Heading1"/>
        <w:spacing w:before="400" w:after="160"/>
      </w:pPr>
      <w:r>
        <w:rPr>
          <w:rFonts w:ascii="Arial" w:cs="Arial" w:eastAsia="Arial" w:hAnsi="Arial"/>
          <w:b/>
          <w:bCs/>
          <w:color w:val="0F172A"/>
          <w:sz w:val="34"/>
          <w:szCs w:val="34"/>
        </w:rPr>
        <w:t xml:space="preserve">3. System Configuration</w:t>
      </w:r>
    </w:p>
    <w:p>
      <w:pPr>
        <w:spacing w:before="60" w:after="80"/>
      </w:pPr>
      <w:r>
        <w:rPr>
          <w:rFonts w:ascii="Arial" w:cs="Arial" w:eastAsia="Arial" w:hAnsi="Arial"/>
          <w:color w:val="0F172A"/>
          <w:sz w:val="22"/>
          <w:szCs w:val="22"/>
        </w:rPr>
        <w:t xml:space="preserve">All system-wide settings are in Configuration → System. This tab is divided into sections in the left sidebar.</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3.1 LIS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Setting</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Default</w:t>
            </w:r>
          </w:p>
        </w:tc>
        <w:tc>
          <w:tcPr>
            <w:tcW w:type="dxa" w:w="5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LIS Integration 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Master switch. Enable only when HL7/FHIR endpoint is configured and tested.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LIS Endpoint 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(empty)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The HL7 or FHIR endpoint where PathScribe sends outbound synoptics.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LIS Owns Case Statuses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When on, case status (Grossed, Finalizing, etc.) is read-only in PathScribe — the LIS is authoritative. Turn off only in Standalone LIS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Allow Post-Final 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Allows pathologists to enter addenda and amendments after sign-out. Disable if your LIS controls this workflow.</w:t>
            </w:r>
          </w:p>
        </w:tc>
      </w:tr>
    </w:tbl>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3.2 Jurisdiction</w:t>
      </w:r>
    </w:p>
    <w:p>
      <w:pPr>
        <w:spacing w:before="60" w:after="80"/>
      </w:pPr>
      <w:r>
        <w:rPr>
          <w:rFonts w:ascii="Arial" w:cs="Arial" w:eastAsia="Arial" w:hAnsi="Arial"/>
          <w:color w:val="0F172A"/>
          <w:sz w:val="22"/>
          <w:szCs w:val="22"/>
        </w:rPr>
        <w:t xml:space="preserve">Jurisdiction is set once at deployment and determines which national SNOMED CT release and ICD-10 variant are used. Contact PathScribe support to change this — it requires re-seeding the terminology database.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Jurisdiction</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SNOMED release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ICD-10 variant</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License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United States (US)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SNOMED CT US Edition (NLM)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ICD-10-CM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Free — NLM UMLS registration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Canada (CA)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SNOMED CT Canada Edition (Infoway)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ICD-10-CA (CIHI)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Free — Infoway + CIHI registration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England &amp; Wales (GB_EW)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SNOMED CT UK Edition (NHS Digital)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ICD-10 WHO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Free — NHS TRUD registration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Scotland (GB_SCT)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SNOMED CT UK + Scottish Extension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ICD-10 WHO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Free — NHS TRUD registration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Republic of Ireland (IE)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SNOMED CT (Affiliate License)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ICD-10-AM (HSE)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Commercial — SNOMED International Affiliate License required before seeding</w:t>
            </w:r>
          </w:p>
        </w:tc>
      </w:tr>
    </w:tbl>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3.3 Terminology Systems</w:t>
      </w:r>
    </w:p>
    <w:p>
      <w:pPr>
        <w:spacing w:before="60" w:after="80"/>
      </w:pPr>
      <w:r>
        <w:rPr>
          <w:rFonts w:ascii="Arial" w:cs="Arial" w:eastAsia="Arial" w:hAnsi="Arial"/>
          <w:color w:val="0F172A"/>
          <w:sz w:val="22"/>
          <w:szCs w:val="22"/>
        </w:rPr>
        <w:t xml:space="preserve">Each terminology system (SNOMED CT, ICD-10, ICD-11, ICD-O) can be independently enabled or disabled. The ICD-11 tab in the Case Search code modal appears only when ICD-11 is set to active.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Setting</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Default</w:t>
            </w:r>
          </w:p>
        </w:tc>
        <w:tc>
          <w:tcPr>
            <w:tcW w:type="dxa" w:w="5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When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SNOMED CT — 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Leave on. SNOMED is the primary pathology coding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ICD-10 — 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Leave on. Required for most institutional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ICD-11 — 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Enable when your institution has migrated to ICD-11 billing or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ICD-O — 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Used for oncology cases. Disable only for non-oncology labs.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Mode (per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mock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Change to "hosted" after running seedTerminology.ts in staging/production.</w:t>
            </w:r>
          </w:p>
        </w:tc>
      </w:tr>
    </w:tbl>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3.4 Identifier Formats</w:t>
      </w:r>
    </w:p>
    <w:p>
      <w:pPr>
        <w:spacing w:before="60" w:after="80"/>
      </w:pPr>
      <w:r>
        <w:rPr>
          <w:rFonts w:ascii="Arial" w:cs="Arial" w:eastAsia="Arial" w:hAnsi="Arial"/>
          <w:color w:val="0F172A"/>
          <w:sz w:val="22"/>
          <w:szCs w:val="22"/>
        </w:rPr>
        <w:t xml:space="preserve">The Case Search smart identifier box uses regex patterns to distinguish accession numbers from MRNs. Set these patterns to match your lab's LIS formats.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Pattern</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Default</w:t>
            </w:r>
          </w:p>
        </w:tc>
        <w:tc>
          <w:tcPr>
            <w:tcW w:type="dxa" w:w="4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Matches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Accession pattern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^[A-Z]\d{2}-\d{4,6}$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S26-4200, B26-44200,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MRN pattern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^\d{5,10}$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Any 5–10 digit number</w:t>
            </w:r>
          </w:p>
        </w:tc>
      </w:tr>
    </w:tbl>
    <w:p>
      <w:pPr>
        <w:spacing w:before="80" w:after="80"/>
      </w:pPr>
      <w:r>
        <w:t xml:space="preserve"/>
      </w:r>
    </w:p>
    <w:p>
      <w:pPr>
        <w:spacing w:before="60" w:after="80"/>
      </w:pPr>
      <w:r>
        <w:rPr>
          <w:rFonts w:ascii="Arial" w:cs="Arial" w:eastAsia="Arial" w:hAnsi="Arial"/>
          <w:color w:val="0F172A"/>
          <w:sz w:val="22"/>
          <w:szCs w:val="22"/>
        </w:rPr>
        <w:t xml:space="preserve">The admin UI shows live ✓ / ✗ feedback as you type. Save is disabled until both patterns are valid regex. The Example field lets you paste a real accession number or MRN to verify the pattern matches before saving.</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3.5 Flags</w:t>
      </w:r>
    </w:p>
    <w:p>
      <w:pPr>
        <w:spacing w:before="60" w:after="80"/>
      </w:pPr>
      <w:r>
        <w:rPr>
          <w:rFonts w:ascii="Arial" w:cs="Arial" w:eastAsia="Arial" w:hAnsi="Arial"/>
          <w:color w:val="0F172A"/>
          <w:sz w:val="22"/>
          <w:szCs w:val="22"/>
        </w:rPr>
        <w:t xml:space="preserve">Flags are case and specimen-level alerts. The default flag library includes 20 flags covering common scenarios (RUSH, Frozen Section, IHC Pending, Teaching Case, etc.). Administrators can add, edit, reorder, and deactivate flags. Deactivated flags no longer appear in the flag picker but are retained on existing cases for audit purposes.</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3.6 Specimen Dictionary</w:t>
      </w:r>
    </w:p>
    <w:p>
      <w:pPr>
        <w:spacing w:before="60" w:after="80"/>
      </w:pPr>
      <w:r>
        <w:rPr>
          <w:rFonts w:ascii="Arial" w:cs="Arial" w:eastAsia="Arial" w:hAnsi="Arial"/>
          <w:color w:val="0F172A"/>
          <w:sz w:val="22"/>
          <w:szCs w:val="22"/>
        </w:rPr>
        <w:t xml:space="preserve">The specimen dictionary provides typeahead suggestions in the Case Search specimen filter and the case accession workflow. It is seeded from specimens-starter.json on first run. The dictionary is stored in localStorage (development) or Firestore (production) under the key specimenDictionarySeeded_v1.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891B2" w:sz="16"/>
              <w:bottom w:val="single" w:color="CCCCCC" w:sz="1"/>
              <w:right w:val="single" w:color="CCCCCC" w:sz="1"/>
            </w:tcBorders>
            <w:shd w:fill="E0F2FE" w:val="clear"/>
            <w:tcMar>
              <w:top w:type="dxa" w:w="80"/>
              <w:left w:type="dxa" w:w="120"/>
              <w:bottom w:type="dxa" w:w="80"/>
              <w:right w:type="dxa" w:w="120"/>
            </w:tcMar>
          </w:tcPr>
          <w:p>
            <w:pPr>
              <w:spacing w:before="0" w:after="40"/>
            </w:pPr>
            <w:r>
              <w:rPr>
                <w:rFonts w:ascii="Arial" w:cs="Arial" w:eastAsia="Arial" w:hAnsi="Arial"/>
                <w:b/>
                <w:bCs/>
                <w:color w:val="0891B2"/>
                <w:sz w:val="20"/>
                <w:szCs w:val="20"/>
              </w:rPr>
              <w:t xml:space="preserve">Development tip</w:t>
            </w:r>
          </w:p>
          <w:p>
            <w:pPr>
              <w:spacing w:before="0" w:after="0"/>
            </w:pPr>
            <w:r>
              <w:rPr>
                <w:rFonts w:ascii="Arial" w:cs="Arial" w:eastAsia="Arial" w:hAnsi="Arial"/>
                <w:color w:val="334155"/>
                <w:sz w:val="20"/>
                <w:szCs w:val="20"/>
              </w:rPr>
              <w:t xml:space="preserve">If the specimen dictionary appears empty in development, open DevTools → Application → Local Storage and delete the specimenDictionarySeeded_v1 key, then hard-refresh. This forces a fresh seed from the starter file.</w:t>
            </w:r>
          </w:p>
        </w:tc>
      </w:tr>
    </w:tbl>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3.7 Synoptic Protocols</w:t>
      </w:r>
    </w:p>
    <w:p>
      <w:pPr>
        <w:spacing w:before="60" w:after="80"/>
      </w:pPr>
      <w:r>
        <w:rPr>
          <w:rFonts w:ascii="Arial" w:cs="Arial" w:eastAsia="Arial" w:hAnsi="Arial"/>
          <w:color w:val="0F172A"/>
          <w:sz w:val="22"/>
          <w:szCs w:val="22"/>
        </w:rPr>
        <w:t xml:space="preserve">Protocols are managed under Configuration → Protocols. This tab has three sub-sections:</w:t>
      </w:r>
    </w:p>
    <w:p>
      <w:pPr>
        <w:pStyle w:val="ListParagraph"/>
        <w:numPr>
          <w:ilvl w:val="0"/>
          <w:numId w:val="2"/>
        </w:numPr>
        <w:spacing w:before="40" w:after="40"/>
      </w:pPr>
      <w:r>
        <w:rPr>
          <w:rFonts w:ascii="Arial" w:cs="Arial" w:eastAsia="Arial" w:hAnsi="Arial"/>
          <w:color w:val="0F172A"/>
          <w:sz w:val="22"/>
          <w:szCs w:val="22"/>
        </w:rPr>
        <w:t xml:space="preserve">Active Protocols — CAP/RCPath validated checklists, organised by organ category with colour coding.</w:t>
      </w:r>
    </w:p>
    <w:p>
      <w:pPr>
        <w:pStyle w:val="ListParagraph"/>
        <w:numPr>
          <w:ilvl w:val="0"/>
          <w:numId w:val="2"/>
        </w:numPr>
        <w:spacing w:before="40" w:after="40"/>
      </w:pPr>
      <w:r>
        <w:rPr>
          <w:rFonts w:ascii="Arial" w:cs="Arial" w:eastAsia="Arial" w:hAnsi="Arial"/>
          <w:color w:val="0F172A"/>
          <w:sz w:val="22"/>
          <w:szCs w:val="22"/>
        </w:rPr>
        <w:t xml:space="preserve">Review Queue — Protocols awaiting validation. Each protocol follows a linear lifecycle: Draft → In Review → Approved → Published. Published is terminal — no further transitions.</w:t>
      </w:r>
    </w:p>
    <w:p>
      <w:pPr>
        <w:pStyle w:val="ListParagraph"/>
        <w:numPr>
          <w:ilvl w:val="0"/>
          <w:numId w:val="2"/>
        </w:numPr>
        <w:spacing w:before="40" w:after="40"/>
      </w:pPr>
      <w:r>
        <w:rPr>
          <w:rFonts w:ascii="Arial" w:cs="Arial" w:eastAsia="Arial" w:hAnsi="Arial"/>
          <w:color w:val="0F172A"/>
          <w:sz w:val="22"/>
          <w:szCs w:val="22"/>
        </w:rPr>
        <w:t xml:space="preserve">All Protocols — Complete library with lifecycle filter buttons (All / Active / Staged / In Review / Needs Changes / Draft).</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3.8 Approved Fonts</w:t>
      </w:r>
    </w:p>
    <w:p>
      <w:pPr>
        <w:spacing w:before="60" w:after="80"/>
      </w:pPr>
      <w:r>
        <w:rPr>
          <w:rFonts w:ascii="Arial" w:cs="Arial" w:eastAsia="Arial" w:hAnsi="Arial"/>
          <w:color w:val="0F172A"/>
          <w:sz w:val="22"/>
          <w:szCs w:val="22"/>
        </w:rPr>
        <w:t xml:space="preserve">The report editor font selector shows only fonts in the Approved Fonts list. The system ships with Arial, Times New Roman, and Courier New. Administrators can enable any of 14 available fonts. The guard prevents disabling the last active font (there must always be at least one).</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3.9 Keyboard Shortcuts</w:t>
      </w:r>
    </w:p>
    <w:p>
      <w:pPr>
        <w:spacing w:before="60" w:after="80"/>
      </w:pPr>
      <w:r>
        <w:rPr>
          <w:rFonts w:ascii="Arial" w:cs="Arial" w:eastAsia="Arial" w:hAnsi="Arial"/>
          <w:color w:val="0F172A"/>
          <w:sz w:val="22"/>
          <w:szCs w:val="22"/>
        </w:rPr>
        <w:t xml:space="preserve">The shortcuts editor lets administrators configure the keyboard bindings for all reporting actions. Shortcuts are stored in localStorage under pathscribe_shortcuts_v1. The in-editor keyboard shortcuts modal and the configuration shortcuts section share this key — changes in one are reflected in the other.</w:t>
      </w:r>
    </w:p>
    <w:p>
      <w:pPr>
        <w:spacing w:before="80" w:after="80"/>
      </w:pPr>
      <w:r>
        <w:t xml:space="preserve"/>
      </w:r>
    </w:p>
    <w:p>
      <w:pPr>
        <w:pStyle w:val="Heading1"/>
        <w:spacing w:before="400" w:after="160"/>
      </w:pPr>
      <w:r>
        <w:rPr>
          <w:rFonts w:ascii="Arial" w:cs="Arial" w:eastAsia="Arial" w:hAnsi="Arial"/>
          <w:b/>
          <w:bCs/>
          <w:color w:val="0F172A"/>
          <w:sz w:val="34"/>
          <w:szCs w:val="34"/>
        </w:rPr>
        <w:t xml:space="preserve">4. Client Dictionary</w:t>
      </w:r>
    </w:p>
    <w:p>
      <w:pPr>
        <w:spacing w:before="60" w:after="80"/>
      </w:pPr>
      <w:r>
        <w:rPr>
          <w:rFonts w:ascii="Arial" w:cs="Arial" w:eastAsia="Arial" w:hAnsi="Arial"/>
          <w:color w:val="0F172A"/>
          <w:sz w:val="22"/>
          <w:szCs w:val="22"/>
        </w:rPr>
        <w:t xml:space="preserve">Clients are the submitting practices and hospitals that send cases to your lab. The client dictionary is managed separately from the physician directory because a single physician may be affiliated with multiple clients, and HL7 configuration is set at the client level, not the physician level.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Field</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Name &amp; 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Display name and short identifier (e.g. NWOG)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Contact Name / Email / Phone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Administrative contact for the facility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HL7 Settings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Sending/receiving facility identifiers, HL7 version, enabled toggle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Reporting Preferences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Report format (PDF/HL7/Both), delivery method, auto-release toggle, copy-to-referring toggle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Active / Inactive</w:t>
            </w:r>
          </w:p>
        </w:tc>
      </w:tr>
    </w:tbl>
    <w:p>
      <w:pPr>
        <w:spacing w:before="80" w:after="80"/>
      </w:pPr>
      <w:r>
        <w:t xml:space="preserve"/>
      </w:r>
    </w:p>
    <w:p>
      <w:pPr>
        <w:pStyle w:val="Heading1"/>
        <w:spacing w:before="400" w:after="160"/>
      </w:pPr>
      <w:r>
        <w:rPr>
          <w:rFonts w:ascii="Arial" w:cs="Arial" w:eastAsia="Arial" w:hAnsi="Arial"/>
          <w:b/>
          <w:bCs/>
          <w:color w:val="0F172A"/>
          <w:sz w:val="34"/>
          <w:szCs w:val="34"/>
        </w:rPr>
        <w:t xml:space="preserve">5. Audit Log</w:t>
      </w:r>
    </w:p>
    <w:p>
      <w:pPr>
        <w:spacing w:before="60" w:after="80"/>
      </w:pPr>
      <w:r>
        <w:rPr>
          <w:rFonts w:ascii="Arial" w:cs="Arial" w:eastAsia="Arial" w:hAnsi="Arial"/>
          <w:color w:val="0F172A"/>
          <w:sz w:val="22"/>
          <w:szCs w:val="22"/>
        </w:rPr>
        <w:t xml:space="preserve">The audit log is accessible from Configuration → System → Audit Log. It records every significant action: case sign-outs, config changes, user management events, LIS integration events, and permission denials. The log is append-only and cannot be modified or deleted.</w:t>
      </w:r>
    </w:p>
    <w:p>
      <w:pPr>
        <w:spacing w:before="60" w:after="80"/>
      </w:pPr>
      <w:r>
        <w:rPr>
          <w:rFonts w:ascii="Arial" w:cs="Arial" w:eastAsia="Arial" w:hAnsi="Arial"/>
          <w:color w:val="0F172A"/>
          <w:sz w:val="22"/>
          <w:szCs w:val="22"/>
        </w:rPr>
        <w:t xml:space="preserve">Filters available: date range, event type, user, severity. Export as CSV for compliance reporting.</w:t>
      </w:r>
    </w:p>
    <w:p>
      <w:pPr>
        <w:spacing w:before="80" w:after="80"/>
      </w:pPr>
      <w:r>
        <w:t xml:space="preserve"/>
      </w:r>
    </w:p>
    <w:p>
      <w:pPr>
        <w:pStyle w:val="Heading1"/>
        <w:spacing w:before="400" w:after="160"/>
      </w:pPr>
      <w:r>
        <w:rPr>
          <w:rFonts w:ascii="Arial" w:cs="Arial" w:eastAsia="Arial" w:hAnsi="Arial"/>
          <w:b/>
          <w:bCs/>
          <w:color w:val="0F172A"/>
          <w:sz w:val="34"/>
          <w:szCs w:val="34"/>
        </w:rPr>
        <w:t xml:space="preserve">6. Action Reference</w:t>
      </w:r>
    </w:p>
    <w:p>
      <w:pPr>
        <w:spacing w:before="60" w:after="80"/>
      </w:pPr>
      <w:r>
        <w:rPr>
          <w:rFonts w:ascii="Arial" w:cs="Arial" w:eastAsia="Arial" w:hAnsi="Arial"/>
          <w:color w:val="0F172A"/>
          <w:sz w:val="22"/>
          <w:szCs w:val="22"/>
        </w:rPr>
        <w:t xml:space="preserve">The following action IDs are used in the role permission system. Each role is assigned a set of permitted actions. Custom roles can be created in Configuration → Staff → Role Dictionary with any combination of these actions.</w:t>
      </w:r>
    </w:p>
    <w:p>
      <w:pPr>
        <w:spacing w:before="80" w:after="80"/>
      </w:pPr>
      <w:r>
        <w:t xml:space="preserve"/>
      </w:r>
    </w:p>
    <w:p>
      <w:pPr>
        <w:pStyle w:val="Heading3"/>
        <w:spacing w:before="200" w:after="80"/>
      </w:pPr>
      <w:r>
        <w:rPr>
          <w:rFonts w:ascii="Arial" w:cs="Arial" w:eastAsia="Arial" w:hAnsi="Arial"/>
          <w:b/>
          <w:bCs/>
          <w:color w:val="334155"/>
          <w:sz w:val="23"/>
          <w:szCs w:val="23"/>
        </w:rPr>
        <w:t xml:space="preserve">Case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Action ID</w:t>
            </w:r>
          </w:p>
        </w:tc>
        <w:tc>
          <w:tcPr>
            <w:tcW w:type="dxa" w:w="6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View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case.assign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Assign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case.flag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Apply Flag to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case.addPriority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Set Priority</w:t>
            </w:r>
          </w:p>
        </w:tc>
      </w:tr>
    </w:tbl>
    <w:p>
      <w:pPr>
        <w:spacing w:before="80" w:after="80"/>
      </w:pPr>
      <w:r>
        <w:t xml:space="preserve"/>
      </w:r>
    </w:p>
    <w:p>
      <w:pPr>
        <w:pStyle w:val="Heading3"/>
        <w:spacing w:before="200" w:after="80"/>
      </w:pPr>
      <w:r>
        <w:rPr>
          <w:rFonts w:ascii="Arial" w:cs="Arial" w:eastAsia="Arial" w:hAnsi="Arial"/>
          <w:b/>
          <w:bCs/>
          <w:color w:val="334155"/>
          <w:sz w:val="23"/>
          <w:szCs w:val="23"/>
        </w:rPr>
        <w:t xml:space="preserve">Specimen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Action ID</w:t>
            </w:r>
          </w:p>
        </w:tc>
        <w:tc>
          <w:tcPr>
            <w:tcW w:type="dxa" w:w="6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specimen.create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 Specimen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specimen.edit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Edit Specimen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specimen.remove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Remove Specimen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specimen.applyFlag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Apply Flag to Specimen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specimen.assignSubspecialty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Assign to Subspecialty</w:t>
            </w:r>
          </w:p>
        </w:tc>
      </w:tr>
    </w:tbl>
    <w:p>
      <w:pPr>
        <w:spacing w:before="80" w:after="80"/>
      </w:pPr>
      <w:r>
        <w:t xml:space="preserve"/>
      </w:r>
    </w:p>
    <w:p>
      <w:pPr>
        <w:pStyle w:val="Heading3"/>
        <w:spacing w:before="200" w:after="80"/>
      </w:pPr>
      <w:r>
        <w:rPr>
          <w:rFonts w:ascii="Arial" w:cs="Arial" w:eastAsia="Arial" w:hAnsi="Arial"/>
          <w:b/>
          <w:bCs/>
          <w:color w:val="334155"/>
          <w:sz w:val="23"/>
          <w:szCs w:val="23"/>
        </w:rPr>
        <w:t xml:space="preserve">Diagnosis &amp; Sign-Out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Action ID</w:t>
            </w:r>
          </w:p>
        </w:tc>
        <w:tc>
          <w:tcPr>
            <w:tcW w:type="dxa" w:w="6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diagnosis.grossDescription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Enter Gross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diagnosis.microscopicDescription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Enter Microscopic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diagnosis.enterDiagnosis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Enter Diagnosis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diagnosis.signOut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Sign Out Case (Primary)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diagnosis.coSign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Co-Sign Case (Resident/Fellow)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diagnosis.amend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Amend Signed-Out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diagnosis.enterAddendum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Enter Addendum</w:t>
            </w:r>
          </w:p>
        </w:tc>
      </w:tr>
    </w:tbl>
    <w:p>
      <w:pPr>
        <w:spacing w:before="80" w:after="80"/>
      </w:pPr>
      <w:r>
        <w:t xml:space="preserve"/>
      </w:r>
    </w:p>
    <w:p>
      <w:pPr>
        <w:pStyle w:val="Heading3"/>
        <w:spacing w:before="200" w:after="80"/>
      </w:pPr>
      <w:r>
        <w:rPr>
          <w:rFonts w:ascii="Arial" w:cs="Arial" w:eastAsia="Arial" w:hAnsi="Arial"/>
          <w:b/>
          <w:bCs/>
          <w:color w:val="334155"/>
          <w:sz w:val="23"/>
          <w:szCs w:val="23"/>
        </w:rPr>
        <w:t xml:space="preserve">AI Assistance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Action ID</w:t>
            </w:r>
          </w:p>
        </w:tc>
        <w:tc>
          <w:tcPr>
            <w:tcW w:type="dxa" w:w="6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ai.diagnosisSuggest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Use AI Diagnosis Suggestion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ai.viewConfidence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View AI Confidence Scores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ai.override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Override AI Suggestion</w:t>
            </w:r>
          </w:p>
        </w:tc>
      </w:tr>
    </w:tbl>
    <w:p>
      <w:pPr>
        <w:spacing w:before="80" w:after="80"/>
      </w:pPr>
      <w:r>
        <w:t xml:space="preserve"/>
      </w:r>
    </w:p>
    <w:p>
      <w:pPr>
        <w:pStyle w:val="Heading3"/>
        <w:spacing w:before="200" w:after="80"/>
      </w:pPr>
      <w:r>
        <w:rPr>
          <w:rFonts w:ascii="Arial" w:cs="Arial" w:eastAsia="Arial" w:hAnsi="Arial"/>
          <w:b/>
          <w:bCs/>
          <w:color w:val="334155"/>
          <w:sz w:val="23"/>
          <w:szCs w:val="23"/>
        </w:rPr>
        <w:t xml:space="preserve">Configuration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Action ID</w:t>
            </w:r>
          </w:p>
        </w:tc>
        <w:tc>
          <w:tcPr>
            <w:tcW w:type="dxa" w:w="6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Access Configuration Module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config.staff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Manage Staff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Manage Roles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config.subspecialties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Manage Subspecialties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config.specimens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Manage Specimen Dictionary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config.flags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Manage Flags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Manage AI Behavior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config.macros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Manage Macros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config.shortcuts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Manage Keyboard Shortcuts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config.lis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Manage LIS Integration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config.auditLog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View Audit Log</w:t>
            </w:r>
          </w:p>
        </w:tc>
      </w:tr>
    </w:tbl>
    <w:sectPr>
      <w:footerReference w:type="default" r:id="rId6"/>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tabs>
        <w:tab w:val="right" w:pos="9026"/>
      </w:tabs>
    </w:pPr>
    <w:r>
      <w:rPr>
        <w:rFonts w:ascii="Arial" w:cs="Arial" w:eastAsia="Arial" w:hAnsi="Arial"/>
        <w:color w:val="64748B"/>
        <w:sz w:val="16"/>
        <w:szCs w:val="16"/>
      </w:rPr>
      <w:t xml:space="preserve">PathScribe AI — System Administration Guide</w:t>
    </w:r>
    <w:r>
      <w:rPr>
        <w:sz w:val="16"/>
        <w:szCs w:val="16"/>
      </w:rPr>
      <w:tab/>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172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0891B2"/>
      <w:sz w:val="27"/>
      <w:szCs w:val="27"/>
    </w:rPr>
  </w:style>
  <w:style w:type="paragraph" w:styleId="Heading3">
    <w:name w:val="Heading 3"/>
    <w:basedOn w:val="Normal"/>
    <w:next w:val="Normal"/>
    <w:qFormat/>
    <w:pPr>
      <w:spacing w:before="200" w:after="80"/>
      <w:outlineLvl w:val="2"/>
    </w:pPr>
    <w:rPr>
      <w:rFonts w:ascii="Arial" w:cs="Arial" w:eastAsia="Arial" w:hAnsi="Arial"/>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2026-03-09T02:38:30.945Z</dcterms:created>
  <dcterms:modified xsi:type="dcterms:W3CDTF">2026-03-09T02:38:30.945Z</dcterms:modified>
</cp:coreProperties>
</file>

<file path=docProps/custom.xml><?xml version="1.0" encoding="utf-8"?>
<Properties xmlns="http://schemas.openxmlformats.org/officeDocument/2006/custom-properties" xmlns:vt="http://schemas.openxmlformats.org/officeDocument/2006/docPropsVTypes"/>
</file>