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60"/>
      </w:pPr>
      <w:r>
        <w:rPr>
          <w:rFonts w:ascii="Arial" w:cs="Arial" w:eastAsia="Arial" w:hAnsi="Arial"/>
          <w:b/>
          <w:bCs/>
          <w:color w:val="0891B2"/>
          <w:sz w:val="52"/>
          <w:szCs w:val="52"/>
        </w:rPr>
        <w:t xml:space="preserve">PathScribe AI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Product Roadmap &amp; Feature Status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Phase gates, feature status, regulatory holds, and prewired architecture</w:t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PRODUCT &amp; ENGINEERING  •  v0.3  •  March 2026  </w:t>
      </w:r>
    </w:p>
    <w:p>
      <w:pPr>
        <w:pBdr>
          <w:bottom w:val="single" w:color="0891B2" w:sz="10" w:space="1"/>
        </w:pBdr>
        <w:spacing w:before="0" w:after="4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Roadmap Philosophy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PathScribe ships one codebase with a deployment mode flag. Phase 1 is Co-Pilot only. Phase 2 is gated on legal/compliance review. Features are not estimated, resourced, or committed until their prerequisites are met.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 Build 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development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 current or next sprint. Fully committed.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 Spec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Design done, not yet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Spec and ERD exist. Build when prioritised.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 Prewired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Architecture reserved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DB stubs, route stubs, feature flags. No logic. No UI beyond placeholder.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⏸ Deferred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being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stubs required. Will be scoped when prioritised.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 Regulatory 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Requires legal/compliance review and sign-off first.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6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Hard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Phase 2 feature may be estimated, resourced, or committed until the regulatory burden review is complete (see Section 3). Architecture is reserved — the commitment is not yet made.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Phase 1 — Co-Pilot MVP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PathScribe sits alongside an existing LIS. The LIS owns case creation, sign-out, and CLIA enforcement. PathScribe owns synoptic generation and AI assistance.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2.1 Core — Active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0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 Library — Data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ERD complete. Build now.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Phase 1 — Gross-driven synoptic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Protocol selection + field pre-population from gross 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Phase 2 — Microscopic-driven 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Re-evaluate protocol, update fields from micro 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Confidence Scoring — 6-factor methodology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Per-field and per-version. Stored in AIConfidenceSnapshot.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 versioning — immutable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versions retained. 7-year minimum. Audit log append-only.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Implemented — smart identifier, 6 browse modals, saved searches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Worklist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case management and assignment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Configuration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Staff, Protocols, System settings — fully implemented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 Integration — HL7/FHIR inbound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Co-Pilot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Receive gross/micro/diagnosis events from LIS. 5-min sync.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 Integration — Synoptic outbound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Co-Pilot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Return synoptic to LIS via HL7 ORU^R01 or FHIR DiagnosticReport.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usePermission 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 + deployment_mode + module gating. Next sprint.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2.2 QC Module — Co-Pilot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QC Dashboard — Overview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KPI cards: synoptic completeness, AI accuracy, flagged cases. Spec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 completeness by pathologist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Per-pathologist table. Both modes — data source differs (LIS vs PathScribe).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confidence / accuracy metrics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Model performance tracking. Feeds retraining pipeline.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Flagged cases — read-only surface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Co-Pilot: flags received from LIS, read-only, deep-link 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CAP/RCPath protocol compliance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Synoptic-level compliance only — not broader CLIA.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TAT — personal view (Contribution Dashboard)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Pathologist's own TAT metrics. Data from LIS in Co-Pilot.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TAT — department view (QC Module)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Aggregate TAT across the lab.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Scheduled compliance reports — export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PDF/CSV export of synoptic QC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2.3 Prewired in Phase 1 — Architecture Reserved, No Implementation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items are invisible to production customers. They exist so Phase 2 slots in without refactoring the 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2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Target Phase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Prewiring in place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Standalone LIS — Case &amp; Specimen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DB tables exist. UI route registered, renders placeholder. Flag: standalone_lis.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Standalone LIS — Gross / Micro editor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Route stub. No editor built.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Standalone LIS — Report Assembly &amp; Sign-out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SynopticReport.status model supports it. No sign-out UI.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Standalone LIS — Peer review with sign-out blocking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SynopticApproval table exists. No blocking logic.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Consult Request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ConsultRequest table stub in data model. No UI.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Cytology QC — all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CytologyCase, CytotechWorkloadLog tables exist as stubs. Tab behind flag — admin-visible placeholder 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Amendment workflow (as system of record)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Version model supports amendments. Sign-out blocking not built.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PathScribe-native user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 table supports it. No admin UI. Co-Pilot uses SSO.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Regulatory Hold — Do Not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6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Read carefully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Shipping Standalone LIS features without completing regulatory review creates legal liability for PathScribe Inc. and potentially for the labs using the product. These are not bureaucratic gates — they are genuine risk management requirements.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 before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CLIA cytology workload enforcement (hard block)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CLIA §493.1274(d)(2)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Legal/compliance review of liability when PathScribe enforces a hard block on clinical 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5-year lookback (blocking sign-out)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CLIA §493.1274(c)(2)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Requires PathScribe to be system of record for cytology. Standalone LIS mode 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lab licensure compliance (NY CLEP,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 regulations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 review per target state before selling Standalone LIS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21 CFR Part 11 electronic signatures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FDA regulation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Applies if PathScribe sign-out constitutes an electronic signature on a clinical report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CLIA cytology QC enforcement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CLIA §493.1274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Entire cytology CLIA compliance surface. Standalone LIS Phase 2b only.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Phase 2 Prerequisites — Legal &amp; Compliance Review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Phase 2 feature may enter development until all of the following reviews are complete and documented: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Regulatory burden matrix reviewed by healthcare regulatory counsel.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CLIA sign-out liability assessment — does PathScribe as LIS create liability for the company or the lab?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State-by-state lab licensure review for target launch states (prioritise NY, CA, TX, FL).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21 CFR Part 11 assessment for electronic signature on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HIPAA risk assessment for PathScribe as primary clinical system (vs. tool/add-on).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CAP accreditation checklist gap analysis — what does PathScribe need to satisfy as a LIS?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Phase 2 — Standalone LIS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2 is gated on prerequisites in Section 4. It is split into two sub-phases.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5.1 Phase 2a — Standalone Light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Case management, reporting, and sign-out. Targets independent pathology groups and smaller hospital labs.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Dependency /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&amp; Specimen Management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Prewiring complete in 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Gross &amp; Microscopic description 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Prewiring complete in 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Report assembly &amp; PDF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Prewiring complete in 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Role-based sign-out (Resident → Attending)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usePermission hook + SynopticApproval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Consult request &amp; response workflow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ConsultRequest table stub + sign-out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Amendment workflow as system of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Version model supports it already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Peer review with sign-out blocking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SynopticApproval table + legal clearance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TAT tracking (PathScribe-owned)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management must ship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PathScribe-native 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SSO remains option alongside 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CLIA/CAP compliance reporting (surgical 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Case management + sign-out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2E8F0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0891B2"/>
          <w:sz w:val="27"/>
          <w:szCs w:val="27"/>
        </w:rPr>
        <w:t xml:space="preserve">5.2 Phase 2b — Cytology QC &amp; Full CLIA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Full cytology workflow and CLIA enforcement. Gated on Phase 2a stability and legal clearance.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Dependency /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Cytology case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Prospective 10% rescreening queue + sign-out block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 clearance: CLIA §493.1274(c)(1)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5-year lookback on HSIL/malignancy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 clearance: CLIA §493.1274(c)(2)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Cytohistologic correlation worklist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2a + cytology case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CLIA workload tracker + daily limit enforcement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 clearance: §493.1274(d)(2) hard block liability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UK RCPath checker queue + EQA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RCPath partnership / EQA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CLIA cytology compliance reporting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above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Outstanding Engineering Items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are known pending tasks from recent development sessions, not yet on the formal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Wire PathScribeEditor font toolbar to useSystemConfig().approvedFonts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SystemConfig.approvedFonts added. Editor still uses hardcoded prop.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TemplateRenderer — load by templateId from URL param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Currently always loads mockDcisTemplate regardless of 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Addendum workflow 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Button exists on SynopticReportPage. Modal not implemented. Reuse "Add Synoptic Report" modal, flag as addendum type.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Amendment workflow — unlock/watermark/re-sign 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Button exists. Workflow not implemented.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— Phase 2a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@types/ContributionDashboard.ts — verify file exists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Import in ContributionDashboardPage.tsx. Verify at src/types/ContributionDashboard.ts.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 status push 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When addendum/amendment signed, currently toast only. Needs actual HTTP call to lisEndpoint.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— Phase 1b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Shortcut Actions Registry (shortcutActions.ts)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Deferred until features stabilise. Each entry: id, label, group, description, defaultShortcut, featureFlag.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— ongoing</w:t>
            </w:r>
          </w:p>
        </w:tc>
      </w:tr>
    </w:tbl>
    <w:sectPr>
      <w:footerReference w:type="default" r:id="rId6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PathScribe AI — Product Roadmap &amp; Feature Status</w:t>
    </w:r>
    <w:r>
      <w:rPr>
        <w:sz w:val="16"/>
        <w:szCs w:val="16"/>
      </w:rPr>
      <w:tab/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891B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2026-03-09T02:38:30.963Z</dcterms:created>
  <dcterms:modified xsi:type="dcterms:W3CDTF">2026-03-09T02:38:30.963Z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