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60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PathScribe AI</w:t>
      </w:r>
    </w:p>
    <w:p>
      <w:pPr>
        <w:spacing w:before="0" w:after="80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Architecture &amp; System Administration Guide</w:t>
      </w:r>
    </w:p>
    <w:p>
      <w:pPr>
        <w:spacing w:before="0" w:after="600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Version 1.0  —  March 2026  —  CONFIDENTIAL</w:t>
      </w:r>
    </w:p>
    <w:p>
      <w:pPr>
        <w:spacing w:before="0" w:after="160"/>
      </w:pPr>
    </w:p>
    <w:p>
      <w:pPr>
        <w:pageBreakBefore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System Overview</w:t>
      </w:r>
    </w:p>
    <w:p>
      <w:pPr>
        <w:spacing w:before="60"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PathScribe AI is a cloud-based anatomic pathology laboratory information and AI-assistance platform. It is designed to support pathologists, residents, and administrators through the full case lifecycle — from specimen accession through final sign-out and result delivery.</w:t>
      </w:r>
    </w:p>
    <w:p>
      <w:pPr>
        <w:spacing w:before="0" w:after="1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Core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Users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Case Worklist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Active case management, assignment, and sign-out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Pathologists, Residents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Specimen Dictionary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Configurable specimen types, stains, and processing rules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Admins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Subspecialties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Routing groups linking subspecialty to staff and specimens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Admins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Staff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Internal user management (Pathologists, Residents, Admins)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Admins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Physicians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External ordering physician directory for report delivery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Admins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Flags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Case and specimen-level alert definitions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Admins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 Behavior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 model configuration and synoptic template management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Admins</w:t>
            </w:r>
          </w:p>
        </w:tc>
      </w:tr>
    </w:tbl>
    <w:p>
      <w:pPr>
        <w:spacing w:before="0" w:after="160"/>
      </w:pPr>
    </w:p>
    <w:p>
      <w:pPr>
        <w:pageBreakBefore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User &amp; Role Architecture</w:t>
      </w:r>
    </w:p>
    <w:p>
      <w:pPr>
        <w:spacing w:before="60"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PathScribe AI distinguishes between two categories of people: Staff (internal system users) and Physicians (external ordering doctors). These are intentionally separate because they have different access patterns, data requirements, and lifecycle management needs.</w:t>
      </w:r>
    </w:p>
    <w:p>
      <w:pPr>
        <w:spacing w:before="0" w:after="1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Staff</w:t>
      </w:r>
    </w:p>
    <w:p>
      <w:pPr>
        <w:spacing w:before="60"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Staff are internal users who log into PathScribe AI. They are managed under Configuration → Staff.</w:t>
      </w:r>
    </w:p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First &amp; Last Name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Used for display, reports, and audit logs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Used for notifications if AD/SSO not controlling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Role(s)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One or more: Pathologist, Resident, Admin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NPI Number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Required for billing-related workflows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License Number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State medical license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Phone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Internal contact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Department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e.g. Surgical Pathology, Hematopathology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Signature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Image upload. Used on reports and in-app signing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Active / Inactive (toggle in modal)</w:t>
            </w:r>
          </w:p>
        </w:tc>
      </w:tr>
    </w:tbl>
    <w:p>
      <w:pPr>
        <w:spacing w:before="0" w:after="16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2.1.1 Role Permissions</w:t>
      </w:r>
    </w:p>
    <w:p>
      <w:pPr>
        <w:spacing w:before="60"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Roles are not mutually exclusive — a staff member can hold multiple roles (e.g. a Pathologist who is also an Admin). Permissions are evaluated as a union of all assigned roles.</w:t>
      </w:r>
    </w:p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Access Cases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Access Configuration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Pathologist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Full case worklist, sign-out, AI assistance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Resident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Case access, limited sign-out depending on config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Configuration only, no clinical case access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Physician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Directory only — never logs in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2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E40AF"/>
                <w:sz w:val="20"/>
                <w:szCs w:val="20"/>
              </w:rPr>
              <w:t xml:space="preserve">Architecture note: The Physician role is a directory-only designation. Physicians are stored separately from Staff and never have login credentials or app access. See Section 2.2.</w:t>
            </w:r>
          </w:p>
        </w:tc>
      </w:tr>
    </w:tbl>
    <w:p>
      <w:pPr>
        <w:spacing w:before="0" w:after="1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Physicians</w:t>
      </w:r>
    </w:p>
    <w:p>
      <w:pPr>
        <w:spacing w:before="60"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Physicians are external ordering and submitting doctors. They do not log into PathScribe AI. Their records exist solely to support report delivery, result routing, and contact lookups.</w:t>
      </w:r>
    </w:p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First &amp; Last Name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Used on reports and result notifications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NPI Number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Used for billing validation and deduplication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Specialty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Defaults to "General" on auto-creation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Phone / Fax / Email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At least one recommended for result delivery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Preferred Contact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Email, Fax, or Phone — drives report routing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Client Affiliations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Links physician to one or more client facilities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Active / Inactive / Unverified</w:t>
            </w:r>
          </w:p>
        </w:tc>
      </w:tr>
    </w:tbl>
    <w:p>
      <w:pPr>
        <w:spacing w:before="0" w:after="16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2.2.1 Auto-Creation from Transactions</w:t>
      </w:r>
    </w:p>
    <w:p>
      <w:pPr>
        <w:spacing w:before="60"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When an incoming case or transaction references a physician NPI that does not exist in the directory, PathScribe AI automatically creates a Physician record with the following defaults: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 Name and NPI populated from the transaction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 Specialty set to "General"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 Status set to "Unverified"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 No contact information (fax, email, phone) populated</w:t>
      </w:r>
    </w:p>
    <w:p>
      <w:pPr>
        <w:spacing w:before="0" w:after="160"/>
      </w:pPr>
    </w:p>
    <w:p>
      <w:pPr>
        <w:spacing w:before="60"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Unverified physicians are flagged in the Physicians table with an amber indicator. An administrator should review and complete the record — particularly adding fax or email — to enable result delivery.</w:t>
      </w:r>
    </w:p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2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E40AF"/>
                <w:sz w:val="20"/>
                <w:szCs w:val="20"/>
              </w:rPr>
              <w:t xml:space="preserve">Admin action required: Unverified physicians will not receive result notifications until a preferred contact method is added and the record is confirmed Active.</w:t>
            </w:r>
          </w:p>
        </w:tc>
      </w:tr>
    </w:tbl>
    <w:p>
      <w:pPr>
        <w:spacing w:before="0" w:after="16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2.2.2 Physician Data Architecture (Performance Design)</w:t>
      </w:r>
    </w:p>
    <w:p>
      <w:pPr>
        <w:spacing w:before="60"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Physician data is managed using a hybrid snapshot + directory pattern to optimize Firestore read costs:</w:t>
      </w:r>
    </w:p>
    <w:p>
      <w:pPr>
        <w:spacing w:before="0" w:after="16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Source of truth. Stores the complete physician record. Updated manually or via verification workflow.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Physician Directory: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At accession time, a lightweight snapshot of the physician (name, NPI, preferred contact, fax/email) is embedded directly on the case document.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Case Snapshot: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Case display and report generation read the embedded snapshot, never the directory. This means one Firestore read per case — not one read per case plus one read per physician.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No runtime joins: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Updating a physician record in the directory does NOT retroactively update historical case snapshots. This is intentional — the case record reflects who the ordering physician was at the time of accession.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Update propagation: </w:t>
      </w:r>
    </w:p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2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E40AF"/>
                <w:sz w:val="20"/>
                <w:szCs w:val="20"/>
              </w:rPr>
              <w:t xml:space="preserve">Performance note: The physician directory of 10,000 records is approximately 2–3 MB total. Storage cost is negligible. The design optimization targets reads, not storage — embedding the snapshot on the case eliminates the per-case physician lookup entirely.</w:t>
            </w:r>
          </w:p>
        </w:tc>
      </w:tr>
    </w:tbl>
    <w:p>
      <w:pPr>
        <w:spacing w:before="0" w:after="160"/>
      </w:pPr>
    </w:p>
    <w:p>
      <w:pPr>
        <w:pageBreakBefore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Subspecialties</w:t>
      </w:r>
    </w:p>
    <w:p>
      <w:pPr>
        <w:spacing w:before="60"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Subspecialties are routing and grouping constructs that link pathology subspecialties to staff members and specimen types. They are managed under Configuration → System → Subspecialties.</w:t>
      </w:r>
    </w:p>
    <w:p>
      <w:pPr>
        <w:spacing w:before="0" w:after="1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Data Model</w:t>
      </w:r>
    </w:p>
    <w:p>
      <w:pPr>
        <w:spacing w:before="60"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Subspecialty record is the owner of the relationship — it holds arrays of staff userIds and specimenIds assigned to it.</w:t>
      </w:r>
    </w:p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Short identifier e.g. "gi", "breast", "derm"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Display name e.g. "Gastrointestinal"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userIds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string[]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Staff members assigned to this subspecialty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specimenIds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string[]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Specimen types routed to this subspecialty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Active | Inactive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Inactive unlinks all assignments</w:t>
            </w:r>
          </w:p>
        </w:tc>
      </w:tr>
    </w:tbl>
    <w:p>
      <w:pPr>
        <w:spacing w:before="0" w:after="1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Inactivation Behavior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Inactivating a subspecialty with active assignments triggers a confirmation modal listing all affected specimens and staff.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"Inactivate &amp; Unlink" clears all userIds and specimenIds from the subspecialty record.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Assignments are NOT restored if the subspecialty is later reactivated — reassignment is manual.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Reactivation shows an informational modal reminding the administrator to reassign.</w:t>
      </w:r>
    </w:p>
    <w:p>
      <w:pPr>
        <w:spacing w:before="0" w:after="160"/>
      </w:pPr>
    </w:p>
    <w:p>
      <w:pPr>
        <w:pageBreakBefore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Flags</w:t>
      </w:r>
    </w:p>
    <w:p>
      <w:pPr>
        <w:spacing w:before="60"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Flags are configurable alert definitions that can be applied at the case or specimen level. They are managed under Configuration → System → Flags.</w:t>
      </w:r>
    </w:p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Display name shown on cases and specimens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LIS Code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Corresponding code in the LIS system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 text description of the flag purpose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Level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Case Level or Specimen Level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Severity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1=Informational, 2=Low, 3=Medium, 4=High, 5=Critical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Active / Inactive toggle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2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E40AF"/>
                <w:sz w:val="20"/>
                <w:szCs w:val="20"/>
              </w:rPr>
              <w:t xml:space="preserve">Design decision: Flags are inactivated, never deleted. This preserves historical flag data on existing cases. Inactive flags do not appear in case/specimen flag assignment workflows.</w:t>
            </w:r>
          </w:p>
        </w:tc>
      </w:tr>
    </w:tbl>
    <w:p>
      <w:pPr>
        <w:spacing w:before="0" w:after="160"/>
      </w:pPr>
    </w:p>
    <w:p>
      <w:pPr>
        <w:pageBreakBefore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Source File Map</w:t>
      </w:r>
    </w:p>
    <w:p>
      <w:pPr>
        <w:spacing w:before="60"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Key configuration-related source files and their locations in the codebase:</w:t>
      </w:r>
    </w:p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ConfigurationPage.tsx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src/pages/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Top-level config shell, tab routing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StaffTab (index.tsx)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src/components/Config/Users/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Staff table and Add/Edit modal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System index.tsx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src/components/Config/System/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System section sidebar and routing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SubspecialtiesSection.tsx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src/components/Config/System/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Subspecialties table and modal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PhysiciansSection.tsx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src/components/Config/System/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Physicians table and modal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FlagConfigPage.tsx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src/components/Config/System/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Flags table and modal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useSubspecialties.tsx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src/contexts/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Subspecialty context and state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modalStyles.ts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src/components/Common/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Shared modal style constants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2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E40AF"/>
                <w:sz w:val="20"/>
                <w:szCs w:val="20"/>
              </w:rPr>
              <w:t xml:space="preserve">Important: There was previously a duplicate ConfigurationPage.tsx directly under src/. This has been removed. The canonical file is src/pages/ConfigurationPage.tsx. The router (App.tsx) imports from src/pages/.</w:t>
            </w:r>
          </w:p>
        </w:tc>
      </w:tr>
    </w:tbl>
    <w:p>
      <w:pPr>
        <w:spacing w:before="0" w:after="160"/>
      </w:pPr>
    </w:p>
    <w:p>
      <w:pPr>
        <w:pageBreakBefore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Clinical Coding Architecture (SNOMED &amp; ICD)</w:t>
      </w:r>
    </w:p>
    <w:p>
      <w:pPr>
        <w:spacing w:before="60"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PathScribe AI does not own or store a local copy of SNOMED-CT or ICD code dictionaries. Codes are fetched on demand from national repositories and only selected codes are stored in Firestore.</w:t>
      </w:r>
    </w:p>
    <w:p>
      <w:pPr>
        <w:spacing w:before="0" w:after="1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Code Fetch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System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API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SNOMED-CT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NLM UMLS / VSAC API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Diagnosis coding, QC positive-case rules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Selected codes only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ICD-10-CM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NLM Clinical Tables API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Billing, reporting, accreditation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Selected codes only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CAP Protocols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CAP eCC metadata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Template-embedded, auto-populated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Stored with template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NPI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CMS NPI Registry API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Physician verification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Stored on physician record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2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E40AF"/>
                <w:sz w:val="20"/>
                <w:szCs w:val="20"/>
              </w:rPr>
              <w:t xml:space="preserve">Performance note: All external code lookups use typeahead search (~100-300ms). PathScribe never fetches or caches full dictionaries. Only explicitly selected codes are stored in Firestore.</w:t>
            </w:r>
          </w:p>
        </w:tc>
      </w:tr>
    </w:tbl>
    <w:p>
      <w:pPr>
        <w:spacing w:before="0" w:after="1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Code Association by Content Type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Codes embedded in CAP eCC metadata, automatically attached at template selection. No pathologist action required.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CAP Protocol Templates —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Template author searches and attaches SNOMED/ICD codes at build time. Codes flow to the case at sign-out.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Custom Templates —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Macros can carry SNOMED/ICD associations. When inserted, associated codes are automatically added to the case diagnosis coding.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Macros —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Pathologists can manually search and attach codes directly on a case. This is the fallback for cases not covered by templates or macros.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Manual Entry — </w:t>
      </w:r>
    </w:p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2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E40AF"/>
                <w:sz w:val="20"/>
                <w:szCs w:val="20"/>
              </w:rPr>
              <w:t xml:space="preserve">Design goal: Manual code entry should be the exception, not the rule. Template and macro pathways ensure a fully coded case requires zero additional coding steps in the majority of cases.</w:t>
            </w:r>
          </w:p>
        </w:tc>
      </w:tr>
    </w:tbl>
    <w:p>
      <w:pPr>
        <w:spacing w:before="0" w:after="1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6.3 QC Integration</w:t>
      </w:r>
    </w:p>
    <w:p>
      <w:pPr>
        <w:spacing w:before="60"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Clinical coding directly enables the QC positive-case review workflow. A case signed out with a malignant SNOMED code automatically triggers the positive-case review rate. This evaluation happens at sign-out with no manual flagging required.</w:t>
      </w:r>
    </w:p>
    <w:p>
      <w:pPr>
        <w:spacing w:before="0" w:after="160"/>
      </w:pPr>
    </w:p>
    <w:p>
      <w:pPr>
        <w:pageBreakBefore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QC Module Architecture</w:t>
      </w:r>
    </w:p>
    <w:p>
      <w:pPr>
        <w:spacing w:before="60"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QC module is a separate configuration area (QC tab in Configuration). It manages review rates, positive case definitions, review queues, and accreditation reporting.</w:t>
      </w:r>
    </w:p>
    <w:p>
      <w:pPr>
        <w:spacing w:before="0" w:after="1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7.1 Review Rate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Random Review Rate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Percentage of all signed-out cases selected for random QC review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10%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Positive Case Review Rate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Percentage of cases with positive SNOMED codes selected for review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100%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Positive SNOMED Code Set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Configurable set of SNOMED codes/hierarchies defining a positive case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Malignant neoplasm hierarchy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Review Window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Days within which QC review must be completed after sign-out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30 days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Discordance Alert Threshold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Monthly discordance rate that triggers an administrative alert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5%</w:t>
            </w:r>
          </w:p>
        </w:tc>
      </w:tr>
    </w:tbl>
    <w:p>
      <w:pPr>
        <w:spacing w:before="0" w:after="1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7.2 QC System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qc.configure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Configure QC Rules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Set review rates, positive code set, review window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qc.viewQueue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View QC Queue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See cases pending QC review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qc.claimReview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Claim QC Review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Take ownership of a pending QC case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qc.submitReview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Submit QC Review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Record agree/disagree and comments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qc.escalateDiscordance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Escalate Discordance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Flag a discordant case for senior review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qc.viewDashboard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View QC Dashboard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View QC statistics and trends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qc.exportReport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Export QC Report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Export QC data in CAP accreditation format</w:t>
            </w:r>
          </w:p>
        </w:tc>
      </w:tr>
    </w:tbl>
    <w:p>
      <w:pPr>
        <w:spacing w:before="0" w:after="160"/>
      </w:pPr>
    </w:p>
    <w:p>
      <w:pPr>
        <w:pageBreakBefore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System Actions Dictionary</w:t>
      </w:r>
    </w:p>
    <w:p>
      <w:pPr>
        <w:spacing w:before="60"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Complete list of system actions used by the Role Dictionary to define permissions. The same groups are used in both the Keyboard Shortcuts modal and the Role permissions UI.</w:t>
      </w:r>
    </w:p>
    <w:p>
      <w:pPr>
        <w:spacing w:before="0" w:after="1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8.1 Case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case.viewWorklist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View Case Worklist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case.open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Open / View Case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case.create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 New Case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Manual accession — prebuilt for future release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case.editDemographics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Edit Case Demographics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case.assign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Assign Case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case.reassign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Reassign Case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case.prioritize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Prioritize / Escalate Case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case.hold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Place Case On Hold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case.releaseHold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Release Case From Hold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case.archive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Archive Case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case.delete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Delete Case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Admin only</w:t>
            </w:r>
          </w:p>
        </w:tc>
      </w:tr>
    </w:tbl>
    <w:p>
      <w:pPr>
        <w:spacing w:before="0" w:after="1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8.2 Specimen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specimen.add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 Specimen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specimen.edit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Edit Specimen Details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specimen.remove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Remove Specimen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specimen.applyFlag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Apply Flag to Specimen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specimen.removeFlag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Remove Flag from Specimen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specimen.assignSubspecialty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Assign to Subspecialty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8.3 Diagnosis &amp; Sign-Out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diagnosis.grossDescription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Enter Gross Description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diagnosis.microscopicDescription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Enter Microscopic Description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diagnosis.enterDiagnosis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Enter Diagnosis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diagnosis.enterAddendum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Enter Addendum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diagnosis.signOut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Sign Out Case (Primary)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diagnosis.coSign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Co-Sign Case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Resident / Fellow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diagnosis.amend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Amend Signed-Out Case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diagnosis.revokeSignOut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Revoke Sign-Out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8.4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report.preview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Preview Report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report.generate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Generate / Print Report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report.deliver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Deliver Report to Physician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Fax or email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report.redeliver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Re-Deliver Report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report.viewHistory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View Report History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report.download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Download Report PDF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8.5 AI Assistance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ai.diagnosisSuggest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 AI Diagnosis Suggestion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ai.grossAssist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 AI Gross Description Assist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ai.macroSuggest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 AI Macro Suggestion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ai.viewConfidence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View AI Confidence Scores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ai.override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Override AI Suggestion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8.6 Reporting Editor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editor.insertMacro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Insert Macro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Maps to keyboard shortcut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editor.insertTable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Insert Table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Maps to keyboard shortcut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editor.insertSignature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Insert Signature Line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Maps to keyboard shortcut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editor.bold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Bold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Maps to keyboard shortcut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editor.italic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Italic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Maps to keyboard shortcut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editor.underline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Underline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Maps to keyboard shortcut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editor.bullets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Bullets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Maps to keyboard shortcut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editor.numbering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Numbered List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Maps to keyboard shortcut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editor.find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Find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Maps to keyboard shortcut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editor.replace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Replace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Maps to keyboard shortcut</w:t>
            </w:r>
          </w:p>
        </w:tc>
      </w:tr>
    </w:tbl>
    <w:p>
      <w:pPr>
        <w:spacing w:before="0" w:after="1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8.7 Client &amp; Physician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client.view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View Client List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client.edit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 / Edit Client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physician.view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View Physician Directory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physician.edit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 / Edit Physician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physician.verify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Verify Physician Record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8.8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config.access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Access Configuration Module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config.staff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Manage Staff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config.roles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Manage Roles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config.subspecialties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Manage Subspecialties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config.specimens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Manage Specimen Dictionary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config.flags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Manage Flags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config.ai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Manage AI Behavior Settings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config.macros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Manage Macros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config.shortcuts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Manage Keyboard Shortcuts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config.lis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Manage LIS Integration Settings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config.auditLog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View Audit Log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8.9 QC</w:t>
      </w:r>
    </w:p>
    <w:p>
      <w:pPr>
        <w:spacing w:before="60"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See Section 7.2 for QC action definitions.</w:t>
      </w:r>
    </w:p>
    <w:p>
      <w:pPr>
        <w:spacing w:before="0" w:after="1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8.10 Billing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billing.viewCodes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View Billing Codes on Case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Prebuilt — future release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billing.editCodes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Edit Billing Codes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Prebuilt — future release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billing.submitClaim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Submit Claim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Prebuilt — future release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billing.viewHistory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View Billing History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Prebuilt — future release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billing.exportBatch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Export Billing Batch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Prebuilt — future release</w:t>
            </w:r>
          </w:p>
        </w:tc>
      </w:tr>
    </w:tbl>
    <w:p>
      <w:pPr>
        <w:spacing w:before="0" w:after="1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8.11 System /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admin.dashboard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View System Dashboard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admin.reports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Run System Reports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admin.export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Export Data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admin.backups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Manage Backups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admin.eventLog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View Error / Event Log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admin.impersonate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Impersonate User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Super admin only</w:t>
            </w:r>
          </w:p>
        </w:tc>
      </w:tr>
    </w:tbl>
    <w:p>
      <w:pPr>
        <w:spacing w:before="0" w:after="16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1"/>
      </w:pBdr>
      <w:tabs>
        <w:tab w:val="right" w:pos="9360"/>
      </w:tabs>
    </w:pPr>
    <w:r>
      <w:rPr>
        <w:rFonts w:ascii="Arial" w:cs="Arial" w:eastAsia="Arial" w:hAnsi="Arial"/>
        <w:color w:val="9CA3AF"/>
        <w:sz w:val="18"/>
        <w:szCs w:val="18"/>
      </w:rPr>
      <w:t xml:space="preserve">CONFIDENTIAL — Internal Use Only</w:t>
    </w:r>
    <w:r>
      <w:rPr>
        <w:rFonts w:ascii="Arial" w:cs="Arial" w:eastAsia="Arial" w:hAnsi="Arial"/>
        <w:color w:val="9CA3AF"/>
        <w:sz w:val="18"/>
        <w:szCs w:val="18"/>
      </w:rPr>
      <w:t xml:space="preserve">	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1"/>
      </w:pBdr>
    </w:pPr>
    <w:r>
      <w:rPr>
        <w:rFonts w:ascii="Arial" w:cs="Arial" w:eastAsia="Arial" w:hAnsi="Arial"/>
        <w:color w:val="6B7280"/>
        <w:sz w:val="18"/>
        <w:szCs w:val="18"/>
      </w:rPr>
      <w:t xml:space="preserve">PathScribe AI  —  Architecture &amp; System Administration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2026-03-04T15:50:44.234Z</dcterms:created>
  <dcterms:modified xsi:type="dcterms:W3CDTF">2026-03-04T15:50:44.235Z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