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0891B2"/>
          <w:sz w:val="52"/>
          <w:szCs w:val="52"/>
        </w:rPr>
        <w:t xml:space="preserve">PathScribe AI</w:t>
      </w:r>
    </w:p>
    <w:p>
      <w:pPr>
        <w:spacing w:before="0" w:after="80"/>
      </w:pPr>
      <w:r>
        <w:rPr>
          <w:rFonts w:ascii="Arial" w:cs="Arial" w:eastAsia="Arial" w:hAnsi="Arial"/>
          <w:b/>
          <w:bCs/>
          <w:color w:val="334155"/>
          <w:sz w:val="40"/>
          <w:szCs w:val="40"/>
        </w:rPr>
        <w:t xml:space="preserve">Terminology Architecture</w:t>
      </w:r>
    </w:p>
    <w:p>
      <w:pPr>
        <w:pBdr>
          <w:bottom w:val="single" w:color="0891B2" w:sz="6" w:space="8"/>
        </w:pBdr>
        <w:spacing w:before="0" w:after="480"/>
      </w:pPr>
      <w:r>
        <w:rPr>
          <w:rFonts w:ascii="Arial" w:cs="Arial" w:eastAsia="Arial" w:hAnsi="Arial"/>
          <w:color w:val="64748b"/>
          <w:sz w:val="26"/>
          <w:szCs w:val="26"/>
        </w:rPr>
        <w:t xml:space="preserve">Clinical Coding Dictionary — Design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Architecture Decision Record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Status</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Approved — Pending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1.0</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Date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7 March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PathScribe Engineering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Applies To</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v1 Commercial Release (US, CA, GB)</w:t>
            </w:r>
          </w:p>
        </w:tc>
      </w:tr>
    </w:tbl>
    <w:p>
      <w:pPr>
        <w:spacing w:after="0"/>
      </w:pPr>
      <w:r>
        <w:t xml:space="preserve"/>
      </w:r>
    </w:p>
    <w:p>
      <w:pPr>
        <w:spacing w:after="0"/>
      </w:pPr>
      <w:r>
        <w:t xml:space="preserve"/>
      </w:r>
    </w:p>
    <w:p>
      <w:pPr>
        <w:spacing w:before="0" w:after="80"/>
      </w:pPr>
      <w:r>
        <w:rPr>
          <w:rFonts w:ascii="Arial" w:cs="Arial" w:eastAsia="Arial" w:hAnsi="Arial"/>
          <w:b/>
          <w:bCs/>
          <w:caps/>
          <w:color w:val="94a3b8"/>
          <w:sz w:val="18"/>
          <w:szCs w:val="18"/>
        </w:rPr>
        <w:t xml:space="preserve">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3"/>
              <w:left w:val="single" w:color="0891B2" w:sz="12"/>
              <w:bottom w:val="single" w:color="0891B2" w:sz="1"/>
              <w:right w:val="single" w:color="0891B2" w:sz="1"/>
            </w:tcBorders>
            <w:shd w:fill="E0F4F8" w:val="clear"/>
            <w:tcMar>
              <w:top w:type="dxa" w:w="120"/>
              <w:left w:type="dxa" w:w="180"/>
              <w:bottom w:type="dxa" w:w="120"/>
              <w:right w:type="dxa" w:w="120"/>
            </w:tcMar>
          </w:tcPr>
          <w:p>
            <w:pPr>
              <w:spacing w:before="0" w:after="60"/>
            </w:pPr>
            <w:r>
              <w:rPr>
                <w:rFonts w:ascii="Arial" w:cs="Arial" w:eastAsia="Arial" w:hAnsi="Arial"/>
                <w:b/>
                <w:bCs/>
                <w:color w:val="0891B2"/>
                <w:sz w:val="20"/>
                <w:szCs w:val="20"/>
              </w:rPr>
              <w:t xml:space="preserve">Architectural Decision</w:t>
            </w:r>
          </w:p>
          <w:p>
            <w:pPr>
              <w:spacing w:before="0" w:after="0"/>
            </w:pPr>
            <w:r>
              <w:rPr>
                <w:rFonts w:ascii="Arial" w:cs="Arial" w:eastAsia="Arial" w:hAnsi="Arial"/>
                <w:color w:val="334155"/>
                <w:sz w:val="20"/>
                <w:szCs w:val="20"/>
              </w:rPr>
              <w:t xml:space="preserve">All clinical terminology (SNOMED CT, ICD-10, ICD-11, ICD-O-3) is served from Firestore as a hosted reference, seeded at deployment time. No live external API calls in v1. This ensures sub-100ms query performance, offline resilience, and no runtime dependency on third-party services.</w:t>
            </w:r>
          </w:p>
        </w:tc>
      </w:tr>
    </w:tbl>
    <w:p>
      <w:pPr>
        <w:spacing w:after="0"/>
      </w:pPr>
      <w:r>
        <w:t xml:space="preserve"/>
      </w:r>
    </w:p>
    <w:p>
      <w:pPr>
        <w:spacing w:after="0"/>
      </w:pPr>
      <w:r>
        <w:t xml:space="preserve"/>
      </w:r>
    </w:p>
    <w:p>
      <w:r>
        <w:br w:type="page"/>
      </w:r>
    </w:p>
    <w:p>
      <w:pPr>
        <w:pStyle w:val="Heading1"/>
        <w:pBdr>
          <w:bottom w:val="single" w:color="0891B2" w:sz="6" w:space="4"/>
        </w:pBdr>
        <w:spacing w:before="320" w:after="160"/>
      </w:pPr>
      <w:r>
        <w:rPr>
          <w:rFonts w:ascii="Arial" w:cs="Arial" w:eastAsia="Arial" w:hAnsi="Arial"/>
          <w:b/>
          <w:bCs/>
          <w:color w:val="334155"/>
          <w:sz w:val="32"/>
          <w:szCs w:val="32"/>
        </w:rPr>
        <w:t xml:space="preserve">1. Overview</w:t>
      </w:r>
    </w:p>
    <w:p>
      <w:pPr>
        <w:spacing w:before="60" w:after="100"/>
      </w:pPr>
      <w:r>
        <w:rPr>
          <w:rFonts w:ascii="Arial" w:cs="Arial" w:eastAsia="Arial" w:hAnsi="Arial"/>
          <w:color w:val="334155"/>
          <w:sz w:val="22"/>
          <w:szCs w:val="22"/>
        </w:rPr>
        <w:t xml:space="preserve">PathScribe requires access to standardised clinical terminology to support case search, diagnosis coding, and synoptic report completion. This document defines the architecture for how terminology dictionaries are stored, updated, and served within the application.</w:t>
      </w:r>
    </w:p>
    <w:p>
      <w:pPr>
        <w:spacing w:before="60" w:after="100"/>
      </w:pPr>
      <w:r>
        <w:rPr>
          <w:rFonts w:ascii="Arial" w:cs="Arial" w:eastAsia="Arial" w:hAnsi="Arial"/>
          <w:color w:val="334155"/>
          <w:sz w:val="22"/>
          <w:szCs w:val="22"/>
        </w:rPr>
        <w:t xml:space="preserve">The core design principle is: terminology is infrastructure, not application data. It is seeded at deployment, versioned explicitly, and updated on a defined schedule — not fetched on demand from external APIs.</w:t>
      </w:r>
    </w:p>
    <w:p>
      <w:pPr>
        <w:spacing w:after="0"/>
      </w:pPr>
      <w:r>
        <w:t xml:space="preserve"/>
      </w:r>
    </w:p>
    <w:p>
      <w:pPr>
        <w:pStyle w:val="Heading2"/>
        <w:spacing w:before="280" w:after="120"/>
      </w:pPr>
      <w:r>
        <w:rPr>
          <w:rFonts w:ascii="Arial" w:cs="Arial" w:eastAsia="Arial" w:hAnsi="Arial"/>
          <w:b/>
          <w:bCs/>
          <w:color w:val="0891B2"/>
          <w:sz w:val="26"/>
          <w:szCs w:val="26"/>
        </w:rPr>
        <w:t xml:space="preserve">1.1 Terminology Systems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c>
          <w:tcPr>
            <w:tcW w:type="dxa" w:w="18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System</w:t>
            </w:r>
          </w:p>
        </w:tc>
        <w:tc>
          <w:tcPr>
            <w:tcW w:type="dxa" w:w="32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Authority</w:t>
            </w:r>
          </w:p>
        </w:tc>
        <w:tc>
          <w:tcPr>
            <w:tcW w:type="dxa" w:w="20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Jurisdictions</w:t>
            </w:r>
          </w:p>
        </w:tc>
        <w:tc>
          <w:tcPr>
            <w:tcW w:type="dxa" w:w="23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SNOMED 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SNOMED International / NLM (US) / NHS (GB) / Infoway (CA)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US, CA, GB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Twice yearly (Mar, Sep)</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ICD-10-CM</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NLM / CMS</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US</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Annual (Oct)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CIHI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Annual (Apr)</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 WHO</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WHO / NHS</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GB</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Annual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WHO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US, CA, GB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Annual</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ICD-O-3.2</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WHO / IARC</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US, CA, GB</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Per edition (~5 yrs)</w:t>
            </w:r>
          </w:p>
        </w:tc>
      </w:tr>
    </w:tbl>
    <w:p>
      <w:pPr>
        <w:spacing w:after="0"/>
      </w:pPr>
      <w:r>
        <w:t xml:space="preserve"/>
      </w:r>
    </w:p>
    <w:p>
      <w:pPr>
        <w:spacing w:after="0"/>
      </w:pPr>
      <w:r>
        <w:t xml:space="preserve"/>
      </w:r>
    </w:p>
    <w:p>
      <w:pPr>
        <w:pStyle w:val="Heading1"/>
        <w:pBdr>
          <w:bottom w:val="single" w:color="0891B2" w:sz="6" w:space="4"/>
        </w:pBdr>
        <w:spacing w:before="320" w:after="160"/>
      </w:pPr>
      <w:r>
        <w:rPr>
          <w:rFonts w:ascii="Arial" w:cs="Arial" w:eastAsia="Arial" w:hAnsi="Arial"/>
          <w:b/>
          <w:bCs/>
          <w:color w:val="334155"/>
          <w:sz w:val="32"/>
          <w:szCs w:val="32"/>
        </w:rPr>
        <w:t xml:space="preserve">2. Licensing by Jurisdiction</w:t>
      </w:r>
    </w:p>
    <w:p>
      <w:pPr>
        <w:spacing w:before="60" w:after="100"/>
      </w:pPr>
      <w:r>
        <w:rPr>
          <w:rFonts w:ascii="Arial" w:cs="Arial" w:eastAsia="Arial" w:hAnsi="Arial"/>
          <w:color w:val="334155"/>
          <w:sz w:val="22"/>
          <w:szCs w:val="22"/>
        </w:rPr>
        <w:t xml:space="preserve">Each terminology system requires registration and compliance with its respective license. The key obligation across all systems is the same: the terminology content must not be redistributed or resold as a standalone product. Use within a clinical application is permitted under all of the following licenses.</w:t>
      </w:r>
    </w:p>
    <w:p>
      <w:pPr>
        <w:spacing w:after="0"/>
      </w:pPr>
      <w:r>
        <w:t xml:space="preserve"/>
      </w:r>
    </w:p>
    <w:p>
      <w:pPr>
        <w:pStyle w:val="Heading2"/>
        <w:spacing w:before="280" w:after="120"/>
      </w:pPr>
      <w:r>
        <w:rPr>
          <w:rFonts w:ascii="Arial" w:cs="Arial" w:eastAsia="Arial" w:hAnsi="Arial"/>
          <w:b/>
          <w:bCs/>
          <w:color w:val="0891B2"/>
          <w:sz w:val="26"/>
          <w:szCs w:val="26"/>
        </w:rPr>
        <w:t xml:space="preserve">2.1 United States</w:t>
      </w:r>
    </w:p>
    <w:p>
      <w:pPr>
        <w:pStyle w:val="ListParagraph"/>
        <w:numPr>
          <w:ilvl w:val="0"/>
          <w:numId w:val="2"/>
        </w:numPr>
        <w:spacing w:before="40" w:after="60"/>
      </w:pPr>
      <w:r>
        <w:rPr>
          <w:rFonts w:ascii="Arial" w:cs="Arial" w:eastAsia="Arial" w:hAnsi="Arial"/>
          <w:color w:val="334155"/>
          <w:sz w:val="22"/>
          <w:szCs w:val="22"/>
        </w:rPr>
        <w:t xml:space="preserve">SNOMED CT — covered under the NLM UMLS license (free, registration required at uts.nlm.nih.gov). NLM is the US National Release Centre.</w:t>
      </w:r>
    </w:p>
    <w:p>
      <w:pPr>
        <w:pStyle w:val="ListParagraph"/>
        <w:numPr>
          <w:ilvl w:val="0"/>
          <w:numId w:val="2"/>
        </w:numPr>
        <w:spacing w:before="40" w:after="60"/>
      </w:pPr>
      <w:r>
        <w:rPr>
          <w:rFonts w:ascii="Arial" w:cs="Arial" w:eastAsia="Arial" w:hAnsi="Arial"/>
          <w:color w:val="334155"/>
          <w:sz w:val="22"/>
          <w:szCs w:val="22"/>
        </w:rPr>
        <w:t xml:space="preserve">ICD-10-CM — covered under the same UMLS license. Published by NLM / CMS, no additional agreement required.</w:t>
      </w:r>
    </w:p>
    <w:p>
      <w:pPr>
        <w:pStyle w:val="ListParagraph"/>
        <w:numPr>
          <w:ilvl w:val="0"/>
          <w:numId w:val="2"/>
        </w:numPr>
        <w:spacing w:before="40" w:after="60"/>
      </w:pPr>
      <w:r>
        <w:rPr>
          <w:rFonts w:ascii="Arial" w:cs="Arial" w:eastAsia="Arial" w:hAnsi="Arial"/>
          <w:color w:val="334155"/>
          <w:sz w:val="22"/>
          <w:szCs w:val="22"/>
        </w:rPr>
        <w:t xml:space="preserve">ICD-11 — WHO API, free with registration at icd.who.int/icdapi. No commercial restrictions for querying.</w:t>
      </w:r>
    </w:p>
    <w:p>
      <w:pPr>
        <w:pStyle w:val="ListParagraph"/>
        <w:numPr>
          <w:ilvl w:val="0"/>
          <w:numId w:val="2"/>
        </w:numPr>
        <w:spacing w:before="40" w:after="60"/>
      </w:pPr>
      <w:r>
        <w:rPr>
          <w:rFonts w:ascii="Arial" w:cs="Arial" w:eastAsia="Arial" w:hAnsi="Arial"/>
          <w:color w:val="334155"/>
          <w:sz w:val="22"/>
          <w:szCs w:val="22"/>
        </w:rPr>
        <w:t xml:space="preserve">ICD-O-3.2 — published by WHO / IARC. Redistribution of the reference table within a clinical application is permitted as a reference tool. Not for resale of content.</w:t>
      </w:r>
    </w:p>
    <w:p>
      <w:pPr>
        <w:spacing w:after="0"/>
      </w:pPr>
      <w:r>
        <w:t xml:space="preserve"/>
      </w:r>
    </w:p>
    <w:p>
      <w:pPr>
        <w:pStyle w:val="Heading2"/>
        <w:spacing w:before="280" w:after="120"/>
      </w:pPr>
      <w:r>
        <w:rPr>
          <w:rFonts w:ascii="Arial" w:cs="Arial" w:eastAsia="Arial" w:hAnsi="Arial"/>
          <w:b/>
          <w:bCs/>
          <w:color w:val="0891B2"/>
          <w:sz w:val="26"/>
          <w:szCs w:val="26"/>
        </w:rPr>
        <w:t xml:space="preserve">2.2 Canada</w:t>
      </w:r>
    </w:p>
    <w:p>
      <w:pPr>
        <w:pStyle w:val="ListParagraph"/>
        <w:numPr>
          <w:ilvl w:val="0"/>
          <w:numId w:val="2"/>
        </w:numPr>
        <w:spacing w:before="40" w:after="60"/>
      </w:pPr>
      <w:r>
        <w:rPr>
          <w:rFonts w:ascii="Arial" w:cs="Arial" w:eastAsia="Arial" w:hAnsi="Arial"/>
          <w:color w:val="334155"/>
          <w:sz w:val="22"/>
          <w:szCs w:val="22"/>
        </w:rPr>
        <w:t xml:space="preserve">SNOMED CT — covered under Canada Health Infoway affiliate agreement (free for Canadian deployments). Registration at www.infoway-inforoute.ca.</w:t>
      </w:r>
    </w:p>
    <w:p>
      <w:pPr>
        <w:pStyle w:val="ListParagraph"/>
        <w:numPr>
          <w:ilvl w:val="0"/>
          <w:numId w:val="2"/>
        </w:numPr>
        <w:spacing w:before="40" w:after="60"/>
      </w:pPr>
      <w:r>
        <w:rPr>
          <w:rFonts w:ascii="Arial" w:cs="Arial" w:eastAsia="Arial" w:hAnsi="Arial"/>
          <w:color w:val="334155"/>
          <w:sz w:val="22"/>
          <w:szCs w:val="22"/>
        </w:rPr>
        <w:t xml:space="preserve">ICD-10-CA — published by CIHI (Canadian Institute for Health Information). License required; free for healthcare application use. Registration at www.cihi.ca.</w:t>
      </w:r>
    </w:p>
    <w:p>
      <w:pPr>
        <w:pStyle w:val="ListParagraph"/>
        <w:numPr>
          <w:ilvl w:val="0"/>
          <w:numId w:val="2"/>
        </w:numPr>
        <w:spacing w:before="40" w:after="60"/>
      </w:pPr>
      <w:r>
        <w:rPr>
          <w:rFonts w:ascii="Arial" w:cs="Arial" w:eastAsia="Arial" w:hAnsi="Arial"/>
          <w:color w:val="334155"/>
          <w:sz w:val="22"/>
          <w:szCs w:val="22"/>
        </w:rPr>
        <w:t xml:space="preserve">ICD-11 — same WHO license as US.</w:t>
      </w:r>
    </w:p>
    <w:p>
      <w:pPr>
        <w:pStyle w:val="ListParagraph"/>
        <w:numPr>
          <w:ilvl w:val="0"/>
          <w:numId w:val="2"/>
        </w:numPr>
        <w:spacing w:before="40" w:after="60"/>
      </w:pPr>
      <w:r>
        <w:rPr>
          <w:rFonts w:ascii="Arial" w:cs="Arial" w:eastAsia="Arial" w:hAnsi="Arial"/>
          <w:color w:val="334155"/>
          <w:sz w:val="22"/>
          <w:szCs w:val="22"/>
        </w:rPr>
        <w:t xml:space="preserve">ICD-O-3.2 — same terms as US.</w:t>
      </w:r>
    </w:p>
    <w:p>
      <w:pPr>
        <w:spacing w:after="0"/>
      </w:pPr>
      <w:r>
        <w:t xml:space="preserve"/>
      </w:r>
    </w:p>
    <w:p>
      <w:pPr>
        <w:pStyle w:val="Heading2"/>
        <w:spacing w:before="280" w:after="120"/>
      </w:pPr>
      <w:r>
        <w:rPr>
          <w:rFonts w:ascii="Arial" w:cs="Arial" w:eastAsia="Arial" w:hAnsi="Arial"/>
          <w:b/>
          <w:bCs/>
          <w:color w:val="0891B2"/>
          <w:sz w:val="26"/>
          <w:szCs w:val="26"/>
        </w:rPr>
        <w:t xml:space="preserve">2.3 United Kingdom</w:t>
      </w:r>
    </w:p>
    <w:p>
      <w:pPr>
        <w:pStyle w:val="ListParagraph"/>
        <w:numPr>
          <w:ilvl w:val="0"/>
          <w:numId w:val="2"/>
        </w:numPr>
        <w:spacing w:before="40" w:after="60"/>
      </w:pPr>
      <w:r>
        <w:rPr>
          <w:rFonts w:ascii="Arial" w:cs="Arial" w:eastAsia="Arial" w:hAnsi="Arial"/>
          <w:color w:val="334155"/>
          <w:sz w:val="22"/>
          <w:szCs w:val="22"/>
        </w:rPr>
        <w:t xml:space="preserve">SNOMED CT — covered under NHS Digital TRUD (Technology Reference data Update Distribution) agreement. Free registration at isd.digital.nhs.uk/trud. NHS is the UK National Release Centre.</w:t>
      </w:r>
    </w:p>
    <w:p>
      <w:pPr>
        <w:pStyle w:val="ListParagraph"/>
        <w:numPr>
          <w:ilvl w:val="0"/>
          <w:numId w:val="2"/>
        </w:numPr>
        <w:spacing w:before="40" w:after="60"/>
      </w:pPr>
      <w:r>
        <w:rPr>
          <w:rFonts w:ascii="Arial" w:cs="Arial" w:eastAsia="Arial" w:hAnsi="Arial"/>
          <w:color w:val="334155"/>
          <w:sz w:val="22"/>
          <w:szCs w:val="22"/>
        </w:rPr>
        <w:t xml:space="preserve">ICD-10 WHO — unmodified WHO version served via NHS terminology services. Covered under NHS TRUD registration.</w:t>
      </w:r>
    </w:p>
    <w:p>
      <w:pPr>
        <w:pStyle w:val="ListParagraph"/>
        <w:numPr>
          <w:ilvl w:val="0"/>
          <w:numId w:val="2"/>
        </w:numPr>
        <w:spacing w:before="40" w:after="60"/>
      </w:pPr>
      <w:r>
        <w:rPr>
          <w:rFonts w:ascii="Arial" w:cs="Arial" w:eastAsia="Arial" w:hAnsi="Arial"/>
          <w:color w:val="334155"/>
          <w:sz w:val="22"/>
          <w:szCs w:val="22"/>
        </w:rPr>
        <w:t xml:space="preserve">ICD-11 — same WHO license as US.</w:t>
      </w:r>
    </w:p>
    <w:p>
      <w:pPr>
        <w:pStyle w:val="ListParagraph"/>
        <w:numPr>
          <w:ilvl w:val="0"/>
          <w:numId w:val="2"/>
        </w:numPr>
        <w:spacing w:before="40" w:after="60"/>
      </w:pPr>
      <w:r>
        <w:rPr>
          <w:rFonts w:ascii="Arial" w:cs="Arial" w:eastAsia="Arial" w:hAnsi="Arial"/>
          <w:color w:val="334155"/>
          <w:sz w:val="22"/>
          <w:szCs w:val="22"/>
        </w:rPr>
        <w:t xml:space="preserve">ICD-O-3.2 — same terms as US.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3"/>
              <w:left w:val="single" w:color="F59E0B" w:sz="12"/>
              <w:bottom w:val="single" w:color="F59E0B" w:sz="1"/>
              <w:right w:val="single" w:color="F59E0B" w:sz="1"/>
            </w:tcBorders>
            <w:shd w:fill="FFFBEB" w:val="clear"/>
            <w:tcMar>
              <w:top w:type="dxa" w:w="120"/>
              <w:left w:type="dxa" w:w="180"/>
              <w:bottom w:type="dxa" w:w="120"/>
              <w:right w:type="dxa" w:w="120"/>
            </w:tcMar>
          </w:tcPr>
          <w:p>
            <w:pPr>
              <w:spacing w:before="0" w:after="60"/>
            </w:pPr>
            <w:r>
              <w:rPr>
                <w:rFonts w:ascii="Arial" w:cs="Arial" w:eastAsia="Arial" w:hAnsi="Arial"/>
                <w:b/>
                <w:bCs/>
                <w:color w:val="F59E0B"/>
                <w:sz w:val="20"/>
                <w:szCs w:val="20"/>
              </w:rPr>
              <w:t xml:space="preserve">Action Required Before Production</w:t>
            </w:r>
          </w:p>
          <w:p>
            <w:pPr>
              <w:spacing w:before="0" w:after="0"/>
            </w:pPr>
            <w:r>
              <w:rPr>
                <w:rFonts w:ascii="Arial" w:cs="Arial" w:eastAsia="Arial" w:hAnsi="Arial"/>
                <w:color w:val="334155"/>
                <w:sz w:val="20"/>
                <w:szCs w:val="20"/>
              </w:rPr>
              <w:t xml:space="preserve">Three registrations are required before seeding production Firestore: (1) NLM UMLS — covers US SNOMED CT and ICD-10-CM. (2) NHS TRUD — covers GB SNOMED CT and ICD-10. (3) Canada Health Infoway — covers CA SNOMED CT. ICD-11 and ICD-O require separate WHO/IARC registration. All are free. Development and staging use mock data only — no license is required.</w:t>
            </w:r>
          </w:p>
        </w:tc>
      </w:tr>
    </w:tbl>
    <w:p>
      <w:pPr>
        <w:spacing w:after="0"/>
      </w:pPr>
      <w:r>
        <w:t xml:space="preserve"/>
      </w:r>
    </w:p>
    <w:p>
      <w:pPr>
        <w:spacing w:after="0"/>
      </w:pPr>
      <w:r>
        <w:t xml:space="preserve"/>
      </w:r>
    </w:p>
    <w:p>
      <w:r>
        <w:br w:type="page"/>
      </w:r>
    </w:p>
    <w:p>
      <w:pPr>
        <w:pStyle w:val="Heading1"/>
        <w:pBdr>
          <w:bottom w:val="single" w:color="0891B2" w:sz="6" w:space="4"/>
        </w:pBdr>
        <w:spacing w:before="320" w:after="160"/>
      </w:pPr>
      <w:r>
        <w:rPr>
          <w:rFonts w:ascii="Arial" w:cs="Arial" w:eastAsia="Arial" w:hAnsi="Arial"/>
          <w:b/>
          <w:bCs/>
          <w:color w:val="334155"/>
          <w:sz w:val="32"/>
          <w:szCs w:val="32"/>
        </w:rPr>
        <w:t xml:space="preserve">3. Firestore Data Model</w:t>
      </w:r>
    </w:p>
    <w:p>
      <w:pPr>
        <w:pStyle w:val="Heading2"/>
        <w:spacing w:before="280" w:after="120"/>
      </w:pPr>
      <w:r>
        <w:rPr>
          <w:rFonts w:ascii="Arial" w:cs="Arial" w:eastAsia="Arial" w:hAnsi="Arial"/>
          <w:b/>
          <w:bCs/>
          <w:color w:val="0891B2"/>
          <w:sz w:val="26"/>
          <w:szCs w:val="26"/>
        </w:rPr>
        <w:t xml:space="preserve">3.1 Collection Structure</w:t>
      </w:r>
    </w:p>
    <w:p>
      <w:pPr>
        <w:spacing w:before="60" w:after="100"/>
      </w:pPr>
      <w:r>
        <w:rPr>
          <w:rFonts w:ascii="Arial" w:cs="Arial" w:eastAsia="Arial" w:hAnsi="Arial"/>
          <w:color w:val="334155"/>
          <w:sz w:val="22"/>
          <w:szCs w:val="22"/>
        </w:rPr>
        <w:t xml:space="preserve">Terminology data lives in two Firestore collections:</w:t>
      </w:r>
    </w:p>
    <w:p>
      <w:pPr>
        <w:pStyle w:val="ListParagraph"/>
        <w:numPr>
          <w:ilvl w:val="0"/>
          <w:numId w:val="2"/>
        </w:numPr>
        <w:spacing w:before="40" w:after="60"/>
      </w:pPr>
      <w:r>
        <w:rPr>
          <w:rFonts w:ascii="Arial" w:cs="Arial" w:eastAsia="Arial" w:hAnsi="Arial"/>
          <w:color w:val="334155"/>
          <w:sz w:val="22"/>
          <w:szCs w:val="22"/>
        </w:rPr>
        <w:t xml:space="preserve">terminology — the code records themselves (concepts, descriptions, codes)</w:t>
      </w:r>
    </w:p>
    <w:p>
      <w:pPr>
        <w:pStyle w:val="ListParagraph"/>
        <w:numPr>
          <w:ilvl w:val="0"/>
          <w:numId w:val="2"/>
        </w:numPr>
        <w:spacing w:before="40" w:after="60"/>
      </w:pPr>
      <w:r>
        <w:rPr>
          <w:rFonts w:ascii="Arial" w:cs="Arial" w:eastAsia="Arial" w:hAnsi="Arial"/>
          <w:color w:val="334155"/>
          <w:sz w:val="22"/>
          <w:szCs w:val="22"/>
        </w:rPr>
        <w:t xml:space="preserve">terminologyMeta — version tracking, jurisdiction metadata, and update history</w:t>
      </w:r>
    </w:p>
    <w:p>
      <w:pPr>
        <w:spacing w:after="0"/>
      </w:pPr>
      <w:r>
        <w:t xml:space="preserve"/>
      </w:r>
    </w:p>
    <w:p>
      <w:pPr>
        <w:pStyle w:val="Heading3"/>
        <w:spacing w:before="200" w:after="80"/>
      </w:pPr>
      <w:r>
        <w:rPr>
          <w:rFonts w:ascii="Arial" w:cs="Arial" w:eastAsia="Arial" w:hAnsi="Arial"/>
          <w:b/>
          <w:bCs/>
          <w:color w:val="334155"/>
          <w:sz w:val="22"/>
          <w:szCs w:val="22"/>
        </w:rPr>
        <w:t xml:space="preserve">terminology/{system}_{jurisdiction}/codes/{codeId}</w:t>
      </w:r>
    </w:p>
    <w:p>
      <w:pPr>
        <w:spacing w:before="60" w:after="100"/>
      </w:pPr>
      <w:r>
        <w:rPr>
          <w:rFonts w:ascii="Arial" w:cs="Arial" w:eastAsia="Arial" w:hAnsi="Arial"/>
          <w:color w:val="334155"/>
          <w:sz w:val="22"/>
          <w:szCs w:val="22"/>
        </w:rPr>
        <w:t xml:space="preserve">Each document in the codes subcollection represents one clinical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 / Example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"8140/3"</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display</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"Adenocarcinoma, NOS"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"ICD-O" | "SNOMED" | "ICD-10" | "ICD-11"</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subtype</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"morphology" | "topography" (ICD-O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category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"Carcinoma" (grouping label for UI)</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jurisdiction</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"US" | "CA" | "GB" | "ALL"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boolean — false if retired/deprecated</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version</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"ICD-O-3.2" (source edition)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seededAt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timestamp — when this record was last written</w:t>
            </w:r>
          </w:p>
        </w:tc>
      </w:tr>
    </w:tbl>
    <w:p>
      <w:pPr>
        <w:spacing w:after="0"/>
      </w:pPr>
      <w:r>
        <w:t xml:space="preserve"/>
      </w:r>
    </w:p>
    <w:p>
      <w:pPr>
        <w:pStyle w:val="Heading3"/>
        <w:spacing w:before="200" w:after="80"/>
      </w:pPr>
      <w:r>
        <w:rPr>
          <w:rFonts w:ascii="Arial" w:cs="Arial" w:eastAsia="Arial" w:hAnsi="Arial"/>
          <w:b/>
          <w:bCs/>
          <w:color w:val="334155"/>
          <w:sz w:val="22"/>
          <w:szCs w:val="22"/>
        </w:rPr>
        <w:t xml:space="preserve">terminologyMeta/{system}_{jurisdiction}</w:t>
      </w:r>
    </w:p>
    <w:p>
      <w:pPr>
        <w:spacing w:before="60" w:after="100"/>
      </w:pPr>
      <w:r>
        <w:rPr>
          <w:rFonts w:ascii="Arial" w:cs="Arial" w:eastAsia="Arial" w:hAnsi="Arial"/>
          <w:color w:val="334155"/>
          <w:sz w:val="22"/>
          <w:szCs w:val="22"/>
        </w:rPr>
        <w:t xml:space="preserve">One document per system/jurisdiction combination, tracking version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 / Example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"SNOMED"</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jurisdiction</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"GB"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"SNOMED CT UK Edition 2025-04-23"</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codeCount</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number — 4821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seededAt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timestamp</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seededBy</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"scripts/seedTerminology.ts v1.2"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nextUpdateDue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timestamp — based on release schedule</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notes</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free text for release notes</w:t>
            </w:r>
          </w:p>
        </w:tc>
      </w:tr>
    </w:tbl>
    <w:p>
      <w:pPr>
        <w:spacing w:after="0"/>
      </w:pPr>
      <w:r>
        <w:t xml:space="preserve"/>
      </w:r>
    </w:p>
    <w:p>
      <w:pPr>
        <w:spacing w:after="0"/>
      </w:pPr>
      <w:r>
        <w:t xml:space="preserve"/>
      </w:r>
    </w:p>
    <w:p>
      <w:pPr>
        <w:pStyle w:val="Heading2"/>
        <w:spacing w:before="280" w:after="120"/>
      </w:pPr>
      <w:r>
        <w:rPr>
          <w:rFonts w:ascii="Arial" w:cs="Arial" w:eastAsia="Arial" w:hAnsi="Arial"/>
          <w:b/>
          <w:bCs/>
          <w:color w:val="0891B2"/>
          <w:sz w:val="26"/>
          <w:szCs w:val="26"/>
        </w:rPr>
        <w:t xml:space="preserve">3.2 InstitutionConfig Extension</w:t>
      </w:r>
    </w:p>
    <w:p>
      <w:pPr>
        <w:spacing w:before="60" w:after="100"/>
      </w:pPr>
      <w:r>
        <w:rPr>
          <w:rFonts w:ascii="Arial" w:cs="Arial" w:eastAsia="Arial" w:hAnsi="Arial"/>
          <w:color w:val="334155"/>
          <w:sz w:val="22"/>
          <w:szCs w:val="22"/>
        </w:rPr>
        <w:t xml:space="preserve">The existing InstitutionConfig Firestore document is extended with a terminologyConfig block. This tells the app which jurisdiction variant to serve for each system, and which version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 / 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jurisdiction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string — "US" | "CA" | "GB"</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terminologyConfig.snomed</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object — { active: true, jurisdiction: "GB"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terminologyConfig.icd10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object — { active: true, variant: "ICD-10-CM" }</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terminologyConfig.icd11</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object — { active: true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terminologyConfig.icdo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object — { active: true, version: "ICD-O-3.2" }</w:t>
            </w:r>
          </w:p>
        </w:tc>
      </w:tr>
    </w:tbl>
    <w:p>
      <w:pPr>
        <w:spacing w:after="0"/>
      </w:pPr>
      <w:r>
        <w:t xml:space="preserve"/>
      </w:r>
    </w:p>
    <w:p>
      <w:pPr>
        <w:spacing w:after="0"/>
      </w:pPr>
      <w:r>
        <w:t xml:space="preserve"/>
      </w:r>
    </w:p>
    <w:p>
      <w:pPr>
        <w:pStyle w:val="Heading1"/>
        <w:pBdr>
          <w:bottom w:val="single" w:color="0891B2" w:sz="6" w:space="4"/>
        </w:pBdr>
        <w:spacing w:before="320" w:after="160"/>
      </w:pPr>
      <w:r>
        <w:rPr>
          <w:rFonts w:ascii="Arial" w:cs="Arial" w:eastAsia="Arial" w:hAnsi="Arial"/>
          <w:b/>
          <w:bCs/>
          <w:color w:val="334155"/>
          <w:sz w:val="32"/>
          <w:szCs w:val="32"/>
        </w:rPr>
        <w:t xml:space="preserve">4. Service Layer</w:t>
      </w:r>
    </w:p>
    <w:p>
      <w:pPr>
        <w:pStyle w:val="Heading2"/>
        <w:spacing w:before="280" w:after="120"/>
      </w:pPr>
      <w:r>
        <w:rPr>
          <w:rFonts w:ascii="Arial" w:cs="Arial" w:eastAsia="Arial" w:hAnsi="Arial"/>
          <w:b/>
          <w:bCs/>
          <w:color w:val="0891B2"/>
          <w:sz w:val="26"/>
          <w:szCs w:val="26"/>
        </w:rPr>
        <w:t xml:space="preserve">4.1 ICodeService Interface</w:t>
      </w:r>
    </w:p>
    <w:p>
      <w:pPr>
        <w:spacing w:before="60" w:after="100"/>
      </w:pPr>
      <w:r>
        <w:rPr>
          <w:rFonts w:ascii="Arial" w:cs="Arial" w:eastAsia="Arial" w:hAnsi="Arial"/>
          <w:color w:val="334155"/>
          <w:sz w:val="22"/>
          <w:szCs w:val="22"/>
        </w:rPr>
        <w:t xml:space="preserve">The ICodeService interface defines how all application code interacts with terminology. Components never query Firestore directly — they call codeService, which is imported from services/index.ts.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search(params)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Returns codes matching query, filtered by system, jurisdiction, subtype, and category. Used for typeahead and Browse modal.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getByCode(system, code)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Returns a single code record by exact code string. Used to resolve saved filter state back to display labels.</w:t>
            </w:r>
          </w:p>
        </w:tc>
      </w:tr>
    </w:tbl>
    <w:p>
      <w:pPr>
        <w:spacing w:after="0"/>
      </w:pPr>
      <w:r>
        <w:t xml:space="preserve"/>
      </w:r>
    </w:p>
    <w:p>
      <w:pPr>
        <w:pStyle w:val="Heading2"/>
        <w:spacing w:before="280" w:after="120"/>
      </w:pPr>
      <w:r>
        <w:rPr>
          <w:rFonts w:ascii="Arial" w:cs="Arial" w:eastAsia="Arial" w:hAnsi="Arial"/>
          <w:b/>
          <w:bCs/>
          <w:color w:val="0891B2"/>
          <w:sz w:val="26"/>
          <w:szCs w:val="26"/>
        </w:rPr>
        <w:t xml:space="preserve">4.2 CodeSearchParams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"SNOMED" | "ICD-10" | "ICD-11" | "ICD-O" — required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subtype</w:t>
            </w:r>
          </w:p>
        </w:tc>
        <w:tc>
          <w:tcPr>
            <w:tcW w:type="dxa" w:w="6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"topography" | "morphology" — ICD-O only,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Free-text search against code and display fields, optional</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category</w:t>
            </w:r>
          </w:p>
        </w:tc>
        <w:tc>
          <w:tcPr>
            <w:tcW w:type="dxa" w:w="6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Filter to a named grouping category,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jurisdiction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Resolved automatically from InstitutionConfig — not passed by components</w:t>
            </w:r>
          </w:p>
        </w:tc>
      </w:tr>
    </w:tbl>
    <w:p>
      <w:pPr>
        <w:spacing w:after="0"/>
      </w:pPr>
      <w:r>
        <w:t xml:space="preserve"/>
      </w:r>
    </w:p>
    <w:p>
      <w:pPr>
        <w:pStyle w:val="Heading2"/>
        <w:spacing w:before="280" w:after="120"/>
      </w:pPr>
      <w:r>
        <w:rPr>
          <w:rFonts w:ascii="Arial" w:cs="Arial" w:eastAsia="Arial" w:hAnsi="Arial"/>
          <w:b/>
          <w:bCs/>
          <w:color w:val="0891B2"/>
          <w:sz w:val="26"/>
          <w:szCs w:val="26"/>
        </w:rPr>
        <w:t xml:space="preserve">4.3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w:t>
            </w:r>
          </w:p>
        </w:tc>
        <w:tc>
          <w:tcPr>
            <w:tcW w:type="dxa" w:w="59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ICodeService.ts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Interface + types only. No implementation.</w:t>
            </w:r>
          </w:p>
        </w:tc>
      </w:tr>
      <w:tr>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mockCodeService.ts</w:t>
            </w:r>
          </w:p>
        </w:tc>
        <w:tc>
          <w:tcPr>
            <w:tcW w:type="dxa" w:w="5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In-memory seed data. Used in development. No Firestore dependency.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firestoreCodeService.ts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Queries Firestore terminology collection. Used in staging and production.</w:t>
            </w:r>
          </w:p>
        </w:tc>
      </w:tr>
      <w:tr>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services/index.ts</w:t>
            </w:r>
          </w:p>
        </w:tc>
        <w:tc>
          <w:tcPr>
            <w:tcW w:type="dxa" w:w="5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Exports codeService — swap implementation here only.</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3"/>
              <w:left w:val="single" w:color="10B981" w:sz="12"/>
              <w:bottom w:val="single" w:color="10B981" w:sz="1"/>
              <w:right w:val="single" w:color="10B981" w:sz="1"/>
            </w:tcBorders>
            <w:shd w:fill="ECFDF5" w:val="clear"/>
            <w:tcMar>
              <w:top w:type="dxa" w:w="120"/>
              <w:left w:type="dxa" w:w="180"/>
              <w:bottom w:type="dxa" w:w="120"/>
              <w:right w:type="dxa" w:w="120"/>
            </w:tcMar>
          </w:tcPr>
          <w:p>
            <w:pPr>
              <w:spacing w:before="0" w:after="60"/>
            </w:pPr>
            <w:r>
              <w:rPr>
                <w:rFonts w:ascii="Arial" w:cs="Arial" w:eastAsia="Arial" w:hAnsi="Arial"/>
                <w:b/>
                <w:bCs/>
                <w:color w:val="10B981"/>
                <w:sz w:val="20"/>
                <w:szCs w:val="20"/>
              </w:rPr>
              <w:t xml:space="preserve">Service Pattern</w:t>
            </w:r>
          </w:p>
          <w:p>
            <w:pPr>
              <w:spacing w:before="0" w:after="0"/>
            </w:pPr>
            <w:r>
              <w:rPr>
                <w:rFonts w:ascii="Arial" w:cs="Arial" w:eastAsia="Arial" w:hAnsi="Arial"/>
                <w:color w:val="334155"/>
                <w:sz w:val="20"/>
                <w:szCs w:val="20"/>
              </w:rPr>
              <w:t xml:space="preserve">This follows the established PathScribe service pattern. To switch from mock to Firestore, change one line in services/index.ts. No component code changes required.</w:t>
            </w:r>
          </w:p>
        </w:tc>
      </w:tr>
    </w:tbl>
    <w:p>
      <w:pPr>
        <w:spacing w:after="0"/>
      </w:pPr>
      <w:r>
        <w:t xml:space="preserve"/>
      </w:r>
    </w:p>
    <w:p>
      <w:pPr>
        <w:spacing w:after="0"/>
      </w:pPr>
      <w:r>
        <w:t xml:space="preserve"/>
      </w:r>
    </w:p>
    <w:p>
      <w:r>
        <w:br w:type="page"/>
      </w:r>
    </w:p>
    <w:p>
      <w:pPr>
        <w:pStyle w:val="Heading1"/>
        <w:pBdr>
          <w:bottom w:val="single" w:color="0891B2" w:sz="6" w:space="4"/>
        </w:pBdr>
        <w:spacing w:before="320" w:after="160"/>
      </w:pPr>
      <w:r>
        <w:rPr>
          <w:rFonts w:ascii="Arial" w:cs="Arial" w:eastAsia="Arial" w:hAnsi="Arial"/>
          <w:b/>
          <w:bCs/>
          <w:color w:val="334155"/>
          <w:sz w:val="32"/>
          <w:szCs w:val="32"/>
        </w:rPr>
        <w:t xml:space="preserve">5. Deployment Seeding</w:t>
      </w:r>
    </w:p>
    <w:p>
      <w:pPr>
        <w:pStyle w:val="Heading2"/>
        <w:spacing w:before="280" w:after="120"/>
      </w:pPr>
      <w:r>
        <w:rPr>
          <w:rFonts w:ascii="Arial" w:cs="Arial" w:eastAsia="Arial" w:hAnsi="Arial"/>
          <w:b/>
          <w:bCs/>
          <w:color w:val="0891B2"/>
          <w:sz w:val="26"/>
          <w:szCs w:val="26"/>
        </w:rPr>
        <w:t xml:space="preserve">5.1 Seed Script</w:t>
      </w:r>
    </w:p>
    <w:p>
      <w:pPr>
        <w:spacing w:before="60" w:after="100"/>
      </w:pPr>
      <w:r>
        <w:rPr>
          <w:rFonts w:ascii="Arial" w:cs="Arial" w:eastAsia="Arial" w:hAnsi="Arial"/>
          <w:color w:val="334155"/>
          <w:sz w:val="22"/>
          <w:szCs w:val="22"/>
        </w:rPr>
        <w:t xml:space="preserve">A Node.js seed script lives at scripts/seedTerminology.ts. It is run once during institution setup, and again whenever a terminology version is updated. It is idempotent — running it twice does not create duplicates.</w:t>
      </w:r>
    </w:p>
    <w:p>
      <w:pPr>
        <w:spacing w:after="0"/>
      </w:pPr>
      <w:r>
        <w:t xml:space="preserve"/>
      </w:r>
    </w:p>
    <w:p>
      <w:pPr>
        <w:spacing w:before="60" w:after="100"/>
      </w:pPr>
      <w:r>
        <w:rPr>
          <w:rFonts w:ascii="Arial" w:cs="Arial" w:eastAsia="Arial" w:hAnsi="Arial"/>
          <w:b/>
          <w:bCs/>
          <w:color w:val="334155"/>
          <w:sz w:val="22"/>
          <w:szCs w:val="22"/>
        </w:rPr>
        <w:t xml:space="preserve">The script performs the following steps:</w:t>
      </w:r>
    </w:p>
    <w:p>
      <w:pPr>
        <w:pStyle w:val="ListParagraph"/>
        <w:numPr>
          <w:ilvl w:val="0"/>
          <w:numId w:val="3"/>
        </w:numPr>
        <w:spacing w:before="40" w:after="60"/>
      </w:pPr>
      <w:r>
        <w:rPr>
          <w:rFonts w:ascii="Arial" w:cs="Arial" w:eastAsia="Arial" w:hAnsi="Arial"/>
          <w:color w:val="334155"/>
          <w:sz w:val="22"/>
          <w:szCs w:val="22"/>
        </w:rPr>
        <w:t xml:space="preserve">Read InstitutionConfig to determine jurisdiction</w:t>
      </w:r>
    </w:p>
    <w:p>
      <w:pPr>
        <w:pStyle w:val="ListParagraph"/>
        <w:numPr>
          <w:ilvl w:val="0"/>
          <w:numId w:val="3"/>
        </w:numPr>
        <w:spacing w:before="40" w:after="60"/>
      </w:pPr>
      <w:r>
        <w:rPr>
          <w:rFonts w:ascii="Arial" w:cs="Arial" w:eastAsia="Arial" w:hAnsi="Arial"/>
          <w:color w:val="334155"/>
          <w:sz w:val="22"/>
          <w:szCs w:val="22"/>
        </w:rPr>
        <w:t xml:space="preserve">Load the appropriate source file(s) from scripts/terminology-sources/</w:t>
      </w:r>
    </w:p>
    <w:p>
      <w:pPr>
        <w:pStyle w:val="ListParagraph"/>
        <w:numPr>
          <w:ilvl w:val="0"/>
          <w:numId w:val="3"/>
        </w:numPr>
        <w:spacing w:before="40" w:after="60"/>
      </w:pPr>
      <w:r>
        <w:rPr>
          <w:rFonts w:ascii="Arial" w:cs="Arial" w:eastAsia="Arial" w:hAnsi="Arial"/>
          <w:color w:val="334155"/>
          <w:sz w:val="22"/>
          <w:szCs w:val="22"/>
        </w:rPr>
        <w:t xml:space="preserve">For each code, write a document to terminology/{system}_{jurisdiction}/codes/{codeId} using batch writes</w:t>
      </w:r>
    </w:p>
    <w:p>
      <w:pPr>
        <w:pStyle w:val="ListParagraph"/>
        <w:numPr>
          <w:ilvl w:val="0"/>
          <w:numId w:val="3"/>
        </w:numPr>
        <w:spacing w:before="40" w:after="60"/>
      </w:pPr>
      <w:r>
        <w:rPr>
          <w:rFonts w:ascii="Arial" w:cs="Arial" w:eastAsia="Arial" w:hAnsi="Arial"/>
          <w:color w:val="334155"/>
          <w:sz w:val="22"/>
          <w:szCs w:val="22"/>
        </w:rPr>
        <w:t xml:space="preserve">Write a terminologyMeta document recording the version, count, and timestamp</w:t>
      </w:r>
    </w:p>
    <w:p>
      <w:pPr>
        <w:pStyle w:val="ListParagraph"/>
        <w:numPr>
          <w:ilvl w:val="0"/>
          <w:numId w:val="3"/>
        </w:numPr>
        <w:spacing w:before="40" w:after="60"/>
      </w:pPr>
      <w:r>
        <w:rPr>
          <w:rFonts w:ascii="Arial" w:cs="Arial" w:eastAsia="Arial" w:hAnsi="Arial"/>
          <w:color w:val="334155"/>
          <w:sz w:val="22"/>
          <w:szCs w:val="22"/>
        </w:rPr>
        <w:t xml:space="preserve">Log a summary to the console and optionally to Firestore audit log</w:t>
      </w:r>
    </w:p>
    <w:p>
      <w:pPr>
        <w:spacing w:after="0"/>
      </w:pPr>
      <w:r>
        <w:t xml:space="preserve"/>
      </w:r>
    </w:p>
    <w:p>
      <w:pPr>
        <w:pStyle w:val="Heading2"/>
        <w:spacing w:before="280" w:after="120"/>
      </w:pPr>
      <w:r>
        <w:rPr>
          <w:rFonts w:ascii="Arial" w:cs="Arial" w:eastAsia="Arial" w:hAnsi="Arial"/>
          <w:b/>
          <w:bCs/>
          <w:color w:val="0891B2"/>
          <w:sz w:val="26"/>
          <w:szCs w:val="26"/>
        </w:rPr>
        <w:t xml:space="preserve">5.2 Source Files</w:t>
      </w:r>
    </w:p>
    <w:p>
      <w:pPr>
        <w:spacing w:before="60" w:after="100"/>
      </w:pPr>
      <w:r>
        <w:rPr>
          <w:rFonts w:ascii="Arial" w:cs="Arial" w:eastAsia="Arial" w:hAnsi="Arial"/>
          <w:color w:val="334155"/>
          <w:sz w:val="22"/>
          <w:szCs w:val="22"/>
        </w:rPr>
        <w:t xml:space="preserve">Source files are checked into the repository under scripts/terminology-sources/. They are not served to the application directly — they are only read by the seed script at deployment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 /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snomed-pathology-subset.json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Curated subset of ~5,000 pathology-relevant SNOMED CT concepts. Derived from the NLM / NHS full release. Updated twice yearly.</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icd10-cm.json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ICD-10-CM full tabular list from NLM. US only. Updated annually (October).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icd10-ca.json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ICD-10-CA from CIHI. Canada only. Updated annually (April).</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icd10-who.json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 WHO unmodified from NHS TRUD. GB only. Updated annually.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icd11-oncology.json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ICD-11 oncology chapter subset from WHO. All jurisdictions. Updated annually.</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icdo-3.2-topography.json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ICD-O-3.2 topography codes from WHO/IARC. All jurisdictions. Per-edition updates.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icdo-3.2-morphology.json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ICD-O-3.2 morphology codes from WHO/IARC. All jurisdictions. Per-edition updates.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3"/>
              <w:left w:val="single" w:color="F59E0B" w:sz="12"/>
              <w:bottom w:val="single" w:color="F59E0B" w:sz="1"/>
              <w:right w:val="single" w:color="F59E0B" w:sz="1"/>
            </w:tcBorders>
            <w:shd w:fill="FFFBEB" w:val="clear"/>
            <w:tcMar>
              <w:top w:type="dxa" w:w="120"/>
              <w:left w:type="dxa" w:w="180"/>
              <w:bottom w:type="dxa" w:w="120"/>
              <w:right w:type="dxa" w:w="120"/>
            </w:tcMar>
          </w:tcPr>
          <w:p>
            <w:pPr>
              <w:spacing w:before="0" w:after="60"/>
            </w:pPr>
            <w:r>
              <w:rPr>
                <w:rFonts w:ascii="Arial" w:cs="Arial" w:eastAsia="Arial" w:hAnsi="Arial"/>
                <w:b/>
                <w:bCs/>
                <w:color w:val="F59E0B"/>
                <w:sz w:val="20"/>
                <w:szCs w:val="20"/>
              </w:rPr>
              <w:t xml:space="preserve">Important — Pathology Subset for SNOMED CT</w:t>
            </w:r>
          </w:p>
          <w:p>
            <w:pPr>
              <w:spacing w:before="0" w:after="0"/>
            </w:pPr>
            <w:r>
              <w:rPr>
                <w:rFonts w:ascii="Arial" w:cs="Arial" w:eastAsia="Arial" w:hAnsi="Arial"/>
                <w:color w:val="334155"/>
                <w:sz w:val="20"/>
                <w:szCs w:val="20"/>
              </w:rPr>
              <w:t xml:space="preserve">The full SNOMED CT release contains ~350,000 concepts. PathScribe seeds only a curated pathology-relevant subset of approximately 5,000 concepts covering oncology, histopathology, and surgical pathology. This keeps Firestore read costs low and query performance high. The subset is manually curated and reviewed at each SNOMED release. A process for expanding the subset based on user feedback will be defined before the v2 release.</w:t>
            </w:r>
          </w:p>
        </w:tc>
      </w:tr>
    </w:tbl>
    <w:p>
      <w:pPr>
        <w:spacing w:after="0"/>
      </w:pPr>
      <w:r>
        <w:t xml:space="preserve"/>
      </w:r>
    </w:p>
    <w:p>
      <w:pPr>
        <w:spacing w:after="0"/>
      </w:pPr>
      <w:r>
        <w:t xml:space="preserve"/>
      </w:r>
    </w:p>
    <w:p>
      <w:pPr>
        <w:pStyle w:val="Heading2"/>
        <w:spacing w:before="280" w:after="120"/>
      </w:pPr>
      <w:r>
        <w:rPr>
          <w:rFonts w:ascii="Arial" w:cs="Arial" w:eastAsia="Arial" w:hAnsi="Arial"/>
          <w:b/>
          <w:bCs/>
          <w:color w:val="0891B2"/>
          <w:sz w:val="26"/>
          <w:szCs w:val="26"/>
        </w:rPr>
        <w:t xml:space="preserve">5.3 Running the Seed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43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npx ts-node scripts/seedTerminology.ts --env staging --jurisdiction 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Seed US terminology to staging Firestore</w:t>
            </w:r>
          </w:p>
        </w:tc>
      </w:tr>
      <w:tr>
        <w:tc>
          <w:tcPr>
            <w:tcW w:type="dxa" w:w="5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npx ts-node scripts/seedTerminology.ts --env production --jurisdiction GB</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Seed GB terminology to production Firestore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npx ts-node scripts/seedTerminology.ts --env staging --system ICD-O --dry-run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Preview what would be written without committing</w:t>
            </w:r>
          </w:p>
        </w:tc>
      </w:tr>
      <w:tr>
        <w:tc>
          <w:tcPr>
            <w:tcW w:type="dxa" w:w="5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npx ts-node scripts/seedTerminology.ts --list-versions</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Show current seeded versions across all environments</w:t>
            </w:r>
          </w:p>
        </w:tc>
      </w:tr>
    </w:tbl>
    <w:p>
      <w:pPr>
        <w:spacing w:after="0"/>
      </w:pPr>
      <w:r>
        <w:t xml:space="preserve"/>
      </w:r>
    </w:p>
    <w:p>
      <w:pPr>
        <w:spacing w:after="0"/>
      </w:pPr>
      <w:r>
        <w:t xml:space="preserve"/>
      </w:r>
    </w:p>
    <w:p>
      <w:r>
        <w:br w:type="page"/>
      </w:r>
    </w:p>
    <w:p>
      <w:pPr>
        <w:pStyle w:val="Heading1"/>
        <w:pBdr>
          <w:bottom w:val="single" w:color="0891B2" w:sz="6" w:space="4"/>
        </w:pBdr>
        <w:spacing w:before="320" w:after="160"/>
      </w:pPr>
      <w:r>
        <w:rPr>
          <w:rFonts w:ascii="Arial" w:cs="Arial" w:eastAsia="Arial" w:hAnsi="Arial"/>
          <w:b/>
          <w:bCs/>
          <w:color w:val="334155"/>
          <w:sz w:val="32"/>
          <w:szCs w:val="32"/>
        </w:rPr>
        <w:t xml:space="preserve">6. Terminology Update Process</w:t>
      </w:r>
    </w:p>
    <w:p>
      <w:pPr>
        <w:pStyle w:val="Heading2"/>
        <w:spacing w:before="280" w:after="120"/>
      </w:pPr>
      <w:r>
        <w:rPr>
          <w:rFonts w:ascii="Arial" w:cs="Arial" w:eastAsia="Arial" w:hAnsi="Arial"/>
          <w:b/>
          <w:bCs/>
          <w:color w:val="0891B2"/>
          <w:sz w:val="26"/>
          <w:szCs w:val="26"/>
        </w:rPr>
        <w:t xml:space="preserve">6.1 Release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System</w:t>
            </w:r>
          </w:p>
        </w:tc>
        <w:tc>
          <w:tcPr>
            <w:tcW w:type="dxa" w:w="24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Release Dates</w:t>
            </w:r>
          </w:p>
        </w:tc>
        <w:tc>
          <w:tcPr>
            <w:tcW w:type="dxa" w:w="21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Lead Time Needed</w:t>
            </w:r>
          </w:p>
        </w:tc>
        <w:tc>
          <w:tcPr>
            <w:tcW w:type="dxa" w:w="24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SNOMED CT (US/CA)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March, September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2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Engineering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SNOMED CT (GB)</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April, October</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2 weeks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ICD-10-CM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October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4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Engineering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ICD-10-CA</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April 1</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4 weeks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ICD-10 WHO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Annual (varies)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4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Engineering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ICD-11</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Annual (January)</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4 weeks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Per edition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Per edition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Clinical Lead + Engineering</w:t>
            </w:r>
          </w:p>
        </w:tc>
      </w:tr>
    </w:tbl>
    <w:p>
      <w:pPr>
        <w:spacing w:after="0"/>
      </w:pPr>
      <w:r>
        <w:t xml:space="preserve"/>
      </w:r>
    </w:p>
    <w:p>
      <w:pPr>
        <w:pStyle w:val="Heading2"/>
        <w:spacing w:before="280" w:after="120"/>
      </w:pPr>
      <w:r>
        <w:rPr>
          <w:rFonts w:ascii="Arial" w:cs="Arial" w:eastAsia="Arial" w:hAnsi="Arial"/>
          <w:b/>
          <w:bCs/>
          <w:color w:val="0891B2"/>
          <w:sz w:val="26"/>
          <w:szCs w:val="26"/>
        </w:rPr>
        <w:t xml:space="preserve">6.2 Update Steps</w:t>
      </w:r>
    </w:p>
    <w:p>
      <w:pPr>
        <w:pStyle w:val="ListParagraph"/>
        <w:numPr>
          <w:ilvl w:val="0"/>
          <w:numId w:val="3"/>
        </w:numPr>
        <w:spacing w:before="40" w:after="60"/>
      </w:pPr>
      <w:r>
        <w:rPr>
          <w:rFonts w:ascii="Arial" w:cs="Arial" w:eastAsia="Arial" w:hAnsi="Arial"/>
          <w:color w:val="334155"/>
          <w:sz w:val="22"/>
          <w:szCs w:val="22"/>
        </w:rPr>
        <w:t xml:space="preserve">Download new release files from the appropriate authority (NLM, NHS TRUD, CIHI, WHO)</w:t>
      </w:r>
    </w:p>
    <w:p>
      <w:pPr>
        <w:pStyle w:val="ListParagraph"/>
        <w:numPr>
          <w:ilvl w:val="0"/>
          <w:numId w:val="3"/>
        </w:numPr>
        <w:spacing w:before="40" w:after="60"/>
      </w:pPr>
      <w:r>
        <w:rPr>
          <w:rFonts w:ascii="Arial" w:cs="Arial" w:eastAsia="Arial" w:hAnsi="Arial"/>
          <w:color w:val="334155"/>
          <w:sz w:val="22"/>
          <w:szCs w:val="22"/>
        </w:rPr>
        <w:t xml:space="preserve">Replace the relevant file in scripts/terminology-sources/</w:t>
      </w:r>
    </w:p>
    <w:p>
      <w:pPr>
        <w:pStyle w:val="ListParagraph"/>
        <w:numPr>
          <w:ilvl w:val="0"/>
          <w:numId w:val="3"/>
        </w:numPr>
        <w:spacing w:before="40" w:after="60"/>
      </w:pPr>
      <w:r>
        <w:rPr>
          <w:rFonts w:ascii="Arial" w:cs="Arial" w:eastAsia="Arial" w:hAnsi="Arial"/>
          <w:color w:val="334155"/>
          <w:sz w:val="22"/>
          <w:szCs w:val="22"/>
        </w:rPr>
        <w:t xml:space="preserve">Run the seed script with --dry-run to preview changes</w:t>
      </w:r>
    </w:p>
    <w:p>
      <w:pPr>
        <w:pStyle w:val="ListParagraph"/>
        <w:numPr>
          <w:ilvl w:val="0"/>
          <w:numId w:val="3"/>
        </w:numPr>
        <w:spacing w:before="40" w:after="60"/>
      </w:pPr>
      <w:r>
        <w:rPr>
          <w:rFonts w:ascii="Arial" w:cs="Arial" w:eastAsia="Arial" w:hAnsi="Arial"/>
          <w:color w:val="334155"/>
          <w:sz w:val="22"/>
          <w:szCs w:val="22"/>
        </w:rPr>
        <w:t xml:space="preserve">Review the diff — flag any codes that have been retired or significantly changed</w:t>
      </w:r>
    </w:p>
    <w:p>
      <w:pPr>
        <w:pStyle w:val="ListParagraph"/>
        <w:numPr>
          <w:ilvl w:val="0"/>
          <w:numId w:val="3"/>
        </w:numPr>
        <w:spacing w:before="40" w:after="60"/>
      </w:pPr>
      <w:r>
        <w:rPr>
          <w:rFonts w:ascii="Arial" w:cs="Arial" w:eastAsia="Arial" w:hAnsi="Arial"/>
          <w:color w:val="334155"/>
          <w:sz w:val="22"/>
          <w:szCs w:val="22"/>
        </w:rPr>
        <w:t xml:space="preserve">Run the seed script against staging and verify search behaviour in the app</w:t>
      </w:r>
    </w:p>
    <w:p>
      <w:pPr>
        <w:pStyle w:val="ListParagraph"/>
        <w:numPr>
          <w:ilvl w:val="0"/>
          <w:numId w:val="3"/>
        </w:numPr>
        <w:spacing w:before="40" w:after="60"/>
      </w:pPr>
      <w:r>
        <w:rPr>
          <w:rFonts w:ascii="Arial" w:cs="Arial" w:eastAsia="Arial" w:hAnsi="Arial"/>
          <w:color w:val="334155"/>
          <w:sz w:val="22"/>
          <w:szCs w:val="22"/>
        </w:rPr>
        <w:t xml:space="preserve">Run against production during a low-traffic window</w:t>
      </w:r>
    </w:p>
    <w:p>
      <w:pPr>
        <w:pStyle w:val="ListParagraph"/>
        <w:numPr>
          <w:ilvl w:val="0"/>
          <w:numId w:val="3"/>
        </w:numPr>
        <w:spacing w:before="40" w:after="60"/>
      </w:pPr>
      <w:r>
        <w:rPr>
          <w:rFonts w:ascii="Arial" w:cs="Arial" w:eastAsia="Arial" w:hAnsi="Arial"/>
          <w:color w:val="334155"/>
          <w:sz w:val="22"/>
          <w:szCs w:val="22"/>
        </w:rPr>
        <w:t xml:space="preserve">Update the terminologyMeta document version and nextUpdateDue fields</w:t>
      </w:r>
    </w:p>
    <w:p>
      <w:pPr>
        <w:pStyle w:val="ListParagraph"/>
        <w:numPr>
          <w:ilvl w:val="0"/>
          <w:numId w:val="3"/>
        </w:numPr>
        <w:spacing w:before="40" w:after="60"/>
      </w:pPr>
      <w:r>
        <w:rPr>
          <w:rFonts w:ascii="Arial" w:cs="Arial" w:eastAsia="Arial" w:hAnsi="Arial"/>
          <w:color w:val="334155"/>
          <w:sz w:val="22"/>
          <w:szCs w:val="22"/>
        </w:rPr>
        <w:t xml:space="preserve">Log the update in the engineering changelog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3"/>
              <w:left w:val="single" w:color="8B5CF6" w:sz="12"/>
              <w:bottom w:val="single" w:color="8B5CF6" w:sz="1"/>
              <w:right w:val="single" w:color="8B5CF6" w:sz="1"/>
            </w:tcBorders>
            <w:shd w:fill="F5F3FF" w:val="clear"/>
            <w:tcMar>
              <w:top w:type="dxa" w:w="120"/>
              <w:left w:type="dxa" w:w="180"/>
              <w:bottom w:type="dxa" w:w="120"/>
              <w:right w:type="dxa" w:w="120"/>
            </w:tcMar>
          </w:tcPr>
          <w:p>
            <w:pPr>
              <w:spacing w:before="0" w:after="60"/>
            </w:pPr>
            <w:r>
              <w:rPr>
                <w:rFonts w:ascii="Arial" w:cs="Arial" w:eastAsia="Arial" w:hAnsi="Arial"/>
                <w:b/>
                <w:bCs/>
                <w:color w:val="8B5CF6"/>
                <w:sz w:val="20"/>
                <w:szCs w:val="20"/>
              </w:rPr>
              <w:t xml:space="preserve">Retired Codes</w:t>
            </w:r>
          </w:p>
          <w:p>
            <w:pPr>
              <w:spacing w:before="0" w:after="0"/>
            </w:pPr>
            <w:r>
              <w:rPr>
                <w:rFonts w:ascii="Arial" w:cs="Arial" w:eastAsia="Arial" w:hAnsi="Arial"/>
                <w:color w:val="334155"/>
                <w:sz w:val="20"/>
                <w:szCs w:val="20"/>
              </w:rPr>
              <w:t xml:space="preserve">When a code is retired in a new edition, its Firestore document is marked active: false rather than deleted. This preserves historical case data that referenced the old code. The UI will show a "retired" indicator when a retired code appears in search results or on a case record.</w:t>
            </w:r>
          </w:p>
        </w:tc>
      </w:tr>
    </w:tbl>
    <w:p>
      <w:pPr>
        <w:spacing w:after="0"/>
      </w:pPr>
      <w:r>
        <w:t xml:space="preserve"/>
      </w:r>
    </w:p>
    <w:p>
      <w:pPr>
        <w:spacing w:after="0"/>
      </w:pPr>
      <w:r>
        <w:t xml:space="preserve"/>
      </w:r>
    </w:p>
    <w:p>
      <w:pPr>
        <w:pStyle w:val="Heading1"/>
        <w:pBdr>
          <w:bottom w:val="single" w:color="0891B2" w:sz="6" w:space="4"/>
        </w:pBdr>
        <w:spacing w:before="320" w:after="160"/>
      </w:pPr>
      <w:r>
        <w:rPr>
          <w:rFonts w:ascii="Arial" w:cs="Arial" w:eastAsia="Arial" w:hAnsi="Arial"/>
          <w:b/>
          <w:bCs/>
          <w:color w:val="334155"/>
          <w:sz w:val="32"/>
          <w:szCs w:val="32"/>
        </w:rPr>
        <w:t xml:space="preserve">7.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Scenario</w:t>
            </w:r>
          </w:p>
        </w:tc>
        <w:tc>
          <w:tcPr>
            <w:tcW w:type="dxa" w:w="51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Expected Latency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Typeahead query (warm Firestore cache)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&lt; 50ms</w:t>
            </w:r>
          </w:p>
        </w:tc>
      </w:tr>
      <w:tr>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Typeahead query (cold, first load)</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80–120ms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Browse modal — initial load (paginated)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&lt; 100ms</w:t>
            </w:r>
          </w:p>
        </w:tc>
      </w:tr>
      <w:tr>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Browse modal — search filter</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&lt; 80ms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Seed script — full US terminology set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3–8 minutes (batch writes)</w:t>
            </w:r>
          </w:p>
        </w:tc>
      </w:tr>
      <w:tr>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Seed script — single system update (e.g. ICD-O)</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30–90 seconds</w:t>
            </w:r>
          </w:p>
        </w:tc>
      </w:tr>
    </w:tbl>
    <w:p>
      <w:pPr>
        <w:spacing w:after="0"/>
      </w:pPr>
      <w:r>
        <w:t xml:space="preserve"/>
      </w:r>
    </w:p>
    <w:p>
      <w:pPr>
        <w:spacing w:before="60" w:after="100"/>
      </w:pPr>
      <w:r>
        <w:rPr>
          <w:rFonts w:ascii="Arial" w:cs="Arial" w:eastAsia="Arial" w:hAnsi="Arial"/>
          <w:color w:val="334155"/>
          <w:sz w:val="22"/>
          <w:szCs w:val="22"/>
        </w:rPr>
        <w:t xml:space="preserve">Firestore performance is enhanced by:</w:t>
      </w:r>
    </w:p>
    <w:p>
      <w:pPr>
        <w:pStyle w:val="ListParagraph"/>
        <w:numPr>
          <w:ilvl w:val="0"/>
          <w:numId w:val="2"/>
        </w:numPr>
        <w:spacing w:before="40" w:after="60"/>
      </w:pPr>
      <w:r>
        <w:rPr>
          <w:rFonts w:ascii="Arial" w:cs="Arial" w:eastAsia="Arial" w:hAnsi="Arial"/>
          <w:color w:val="334155"/>
          <w:sz w:val="22"/>
          <w:szCs w:val="22"/>
        </w:rPr>
        <w:t xml:space="preserve">Composite indexes on (system, jurisdiction, active, category) for filtered queries</w:t>
      </w:r>
    </w:p>
    <w:p>
      <w:pPr>
        <w:pStyle w:val="ListParagraph"/>
        <w:numPr>
          <w:ilvl w:val="0"/>
          <w:numId w:val="2"/>
        </w:numPr>
        <w:spacing w:before="40" w:after="60"/>
      </w:pPr>
      <w:r>
        <w:rPr>
          <w:rFonts w:ascii="Arial" w:cs="Arial" w:eastAsia="Arial" w:hAnsi="Arial"/>
          <w:color w:val="334155"/>
          <w:sz w:val="22"/>
          <w:szCs w:val="22"/>
        </w:rPr>
        <w:t xml:space="preserve">Firestore local persistence cache enabled in the app — repeat queries served from device memory</w:t>
      </w:r>
    </w:p>
    <w:p>
      <w:pPr>
        <w:pStyle w:val="ListParagraph"/>
        <w:numPr>
          <w:ilvl w:val="0"/>
          <w:numId w:val="2"/>
        </w:numPr>
        <w:spacing w:before="40" w:after="60"/>
      </w:pPr>
      <w:r>
        <w:rPr>
          <w:rFonts w:ascii="Arial" w:cs="Arial" w:eastAsia="Arial" w:hAnsi="Arial"/>
          <w:color w:val="334155"/>
          <w:sz w:val="22"/>
          <w:szCs w:val="22"/>
        </w:rPr>
        <w:t xml:space="preserve">Pagination in the Browse modal — loads 50 codes at a time, not the full collection</w:t>
      </w:r>
    </w:p>
    <w:p>
      <w:pPr>
        <w:pStyle w:val="ListParagraph"/>
        <w:numPr>
          <w:ilvl w:val="0"/>
          <w:numId w:val="2"/>
        </w:numPr>
        <w:spacing w:before="40" w:after="60"/>
      </w:pPr>
      <w:r>
        <w:rPr>
          <w:rFonts w:ascii="Arial" w:cs="Arial" w:eastAsia="Arial" w:hAnsi="Arial"/>
          <w:color w:val="334155"/>
          <w:sz w:val="22"/>
          <w:szCs w:val="22"/>
        </w:rPr>
        <w:t xml:space="preserve">Typeahead limited to 8 results maximum to minimise read costs</w:t>
      </w:r>
    </w:p>
    <w:p>
      <w:pPr>
        <w:spacing w:after="0"/>
      </w:pPr>
      <w:r>
        <w:t xml:space="preserve"/>
      </w:r>
    </w:p>
    <w:p>
      <w:pPr>
        <w:spacing w:after="0"/>
      </w:pPr>
      <w:r>
        <w:t xml:space="preserve"/>
      </w:r>
    </w:p>
    <w:p>
      <w:pPr>
        <w:pStyle w:val="Heading1"/>
        <w:pBdr>
          <w:bottom w:val="single" w:color="0891B2" w:sz="6" w:space="4"/>
        </w:pBdr>
        <w:spacing w:before="320" w:after="160"/>
      </w:pPr>
      <w:r>
        <w:rPr>
          <w:rFonts w:ascii="Arial" w:cs="Arial" w:eastAsia="Arial" w:hAnsi="Arial"/>
          <w:b/>
          <w:bCs/>
          <w:color w:val="334155"/>
          <w:sz w:val="32"/>
          <w:szCs w:val="32"/>
        </w:rPr>
        <w:t xml:space="preserve">8. Future Considerations (v2+)</w:t>
      </w:r>
    </w:p>
    <w:p>
      <w:pPr>
        <w:pStyle w:val="Heading2"/>
        <w:spacing w:before="280" w:after="120"/>
      </w:pPr>
      <w:r>
        <w:rPr>
          <w:rFonts w:ascii="Arial" w:cs="Arial" w:eastAsia="Arial" w:hAnsi="Arial"/>
          <w:b/>
          <w:bCs/>
          <w:color w:val="0891B2"/>
          <w:sz w:val="26"/>
          <w:szCs w:val="26"/>
        </w:rPr>
        <w:t xml:space="preserve">8.1 Live API Mode</w:t>
      </w:r>
    </w:p>
    <w:p>
      <w:pPr>
        <w:spacing w:before="60" w:after="100"/>
      </w:pPr>
      <w:r>
        <w:rPr>
          <w:rFonts w:ascii="Arial" w:cs="Arial" w:eastAsia="Arial" w:hAnsi="Arial"/>
          <w:color w:val="334155"/>
          <w:sz w:val="22"/>
          <w:szCs w:val="22"/>
        </w:rPr>
        <w:t xml:space="preserve">Once Firestore hosted reference is stable, a live API mode can be added for institutions that require the full SNOMED CT release rather than the pathology subset. This would route queries through a Cloud Function to the NLM UMLS API (US), NHS Terminology Server (GB), or Canada Health Infoway API (CA), with Firestore caching to ensure sub-100ms performance after the first query.</w:t>
      </w:r>
    </w:p>
    <w:p>
      <w:pPr>
        <w:spacing w:after="0"/>
      </w:pPr>
      <w:r>
        <w:t xml:space="preserve"/>
      </w:r>
    </w:p>
    <w:p>
      <w:pPr>
        <w:pStyle w:val="Heading2"/>
        <w:spacing w:before="280" w:after="120"/>
      </w:pPr>
      <w:r>
        <w:rPr>
          <w:rFonts w:ascii="Arial" w:cs="Arial" w:eastAsia="Arial" w:hAnsi="Arial"/>
          <w:b/>
          <w:bCs/>
          <w:color w:val="0891B2"/>
          <w:sz w:val="26"/>
          <w:szCs w:val="26"/>
        </w:rPr>
        <w:t xml:space="preserve">8.2 Full SNOMED CT Release</w:t>
      </w:r>
    </w:p>
    <w:p>
      <w:pPr>
        <w:spacing w:before="60" w:after="100"/>
      </w:pPr>
      <w:r>
        <w:rPr>
          <w:rFonts w:ascii="Arial" w:cs="Arial" w:eastAsia="Arial" w:hAnsi="Arial"/>
          <w:color w:val="334155"/>
          <w:sz w:val="22"/>
          <w:szCs w:val="22"/>
        </w:rPr>
        <w:t xml:space="preserve">The pathology subset covers the overwhelming majority of clinical use cases. If a code cannot be found, a free-text fallback is available. In v2, an institution configuration flag can enable the full ~350,000 concept release for academic medical centres or reference laboratories with broader coding requirements.</w:t>
      </w:r>
    </w:p>
    <w:p>
      <w:pPr>
        <w:spacing w:after="0"/>
      </w:pPr>
      <w:r>
        <w:t xml:space="preserve"/>
      </w:r>
    </w:p>
    <w:p>
      <w:pPr>
        <w:pStyle w:val="Heading2"/>
        <w:spacing w:before="280" w:after="120"/>
      </w:pPr>
      <w:r>
        <w:rPr>
          <w:rFonts w:ascii="Arial" w:cs="Arial" w:eastAsia="Arial" w:hAnsi="Arial"/>
          <w:b/>
          <w:bCs/>
          <w:color w:val="0891B2"/>
          <w:sz w:val="26"/>
          <w:szCs w:val="26"/>
        </w:rPr>
        <w:t xml:space="preserve">8.3 LOINC</w:t>
      </w:r>
    </w:p>
    <w:p>
      <w:pPr>
        <w:spacing w:before="60" w:after="100"/>
      </w:pPr>
      <w:r>
        <w:rPr>
          <w:rFonts w:ascii="Arial" w:cs="Arial" w:eastAsia="Arial" w:hAnsi="Arial"/>
          <w:color w:val="334155"/>
          <w:sz w:val="22"/>
          <w:szCs w:val="22"/>
        </w:rPr>
        <w:t xml:space="preserve">LOINC (Logical Observation Identifiers Names and Codes) is relevant for laboratory test result coding. It is out of scope for v1 but uses the same Firestore hosted reference pattern. The NLM UMLS license covers LOINC for US deployments.</w:t>
      </w:r>
    </w:p>
    <w:p>
      <w:pPr>
        <w:spacing w:after="0"/>
      </w:pPr>
      <w:r>
        <w:t xml:space="preserve"/>
      </w:r>
    </w:p>
    <w:p>
      <w:pPr>
        <w:pStyle w:val="Heading2"/>
        <w:spacing w:before="280" w:after="120"/>
      </w:pPr>
      <w:r>
        <w:rPr>
          <w:rFonts w:ascii="Arial" w:cs="Arial" w:eastAsia="Arial" w:hAnsi="Arial"/>
          <w:b/>
          <w:bCs/>
          <w:color w:val="0891B2"/>
          <w:sz w:val="26"/>
          <w:szCs w:val="26"/>
        </w:rPr>
        <w:t xml:space="preserve">8.4 User-Reported Missing Codes</w:t>
      </w:r>
    </w:p>
    <w:p>
      <w:pPr>
        <w:spacing w:before="60" w:after="100"/>
      </w:pPr>
      <w:r>
        <w:rPr>
          <w:rFonts w:ascii="Arial" w:cs="Arial" w:eastAsia="Arial" w:hAnsi="Arial"/>
          <w:color w:val="334155"/>
          <w:sz w:val="22"/>
          <w:szCs w:val="22"/>
        </w:rPr>
        <w:t xml:space="preserve">A feedback mechanism in the Browse modal will allow pathologists to flag missing codes. These are queued for review and added to the next terminology update. This process keeps the pathology subset accurate and clinically relevant over time.</w:t>
      </w:r>
    </w:p>
    <w:p>
      <w:pPr>
        <w:spacing w:after="0"/>
      </w:pPr>
      <w:r>
        <w:t xml:space="preserve"/>
      </w:r>
    </w:p>
    <w:p>
      <w:pPr>
        <w:spacing w:after="0"/>
      </w:pPr>
      <w:r>
        <w:t xml:space="preserve"/>
      </w:r>
    </w:p>
    <w:p>
      <w:pPr>
        <w:pStyle w:val="Heading1"/>
        <w:pBdr>
          <w:bottom w:val="single" w:color="0891B2" w:sz="6" w:space="4"/>
        </w:pBdr>
        <w:spacing w:before="320" w:after="160"/>
      </w:pPr>
      <w:r>
        <w:rPr>
          <w:rFonts w:ascii="Arial" w:cs="Arial" w:eastAsia="Arial" w:hAnsi="Arial"/>
          <w:b/>
          <w:bCs/>
          <w:color w:val="334155"/>
          <w:sz w:val="32"/>
          <w:szCs w:val="32"/>
        </w:rPr>
        <w:t xml:space="preserve">Appendix: Registration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Authority</w:t>
            </w:r>
          </w:p>
        </w:tc>
        <w:tc>
          <w:tcPr>
            <w:tcW w:type="dxa" w:w="57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URL / 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NLM UMLS (US — SNOMED, ICD-10-CM)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uts.nlm.nih.gov</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NHS TRUD (GB — SNOMED, ICD-10)</w:t>
            </w:r>
          </w:p>
        </w:tc>
        <w:tc>
          <w:tcPr>
            <w:tcW w:type="dxa" w:w="5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isd.digital.nhs.uk/trud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Canada Health Infoway (CA — SNOMED)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www.infoway-inforoute.ca</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CIHI (CA — ICD-10-CA)</w:t>
            </w:r>
          </w:p>
        </w:tc>
        <w:tc>
          <w:tcPr>
            <w:tcW w:type="dxa" w:w="5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www.cihi.ca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WHO ICD API (ICD-11, all jurisdictions)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icd.who.int/icdapi</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WHO / IARC ICD-O (all jurisdictions)</w:t>
            </w:r>
          </w:p>
        </w:tc>
        <w:tc>
          <w:tcPr>
            <w:tcW w:type="dxa" w:w="5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www.iarc.fr/resources/databases/icd-o-3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SNOMED International Affiliate License (non-member countries)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www.snomed.org/snomed-ct/get-snomed</w:t>
            </w:r>
          </w:p>
        </w:tc>
      </w:tr>
    </w:tbl>
    <w:p>
      <w:pPr>
        <w:spacing w:after="0"/>
      </w:pPr>
      <w:r>
        <w:t xml:space="preserve"/>
      </w:r>
    </w:p>
    <w:p>
      <w:pPr>
        <w:spacing w:after="0"/>
      </w:pPr>
      <w:r>
        <w:t xml:space="preserve"/>
      </w:r>
    </w:p>
    <w:p>
      <w:pPr>
        <w:spacing w:before="60" w:after="100"/>
      </w:pPr>
      <w:r>
        <w:rPr>
          <w:rFonts w:ascii="Arial" w:cs="Arial" w:eastAsia="Arial" w:hAnsi="Arial"/>
          <w:i/>
          <w:iCs/>
          <w:color w:val="94a3b8"/>
          <w:sz w:val="22"/>
          <w:szCs w:val="22"/>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E8F2" w:sz="4" w:space="4"/>
      </w:pBdr>
      <w:tabs>
        <w:tab w:val="right" w:pos="9026"/>
      </w:tabs>
      <w:spacing w:before="0"/>
    </w:pPr>
    <w:r>
      <w:rPr>
        <w:rFonts w:ascii="Arial" w:cs="Arial" w:eastAsia="Arial" w:hAnsi="Arial"/>
        <w:color w:val="94a3b8"/>
        <w:sz w:val="16"/>
        <w:szCs w:val="16"/>
      </w:rPr>
      <w:t xml:space="preserve">INTERNAL — PathScribe AI Engineering</w:t>
    </w:r>
    <w:r>
      <w:rPr>
        <w:rFonts w:ascii="Arial" w:cs="Arial" w:eastAsia="Arial" w:hAnsi="Arial"/>
        <w:sz w:val="16"/>
        <w:szCs w:val="16"/>
      </w:rPr>
      <w:t xml:space="preserve">	</w:t>
    </w:r>
    <w:r>
      <w:rPr>
        <w:rFonts w:ascii="Arial" w:cs="Arial" w:eastAsia="Arial" w:hAnsi="Arial"/>
        <w:color w:val="94a3b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spacing w:after="0"/>
    </w:pPr>
    <w:r>
      <w:rPr>
        <w:rFonts w:ascii="Arial" w:cs="Arial" w:eastAsia="Arial" w:hAnsi="Arial"/>
        <w:b/>
        <w:bCs/>
        <w:color w:val="0891B2"/>
        <w:sz w:val="18"/>
        <w:szCs w:val="18"/>
      </w:rPr>
      <w:t xml:space="preserve">PathScribe AI</w:t>
    </w:r>
    <w:r>
      <w:rPr>
        <w:rFonts w:ascii="Arial" w:cs="Arial" w:eastAsia="Arial" w:hAnsi="Arial"/>
        <w:color w:val="94a3b8"/>
        <w:sz w:val="18"/>
        <w:szCs w:val="18"/>
      </w:rPr>
      <w:t xml:space="preserve">   |   Terminology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34155"/>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891B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2026-03-07T20:15:37.874Z</dcterms:created>
  <dcterms:modified xsi:type="dcterms:W3CDTF">2026-03-07T20:15:37.874Z</dcterms:modified>
</cp:coreProperties>
</file>

<file path=docProps/custom.xml><?xml version="1.0" encoding="utf-8"?>
<Properties xmlns="http://schemas.openxmlformats.org/officeDocument/2006/custom-properties" xmlns:vt="http://schemas.openxmlformats.org/officeDocument/2006/docPropsVTypes"/>
</file>