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0F1F3D"/>
          <w:sz w:val="56"/>
          <w:szCs w:val="56"/>
        </w:rPr>
        <w:t xml:space="preserve">PathScribe AI</w:t>
      </w:r>
    </w:p>
    <w:p>
      <w:pPr>
        <w:spacing w:before="0" w:after="80"/>
      </w:pPr>
      <w:r>
        <w:rPr>
          <w:rFonts w:ascii="Arial" w:cs="Arial" w:eastAsia="Arial" w:hAnsi="Arial"/>
          <w:color w:val="2563EB"/>
          <w:sz w:val="38"/>
          <w:szCs w:val="38"/>
        </w:rPr>
        <w:t xml:space="preserve">Product Mode Definition</w:t>
      </w:r>
    </w:p>
    <w:p>
      <w:pPr>
        <w:spacing w:before="0" w:after="500"/>
      </w:pPr>
      <w:r>
        <w:rPr>
          <w:rFonts w:ascii="Arial" w:cs="Arial" w:eastAsia="Arial" w:hAnsi="Arial"/>
          <w:color w:val="94A3B8"/>
          <w:sz w:val="22"/>
          <w:szCs w:val="22"/>
        </w:rPr>
        <w:t xml:space="preserve">Architecture &amp; Product Decision Document  •  v0.1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Document Type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Architecture &amp; Product Decision — Engineering + Product Review</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Status</w:t>
            </w:r>
          </w:p>
        </w:tc>
        <w:tc>
          <w:tcPr>
            <w:tcW w:type="dxa" w:w="6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Draft v0.1 — Requires formal sign-off before feature gating begins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Decision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institution.deployment_mode configuration flag: co_pilot | standalone_lis</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Impact</w:t>
            </w:r>
          </w:p>
        </w:tc>
        <w:tc>
          <w:tcPr>
            <w:tcW w:type="dxa" w:w="6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All existing and future features must declare mode applicability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Downstream</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usePermission hook, QC Module, Cytology QC, LIS Integration layer</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Author</w:t>
            </w:r>
          </w:p>
        </w:tc>
        <w:tc>
          <w:tcPr>
            <w:tcW w:type="dxa" w:w="6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Product &amp; Architecture Teams</w:t>
            </w:r>
          </w:p>
        </w:tc>
      </w:tr>
    </w:tbl>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1. Why This Decision Matters Now</w:t>
      </w:r>
    </w:p>
    <w:p>
      <w:pPr>
        <w:spacing w:before="80" w:after="100"/>
      </w:pPr>
      <w:r>
        <w:rPr>
          <w:rFonts w:ascii="Arial" w:cs="Arial" w:eastAsia="Arial" w:hAnsi="Arial"/>
          <w:color w:val="0F172A"/>
          <w:sz w:val="20"/>
          <w:szCs w:val="20"/>
        </w:rPr>
        <w:t xml:space="preserve">As PathScribe AI has evolved through design sprints, two distinct usage patterns have emerged that share a common core but diverge significantly in scope and responsibility. These patterns have been quietly coexisting in the design — the Synoptic Library, QC Module, and Cytology QC specs have all made implicit assumptions about which pattern they serve.</w:t>
      </w:r>
    </w:p>
    <w:p>
      <w:pPr>
        <w:spacing w:before="60" w:after="60"/>
      </w:pPr>
      <w:r>
        <w:t xml:space="preserve"/>
      </w:r>
    </w:p>
    <w:p>
      <w:pPr>
        <w:spacing w:before="80" w:after="100"/>
      </w:pPr>
      <w:r>
        <w:rPr>
          <w:rFonts w:ascii="Arial" w:cs="Arial" w:eastAsia="Arial" w:hAnsi="Arial"/>
          <w:color w:val="0F172A"/>
          <w:sz w:val="20"/>
          <w:szCs w:val="20"/>
        </w:rPr>
        <w:t xml:space="preserve">Without a formal mode definition, the risk is:</w:t>
      </w:r>
    </w:p>
    <w:p>
      <w:pPr>
        <w:pStyle w:val="ListParagraph"/>
        <w:numPr>
          <w:ilvl w:val="0"/>
          <w:numId w:val="2"/>
        </w:numPr>
        <w:spacing w:before="40" w:after="40"/>
      </w:pPr>
      <w:r>
        <w:rPr>
          <w:rFonts w:ascii="Arial" w:cs="Arial" w:eastAsia="Arial" w:hAnsi="Arial"/>
          <w:color w:val="0F172A"/>
          <w:sz w:val="20"/>
          <w:szCs w:val="20"/>
        </w:rPr>
        <w:t xml:space="preserve">Features are built that assume PathScribe owns workflows that actually live in the customer's LIS — leading to integration conflicts</w:t>
      </w:r>
    </w:p>
    <w:p>
      <w:pPr>
        <w:pStyle w:val="ListParagraph"/>
        <w:numPr>
          <w:ilvl w:val="0"/>
          <w:numId w:val="2"/>
        </w:numPr>
        <w:spacing w:before="40" w:after="40"/>
      </w:pPr>
      <w:r>
        <w:rPr>
          <w:rFonts w:ascii="Arial" w:cs="Arial" w:eastAsia="Arial" w:hAnsi="Arial"/>
          <w:color w:val="0F172A"/>
          <w:sz w:val="20"/>
          <w:szCs w:val="20"/>
        </w:rPr>
        <w:t xml:space="preserve">The QC Module surfaces controls (workload limits, sign-out blocking, peer review queues) that a co-pilot customer's LIS already handles — creating duplication and confusion</w:t>
      </w:r>
    </w:p>
    <w:p>
      <w:pPr>
        <w:pStyle w:val="ListParagraph"/>
        <w:numPr>
          <w:ilvl w:val="0"/>
          <w:numId w:val="2"/>
        </w:numPr>
        <w:spacing w:before="40" w:after="40"/>
      </w:pPr>
      <w:r>
        <w:rPr>
          <w:rFonts w:ascii="Arial" w:cs="Arial" w:eastAsia="Arial" w:hAnsi="Arial"/>
          <w:color w:val="0F172A"/>
          <w:sz w:val="20"/>
          <w:szCs w:val="20"/>
        </w:rPr>
        <w:t xml:space="preserve">The usePermission hook and role system are designed without knowing which roles are real actors in PathScribe vs. which are LIS roles that PathScribe only needs to be aware of</w:t>
      </w:r>
    </w:p>
    <w:p>
      <w:pPr>
        <w:pStyle w:val="ListParagraph"/>
        <w:numPr>
          <w:ilvl w:val="0"/>
          <w:numId w:val="2"/>
        </w:numPr>
        <w:spacing w:before="40" w:after="40"/>
      </w:pPr>
      <w:r>
        <w:rPr>
          <w:rFonts w:ascii="Arial" w:cs="Arial" w:eastAsia="Arial" w:hAnsi="Arial"/>
          <w:color w:val="0F172A"/>
          <w:sz w:val="20"/>
          <w:szCs w:val="20"/>
        </w:rPr>
        <w:t xml:space="preserve">Pricing, packaging, and sales positioning diverge from what engineering has built</w:t>
      </w:r>
    </w:p>
    <w:p>
      <w:pPr>
        <w:spacing w:before="60" w:after="60"/>
      </w:pPr>
      <w:r>
        <w:t xml:space="preserve"/>
      </w:r>
    </w:p>
    <w:p>
      <w:pPr>
        <w:pBdr>
          <w:left w:val="single" w:color="2563EB" w:sz="14"/>
        </w:pBdr>
        <w:shd w:fill="EFF6FF" w:val="clear"/>
        <w:spacing w:before="100" w:after="120"/>
        <w:ind w:left="200" w:right="200"/>
      </w:pPr>
      <w:r>
        <w:rPr>
          <w:rFonts w:ascii="Arial" w:cs="Arial" w:eastAsia="Arial" w:hAnsi="Arial"/>
          <w:b/>
          <w:bCs/>
          <w:color w:val="2563EB"/>
          <w:sz w:val="18"/>
          <w:szCs w:val="18"/>
        </w:rPr>
        <w:t xml:space="preserve">ℹ️  Context:  </w:t>
      </w:r>
      <w:r>
        <w:rPr>
          <w:rFonts w:ascii="Arial" w:cs="Arial" w:eastAsia="Arial" w:hAnsi="Arial"/>
          <w:color w:val="2563EB"/>
          <w:sz w:val="18"/>
          <w:szCs w:val="18"/>
        </w:rPr>
        <w:t xml:space="preserve">This document names the two modes, draws the line between them, defines the configuration flag, and provides a feature triage matrix that every future feature is evaluated against before design begins.</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PathScribe AI is a single codebase with a deployment mode configuration flag (institution.deployment_mode). Two values: co_pilot and standalone_lis. All feature gating references this flag. This is decided. The remainder of this document defines what each mode means.</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2. The Two Deployment Modes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200"/>
              <w:left w:type="dxa" w:w="280"/>
              <w:bottom w:type="dxa" w:w="200"/>
              <w:right w:type="dxa" w:w="280"/>
            </w:tcMar>
          </w:tcPr>
          <w:p>
            <w:pPr>
              <w:spacing w:after="60"/>
            </w:pPr>
            <w:r>
              <w:rPr>
                <w:rFonts w:ascii="Arial" w:cs="Arial" w:eastAsia="Arial" w:hAnsi="Arial"/>
                <w:sz w:val="40"/>
                <w:szCs w:val="40"/>
              </w:rPr>
              <w:t xml:space="preserve">🔗  </w:t>
            </w:r>
            <w:r>
              <w:rPr>
                <w:rFonts w:ascii="Arial" w:cs="Arial" w:eastAsia="Arial" w:hAnsi="Arial"/>
                <w:b/>
                <w:bCs/>
                <w:color w:val="2563EB"/>
                <w:sz w:val="40"/>
                <w:szCs w:val="40"/>
              </w:rPr>
              <w:t xml:space="preserve">Mode 1: Co-Pilot</w:t>
            </w:r>
          </w:p>
          <w:p>
            <w:r>
              <w:rPr>
                <w:rFonts w:ascii="Arial" w:cs="Arial" w:eastAsia="Arial" w:hAnsi="Arial"/>
                <w:color w:val="2563EB"/>
                <w:sz w:val="20"/>
                <w:szCs w:val="20"/>
              </w:rPr>
              <w:t xml:space="preserve">PathScribe sits alongside an existing LIS. The LIS owns the case, the report, and sign-out. PathScribe owns the synoptic.</w:t>
            </w:r>
          </w:p>
        </w:tc>
      </w:tr>
    </w:tbl>
    <w:p>
      <w:pPr>
        <w:spacing w:before="60" w:after="60"/>
      </w:pPr>
      <w:r>
        <w:t xml:space="preserve"/>
      </w:r>
    </w:p>
    <w:p>
      <w:pPr>
        <w:spacing w:before="80" w:after="100"/>
      </w:pPr>
      <w:r>
        <w:rPr>
          <w:rFonts w:ascii="Arial" w:cs="Arial" w:eastAsia="Arial" w:hAnsi="Arial"/>
          <w:color w:val="0F172A"/>
          <w:sz w:val="20"/>
          <w:szCs w:val="20"/>
        </w:rPr>
        <w:t xml:space="preserve">The customer already has a laboratory information system — Epic Beaker, CoPath, Sunquest, PowerPath, or equivalent. That system is the source of truth for cases, specimens, gross descriptions, microscopic narratives, diagnoses, and signed reports. PathScribe connects to it, receives data, and returns one thing: a completed, AI-assisted synoptic report.</w:t>
      </w:r>
    </w:p>
    <w:p>
      <w:pPr>
        <w:spacing w:before="60" w:after="60"/>
      </w:pPr>
      <w:r>
        <w:t xml:space="preserve"/>
      </w:r>
    </w:p>
    <w:p>
      <w:pPr>
        <w:spacing w:before="80" w:after="100"/>
      </w:pPr>
      <w:r>
        <w:rPr>
          <w:rFonts w:ascii="Arial" w:cs="Arial" w:eastAsia="Arial" w:hAnsi="Arial"/>
          <w:color w:val="0F172A"/>
          <w:sz w:val="20"/>
          <w:szCs w:val="20"/>
        </w:rPr>
        <w:t xml:space="preserve">In this mode, PathScribe is a focused, high-value add-on. The sales pitch is simple: "We make your synoptic reporting faster and more complete, without changing anything else about your workflow." The integration surface is limited — HL7 or FHIR in, structured synoptic out.</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What PathScribe owns in Co-Pilot mode:</w:t>
      </w:r>
    </w:p>
    <w:p>
      <w:pPr>
        <w:pStyle w:val="ListParagraph"/>
        <w:numPr>
          <w:ilvl w:val="0"/>
          <w:numId w:val="2"/>
        </w:numPr>
        <w:spacing w:before="40" w:after="40"/>
      </w:pPr>
      <w:r>
        <w:rPr>
          <w:rFonts w:ascii="Arial" w:cs="Arial" w:eastAsia="Arial" w:hAnsi="Arial"/>
          <w:color w:val="0F172A"/>
          <w:sz w:val="20"/>
          <w:szCs w:val="20"/>
        </w:rPr>
        <w:t xml:space="preserve">Synoptic template library (CAP, RCPath, RCPA, ICCR)</w:t>
      </w:r>
    </w:p>
    <w:p>
      <w:pPr>
        <w:pStyle w:val="ListParagraph"/>
        <w:numPr>
          <w:ilvl w:val="0"/>
          <w:numId w:val="2"/>
        </w:numPr>
        <w:spacing w:before="40" w:after="40"/>
      </w:pPr>
      <w:r>
        <w:rPr>
          <w:rFonts w:ascii="Arial" w:cs="Arial" w:eastAsia="Arial" w:hAnsi="Arial"/>
          <w:color w:val="0F172A"/>
          <w:sz w:val="20"/>
          <w:szCs w:val="20"/>
        </w:rPr>
        <w:t xml:space="preserve">AI protocol selection and field pre-population</w:t>
      </w:r>
    </w:p>
    <w:p>
      <w:pPr>
        <w:pStyle w:val="ListParagraph"/>
        <w:numPr>
          <w:ilvl w:val="0"/>
          <w:numId w:val="2"/>
        </w:numPr>
        <w:spacing w:before="40" w:after="40"/>
      </w:pPr>
      <w:r>
        <w:rPr>
          <w:rFonts w:ascii="Arial" w:cs="Arial" w:eastAsia="Arial" w:hAnsi="Arial"/>
          <w:color w:val="0F172A"/>
          <w:sz w:val="20"/>
          <w:szCs w:val="20"/>
        </w:rPr>
        <w:t xml:space="preserve">Synoptic versioning and provenance tracking</w:t>
      </w:r>
    </w:p>
    <w:p>
      <w:pPr>
        <w:pStyle w:val="ListParagraph"/>
        <w:numPr>
          <w:ilvl w:val="0"/>
          <w:numId w:val="2"/>
        </w:numPr>
        <w:spacing w:before="40" w:after="40"/>
      </w:pPr>
      <w:r>
        <w:rPr>
          <w:rFonts w:ascii="Arial" w:cs="Arial" w:eastAsia="Arial" w:hAnsi="Arial"/>
          <w:color w:val="0F172A"/>
          <w:sz w:val="20"/>
          <w:szCs w:val="20"/>
        </w:rPr>
        <w:t xml:space="preserve">Synoptic completeness QC metrics</w:t>
      </w:r>
    </w:p>
    <w:p>
      <w:pPr>
        <w:pStyle w:val="ListParagraph"/>
        <w:numPr>
          <w:ilvl w:val="0"/>
          <w:numId w:val="2"/>
        </w:numPr>
        <w:spacing w:before="40" w:after="40"/>
      </w:pPr>
      <w:r>
        <w:rPr>
          <w:rFonts w:ascii="Arial" w:cs="Arial" w:eastAsia="Arial" w:hAnsi="Arial"/>
          <w:color w:val="0F172A"/>
          <w:sz w:val="20"/>
          <w:szCs w:val="20"/>
        </w:rPr>
        <w:t xml:space="preserve">AI confidence scoring and retraining feedback loop</w:t>
      </w:r>
    </w:p>
    <w:p>
      <w:pPr>
        <w:pStyle w:val="ListParagraph"/>
        <w:numPr>
          <w:ilvl w:val="0"/>
          <w:numId w:val="2"/>
        </w:numPr>
        <w:spacing w:before="40" w:after="40"/>
      </w:pPr>
      <w:r>
        <w:rPr>
          <w:rFonts w:ascii="Arial" w:cs="Arial" w:eastAsia="Arial" w:hAnsi="Arial"/>
          <w:color w:val="0F172A"/>
          <w:sz w:val="20"/>
          <w:szCs w:val="20"/>
        </w:rPr>
        <w:t xml:space="preserve">CAP/RCPath protocol compliance for synoptics specifically</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What the LIS owns (PathScribe defers to):</w:t>
      </w:r>
    </w:p>
    <w:p>
      <w:pPr>
        <w:pStyle w:val="ListParagraph"/>
        <w:numPr>
          <w:ilvl w:val="0"/>
          <w:numId w:val="2"/>
        </w:numPr>
        <w:spacing w:before="40" w:after="40"/>
      </w:pPr>
      <w:r>
        <w:rPr>
          <w:rFonts w:ascii="Arial" w:cs="Arial" w:eastAsia="Arial" w:hAnsi="Arial"/>
          <w:color w:val="0F172A"/>
          <w:sz w:val="20"/>
          <w:szCs w:val="20"/>
        </w:rPr>
        <w:t xml:space="preserve">Case creation and specimen accessioning</w:t>
      </w:r>
    </w:p>
    <w:p>
      <w:pPr>
        <w:pStyle w:val="ListParagraph"/>
        <w:numPr>
          <w:ilvl w:val="0"/>
          <w:numId w:val="2"/>
        </w:numPr>
        <w:spacing w:before="40" w:after="40"/>
      </w:pPr>
      <w:r>
        <w:rPr>
          <w:rFonts w:ascii="Arial" w:cs="Arial" w:eastAsia="Arial" w:hAnsi="Arial"/>
          <w:color w:val="0F172A"/>
          <w:sz w:val="20"/>
          <w:szCs w:val="20"/>
        </w:rPr>
        <w:t xml:space="preserve">Gross and microscopic description entry</w:t>
      </w:r>
    </w:p>
    <w:p>
      <w:pPr>
        <w:pStyle w:val="ListParagraph"/>
        <w:numPr>
          <w:ilvl w:val="0"/>
          <w:numId w:val="2"/>
        </w:numPr>
        <w:spacing w:before="40" w:after="40"/>
      </w:pPr>
      <w:r>
        <w:rPr>
          <w:rFonts w:ascii="Arial" w:cs="Arial" w:eastAsia="Arial" w:hAnsi="Arial"/>
          <w:color w:val="0F172A"/>
          <w:sz w:val="20"/>
          <w:szCs w:val="20"/>
        </w:rPr>
        <w:t xml:space="preserve">Diagnosis entry and report narrative</w:t>
      </w:r>
    </w:p>
    <w:p>
      <w:pPr>
        <w:pStyle w:val="ListParagraph"/>
        <w:numPr>
          <w:ilvl w:val="0"/>
          <w:numId w:val="2"/>
        </w:numPr>
        <w:spacing w:before="40" w:after="40"/>
      </w:pPr>
      <w:r>
        <w:rPr>
          <w:rFonts w:ascii="Arial" w:cs="Arial" w:eastAsia="Arial" w:hAnsi="Arial"/>
          <w:color w:val="0F172A"/>
          <w:sz w:val="20"/>
          <w:szCs w:val="20"/>
        </w:rPr>
        <w:t xml:space="preserve">Case sign-out and report release</w:t>
      </w:r>
    </w:p>
    <w:p>
      <w:pPr>
        <w:pStyle w:val="ListParagraph"/>
        <w:numPr>
          <w:ilvl w:val="0"/>
          <w:numId w:val="2"/>
        </w:numPr>
        <w:spacing w:before="40" w:after="40"/>
      </w:pPr>
      <w:r>
        <w:rPr>
          <w:rFonts w:ascii="Arial" w:cs="Arial" w:eastAsia="Arial" w:hAnsi="Arial"/>
          <w:color w:val="0F172A"/>
          <w:sz w:val="20"/>
          <w:szCs w:val="20"/>
        </w:rPr>
        <w:t xml:space="preserve">Peer review workflow and sign-out blocking</w:t>
      </w:r>
    </w:p>
    <w:p>
      <w:pPr>
        <w:pStyle w:val="ListParagraph"/>
        <w:numPr>
          <w:ilvl w:val="0"/>
          <w:numId w:val="2"/>
        </w:numPr>
        <w:spacing w:before="40" w:after="40"/>
      </w:pPr>
      <w:r>
        <w:rPr>
          <w:rFonts w:ascii="Arial" w:cs="Arial" w:eastAsia="Arial" w:hAnsi="Arial"/>
          <w:color w:val="0F172A"/>
          <w:sz w:val="20"/>
          <w:szCs w:val="20"/>
        </w:rPr>
        <w:t xml:space="preserve">Cytology workload tracking and CLIA enforcement</w:t>
      </w:r>
    </w:p>
    <w:p>
      <w:pPr>
        <w:pStyle w:val="ListParagraph"/>
        <w:numPr>
          <w:ilvl w:val="0"/>
          <w:numId w:val="2"/>
        </w:numPr>
        <w:spacing w:before="40" w:after="40"/>
      </w:pPr>
      <w:r>
        <w:rPr>
          <w:rFonts w:ascii="Arial" w:cs="Arial" w:eastAsia="Arial" w:hAnsi="Arial"/>
          <w:color w:val="0F172A"/>
          <w:sz w:val="20"/>
          <w:szCs w:val="20"/>
        </w:rPr>
        <w:t xml:space="preserve">Turnaround time tracking and TAT alerts</w:t>
      </w:r>
    </w:p>
    <w:p>
      <w:pPr>
        <w:pStyle w:val="ListParagraph"/>
        <w:numPr>
          <w:ilvl w:val="0"/>
          <w:numId w:val="2"/>
        </w:numPr>
        <w:spacing w:before="40" w:after="40"/>
      </w:pPr>
      <w:r>
        <w:rPr>
          <w:rFonts w:ascii="Arial" w:cs="Arial" w:eastAsia="Arial" w:hAnsi="Arial"/>
          <w:color w:val="0F172A"/>
          <w:sz w:val="20"/>
          <w:szCs w:val="20"/>
        </w:rPr>
        <w:t xml:space="preserve">User authentication and role management (PathScribe reads roles from LIS or SSO)</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In Co-Pilot mode, the QC Module is scoped to synoptic-specific metrics only. The peer review queue, workload tracker, and sign-out blocking features are hidden. The compliance checklist covers synoptic completeness and AI accuracy — not broader CLIA cytology requirements, which the LIS handles.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A" w:val="clear"/>
            <w:tcMar>
              <w:top w:type="dxa" w:w="200"/>
              <w:left w:type="dxa" w:w="280"/>
              <w:bottom w:type="dxa" w:w="200"/>
              <w:right w:type="dxa" w:w="280"/>
            </w:tcMar>
          </w:tcPr>
          <w:p>
            <w:pPr>
              <w:spacing w:after="60"/>
            </w:pPr>
            <w:r>
              <w:rPr>
                <w:rFonts w:ascii="Arial" w:cs="Arial" w:eastAsia="Arial" w:hAnsi="Arial"/>
                <w:sz w:val="40"/>
                <w:szCs w:val="40"/>
              </w:rPr>
              <w:t xml:space="preserve">🏥  </w:t>
            </w:r>
            <w:r>
              <w:rPr>
                <w:rFonts w:ascii="Arial" w:cs="Arial" w:eastAsia="Arial" w:hAnsi="Arial"/>
                <w:b/>
                <w:bCs/>
                <w:color w:val="0D9488"/>
                <w:sz w:val="40"/>
                <w:szCs w:val="40"/>
              </w:rPr>
              <w:t xml:space="preserve">Mode 2: Standalone LIS</w:t>
            </w:r>
          </w:p>
          <w:p>
            <w:r>
              <w:rPr>
                <w:rFonts w:ascii="Arial" w:cs="Arial" w:eastAsia="Arial" w:hAnsi="Arial"/>
                <w:color w:val="0D9488"/>
                <w:sz w:val="20"/>
                <w:szCs w:val="20"/>
              </w:rPr>
              <w:t xml:space="preserve">PathScribe is the system of record. It owns the full anatomic pathology workflow from accessioning through report release.</w:t>
            </w:r>
          </w:p>
        </w:tc>
      </w:tr>
    </w:tbl>
    <w:p>
      <w:pPr>
        <w:spacing w:before="60" w:after="60"/>
      </w:pPr>
      <w:r>
        <w:t xml:space="preserve"/>
      </w:r>
    </w:p>
    <w:p>
      <w:pPr>
        <w:spacing w:before="80" w:after="100"/>
      </w:pPr>
      <w:r>
        <w:rPr>
          <w:rFonts w:ascii="Arial" w:cs="Arial" w:eastAsia="Arial" w:hAnsi="Arial"/>
          <w:color w:val="0F172A"/>
          <w:sz w:val="20"/>
          <w:szCs w:val="20"/>
        </w:rPr>
        <w:t xml:space="preserve">The customer either has no LIS, is replacing a legacy system, or needs something between a basic dictation tool and a full enterprise LIS like Epic Beaker. PathScribe becomes the primary system for anatomic pathology — handling cases, specimens, gross descriptions, microscopic narratives, diagnoses, synoptics, QC, compliance, and report generation.</w:t>
      </w:r>
    </w:p>
    <w:p>
      <w:pPr>
        <w:spacing w:before="60" w:after="60"/>
      </w:pPr>
      <w:r>
        <w:t xml:space="preserve"/>
      </w:r>
    </w:p>
    <w:p>
      <w:pPr>
        <w:spacing w:before="80" w:after="100"/>
      </w:pPr>
      <w:r>
        <w:rPr>
          <w:rFonts w:ascii="Arial" w:cs="Arial" w:eastAsia="Arial" w:hAnsi="Arial"/>
          <w:color w:val="0F172A"/>
          <w:sz w:val="20"/>
          <w:szCs w:val="20"/>
        </w:rPr>
        <w:t xml:space="preserve">This mode is the right fit for independent pathology groups, smaller hospital labs, international practices, reference labs without AP-LIS infrastructure, and labs that want a modern cloud-native AP workflow without the cost and complexity of an enterprise LIS. It is also the mode that makes the full cytology QC workflow, CLIA-compliant workload tracking, and full peer review enforcement meaningful.</w:t>
      </w:r>
    </w:p>
    <w:p>
      <w:pPr>
        <w:spacing w:before="60" w:after="60"/>
      </w:pPr>
      <w:r>
        <w:t xml:space="preserve"/>
      </w:r>
    </w:p>
    <w:p>
      <w:pPr>
        <w:pStyle w:val="Heading3"/>
        <w:spacing w:before="260" w:after="120"/>
      </w:pPr>
      <w:r>
        <w:rPr>
          <w:rFonts w:ascii="Arial" w:cs="Arial" w:eastAsia="Arial" w:hAnsi="Arial"/>
          <w:b/>
          <w:bCs/>
          <w:color w:val="0D9488"/>
          <w:sz w:val="22"/>
          <w:szCs w:val="22"/>
        </w:rPr>
        <w:t xml:space="preserve">What PathScribe owns in Standalone LIS mode (everything):</w:t>
      </w:r>
    </w:p>
    <w:p>
      <w:pPr>
        <w:pStyle w:val="ListParagraph"/>
        <w:numPr>
          <w:ilvl w:val="0"/>
          <w:numId w:val="2"/>
        </w:numPr>
        <w:spacing w:before="40" w:after="40"/>
      </w:pPr>
      <w:r>
        <w:rPr>
          <w:rFonts w:ascii="Arial" w:cs="Arial" w:eastAsia="Arial" w:hAnsi="Arial"/>
          <w:color w:val="0F172A"/>
          <w:sz w:val="20"/>
          <w:szCs w:val="20"/>
        </w:rPr>
        <w:t xml:space="preserve">All of Co-Pilot mode, plus:</w:t>
      </w:r>
    </w:p>
    <w:p>
      <w:pPr>
        <w:pStyle w:val="ListParagraph"/>
        <w:numPr>
          <w:ilvl w:val="1"/>
          <w:numId w:val="2"/>
        </w:numPr>
        <w:spacing w:before="40" w:after="40"/>
      </w:pPr>
      <w:r>
        <w:rPr>
          <w:rFonts w:ascii="Arial" w:cs="Arial" w:eastAsia="Arial" w:hAnsi="Arial"/>
          <w:color w:val="0F172A"/>
          <w:sz w:val="20"/>
          <w:szCs w:val="20"/>
        </w:rPr>
        <w:t xml:space="preserve">Case and specimen creation, accessioning, and management</w:t>
      </w:r>
    </w:p>
    <w:p>
      <w:pPr>
        <w:pStyle w:val="ListParagraph"/>
        <w:numPr>
          <w:ilvl w:val="1"/>
          <w:numId w:val="2"/>
        </w:numPr>
        <w:spacing w:before="40" w:after="40"/>
      </w:pPr>
      <w:r>
        <w:rPr>
          <w:rFonts w:ascii="Arial" w:cs="Arial" w:eastAsia="Arial" w:hAnsi="Arial"/>
          <w:color w:val="0F172A"/>
          <w:sz w:val="20"/>
          <w:szCs w:val="20"/>
        </w:rPr>
        <w:t xml:space="preserve">Gross description entry and workflow</w:t>
      </w:r>
    </w:p>
    <w:p>
      <w:pPr>
        <w:pStyle w:val="ListParagraph"/>
        <w:numPr>
          <w:ilvl w:val="1"/>
          <w:numId w:val="2"/>
        </w:numPr>
        <w:spacing w:before="40" w:after="40"/>
      </w:pPr>
      <w:r>
        <w:rPr>
          <w:rFonts w:ascii="Arial" w:cs="Arial" w:eastAsia="Arial" w:hAnsi="Arial"/>
          <w:color w:val="0F172A"/>
          <w:sz w:val="20"/>
          <w:szCs w:val="20"/>
        </w:rPr>
        <w:t xml:space="preserve">Microscopic narrative (with or without dictation integration)</w:t>
      </w:r>
    </w:p>
    <w:p>
      <w:pPr>
        <w:pStyle w:val="ListParagraph"/>
        <w:numPr>
          <w:ilvl w:val="1"/>
          <w:numId w:val="2"/>
        </w:numPr>
        <w:spacing w:before="40" w:after="40"/>
      </w:pPr>
      <w:r>
        <w:rPr>
          <w:rFonts w:ascii="Arial" w:cs="Arial" w:eastAsia="Arial" w:hAnsi="Arial"/>
          <w:color w:val="0F172A"/>
          <w:sz w:val="20"/>
          <w:szCs w:val="20"/>
        </w:rPr>
        <w:t xml:space="preserve">Diagnosis entry and report assembly</w:t>
      </w:r>
    </w:p>
    <w:p>
      <w:pPr>
        <w:pStyle w:val="ListParagraph"/>
        <w:numPr>
          <w:ilvl w:val="1"/>
          <w:numId w:val="2"/>
        </w:numPr>
        <w:spacing w:before="40" w:after="40"/>
      </w:pPr>
      <w:r>
        <w:rPr>
          <w:rFonts w:ascii="Arial" w:cs="Arial" w:eastAsia="Arial" w:hAnsi="Arial"/>
          <w:color w:val="0F172A"/>
          <w:sz w:val="20"/>
          <w:szCs w:val="20"/>
        </w:rPr>
        <w:t xml:space="preserve">Full report generation (gross + micro + synoptic + sign-out)</w:t>
      </w:r>
    </w:p>
    <w:p>
      <w:pPr>
        <w:pStyle w:val="ListParagraph"/>
        <w:numPr>
          <w:ilvl w:val="1"/>
          <w:numId w:val="2"/>
        </w:numPr>
        <w:spacing w:before="40" w:after="40"/>
      </w:pPr>
      <w:r>
        <w:rPr>
          <w:rFonts w:ascii="Arial" w:cs="Arial" w:eastAsia="Arial" w:hAnsi="Arial"/>
          <w:color w:val="0F172A"/>
          <w:sz w:val="20"/>
          <w:szCs w:val="20"/>
        </w:rPr>
        <w:t xml:space="preserve">Case sign-out with role-based blocking (Resident → Attending)</w:t>
      </w:r>
    </w:p>
    <w:p>
      <w:pPr>
        <w:pStyle w:val="ListParagraph"/>
        <w:numPr>
          <w:ilvl w:val="1"/>
          <w:numId w:val="2"/>
        </w:numPr>
        <w:spacing w:before="40" w:after="40"/>
      </w:pPr>
      <w:r>
        <w:rPr>
          <w:rFonts w:ascii="Arial" w:cs="Arial" w:eastAsia="Arial" w:hAnsi="Arial"/>
          <w:color w:val="0F172A"/>
          <w:sz w:val="20"/>
          <w:szCs w:val="20"/>
        </w:rPr>
        <w:t xml:space="preserve">Full peer review workflow with CAP 10% random selection</w:t>
      </w:r>
    </w:p>
    <w:p>
      <w:pPr>
        <w:pStyle w:val="ListParagraph"/>
        <w:numPr>
          <w:ilvl w:val="1"/>
          <w:numId w:val="2"/>
        </w:numPr>
        <w:spacing w:before="40" w:after="40"/>
      </w:pPr>
      <w:r>
        <w:rPr>
          <w:rFonts w:ascii="Arial" w:cs="Arial" w:eastAsia="Arial" w:hAnsi="Arial"/>
          <w:color w:val="0F172A"/>
          <w:sz w:val="20"/>
          <w:szCs w:val="20"/>
        </w:rPr>
        <w:t xml:space="preserve">Cytology QC: prospective rescreening, 5-yr lookback, cytohistologic correlation</w:t>
      </w:r>
    </w:p>
    <w:p>
      <w:pPr>
        <w:pStyle w:val="ListParagraph"/>
        <w:numPr>
          <w:ilvl w:val="1"/>
          <w:numId w:val="2"/>
        </w:numPr>
        <w:spacing w:before="40" w:after="40"/>
      </w:pPr>
      <w:r>
        <w:rPr>
          <w:rFonts w:ascii="Arial" w:cs="Arial" w:eastAsia="Arial" w:hAnsi="Arial"/>
          <w:color w:val="0F172A"/>
          <w:sz w:val="20"/>
          <w:szCs w:val="20"/>
        </w:rPr>
        <w:t xml:space="preserve">CLIA cytotechnologist workload tracking and daily limit enforcement</w:t>
      </w:r>
    </w:p>
    <w:p>
      <w:pPr>
        <w:pStyle w:val="ListParagraph"/>
        <w:numPr>
          <w:ilvl w:val="1"/>
          <w:numId w:val="2"/>
        </w:numPr>
        <w:spacing w:before="40" w:after="40"/>
      </w:pPr>
      <w:r>
        <w:rPr>
          <w:rFonts w:ascii="Arial" w:cs="Arial" w:eastAsia="Arial" w:hAnsi="Arial"/>
          <w:color w:val="0F172A"/>
          <w:sz w:val="20"/>
          <w:szCs w:val="20"/>
        </w:rPr>
        <w:t xml:space="preserve">Turnaround time tracking and benchmark alerting</w:t>
      </w:r>
    </w:p>
    <w:p>
      <w:pPr>
        <w:pStyle w:val="ListParagraph"/>
        <w:numPr>
          <w:ilvl w:val="1"/>
          <w:numId w:val="2"/>
        </w:numPr>
        <w:spacing w:before="40" w:after="40"/>
      </w:pPr>
      <w:r>
        <w:rPr>
          <w:rFonts w:ascii="Arial" w:cs="Arial" w:eastAsia="Arial" w:hAnsi="Arial"/>
          <w:color w:val="0F172A"/>
          <w:sz w:val="20"/>
          <w:szCs w:val="20"/>
        </w:rPr>
        <w:t xml:space="preserve">Full CLIA and CAP compliance reporting</w:t>
      </w:r>
    </w:p>
    <w:p>
      <w:pPr>
        <w:pStyle w:val="ListParagraph"/>
        <w:numPr>
          <w:ilvl w:val="1"/>
          <w:numId w:val="2"/>
        </w:numPr>
        <w:spacing w:before="40" w:after="40"/>
      </w:pPr>
      <w:r>
        <w:rPr>
          <w:rFonts w:ascii="Arial" w:cs="Arial" w:eastAsia="Arial" w:hAnsi="Arial"/>
          <w:color w:val="0F172A"/>
          <w:sz w:val="20"/>
          <w:szCs w:val="20"/>
        </w:rPr>
        <w:t xml:space="preserve">User management and role administration (PathScribe is the auth source)</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Standalone LIS mode does not mean PathScribe never integrates with other systems. Labs will still connect to billing systems, EHRs, radiology, and molecular platforms. But PathScribe is the hub, not the spoke. Integration flows are bidirectional and PathScribe is the system of record for anatomic pathology data.</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3. The Configuration Flag</w:t>
      </w:r>
    </w:p>
    <w:p>
      <w:pPr>
        <w:spacing w:before="80" w:after="100"/>
      </w:pPr>
      <w:r>
        <w:rPr>
          <w:rFonts w:ascii="Arial" w:cs="Arial" w:eastAsia="Arial" w:hAnsi="Arial"/>
          <w:color w:val="0F172A"/>
          <w:sz w:val="20"/>
          <w:szCs w:val="20"/>
        </w:rPr>
        <w:t xml:space="preserve">The mode is stored at the institution level and is set during onboarding. It cannot be changed by the institution — it requires a PathScribe admin action, because changing modes has significant workflow and data implications.</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3.1 Data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67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Definition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Institution.deployment_mode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ENUM: co_pilot | standalone_lis. Set at onboarding. Immutable by institution admin.</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Institution.lis_integration_config</w:t>
            </w:r>
          </w:p>
        </w:tc>
        <w:tc>
          <w:tcPr>
            <w:tcW w:type="dxa" w:w="6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JSONB. Co-Pilot only: HL7/FHIR endpoint config, field mapping, sync frequency.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Institution.standalone_modules_enabled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JSONB. Standalone only: which optional modules are licensed (cytology_qc, dictation, report_assembly, billing_export, etc.)</w:t>
            </w:r>
          </w:p>
        </w:tc>
      </w:tr>
      <w:tr>
        <w:tc>
          <w:tcPr>
            <w:tcW w:type="dxa" w:w="2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Institution.country + primary_standard</w:t>
            </w:r>
          </w:p>
        </w:tc>
        <w:tc>
          <w:tcPr>
            <w:tcW w:type="dxa" w:w="6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Already defined. Drives jurisdiction-specific feature visibility (CLIA vs RCPath workflows) independently of mode.</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3.2 Flag Behaviour in Code</w:t>
      </w:r>
    </w:p>
    <w:p>
      <w:pPr>
        <w:spacing w:before="80" w:after="100"/>
      </w:pPr>
      <w:r>
        <w:rPr>
          <w:rFonts w:ascii="Arial" w:cs="Arial" w:eastAsia="Arial" w:hAnsi="Arial"/>
          <w:color w:val="0F172A"/>
          <w:sz w:val="20"/>
          <w:szCs w:val="20"/>
        </w:rPr>
        <w:t xml:space="preserve">The usePermission hook (next sprint) will expose the deployment mode as a first-class check alongside role. Features declare their mode requirement using a simple annotation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Feature / Component</w:t>
            </w:r>
          </w:p>
        </w:tc>
        <w:tc>
          <w:tcPr>
            <w:tcW w:type="dxa" w:w="4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Mode Requirement</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Synoptic Library, Template Editor, AI Generation</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Both modes — core product</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Synoptic Completeness QC metrics</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Both modes</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AI Confidence Dashboard</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Both modes</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CAP/RCPath Protocol Compliance (synoptic-level)</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Both modes</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LIS Integration Config, HL7/FHIR mapping</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Co-Pilot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Case / Specimen creation UI</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Gross &amp; Microscopic description editor</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Report assembly &amp; generation</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Full sign-out workflow with blocking</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Peer review queue with sign-out blocking</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Cytology QC: workload tracking, rescrn, lookback</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Turnaround time tracking (case-level)</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Full CLIA compliance reporting</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User management (PathScribe as auth source)</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 (Co-Pilot uses SSO/LIS auth)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Resident/Fellow approval workflow</w:t>
            </w:r>
          </w:p>
        </w:tc>
        <w:tc>
          <w:tcPr>
            <w:tcW w:type="dxa" w:w="4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4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Amendment workflow</w:t>
            </w:r>
          </w:p>
        </w:tc>
        <w:tc>
          <w:tcPr>
            <w:tcW w:type="dxa" w:w="4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 (Co-Pilot amendments go back to LIS)</w:t>
            </w:r>
          </w:p>
        </w:tc>
      </w:tr>
    </w:tbl>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The usePermission hook will accept a mode constraint alongside a role constraint: requiresMode("standalone_lis") or requiresMode("co_pilot") or requiresMode("both"). Any component that renders without this annotation is treated as "both" by default, which is safe.</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4. Market Positioning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408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Co-Pilot</w:t>
            </w:r>
          </w:p>
        </w:tc>
        <w:tc>
          <w:tcPr>
            <w:tcW w:type="dxa" w:w="468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Standalone LIS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0F172A"/>
                <w:sz w:val="18"/>
                <w:szCs w:val="18"/>
              </w:rPr>
              <w:t xml:space="preserve">Who buys it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Academic medical centers, large hospital systems, enterprise pathology groups — already on Epic Beaker, CoPath, or Sunquest</w:t>
            </w:r>
          </w:p>
        </w:tc>
      </w:tr>
      <w:tr>
        <w:tc>
          <w:tcPr>
            <w:tcW w:type="dxa" w:w="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
            </w:r>
          </w:p>
        </w:tc>
        <w:tc>
          <w:tcPr>
            <w:tcW w:type="dxa" w:w="40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bCs/>
                <w:color w:val="0F172A"/>
                <w:sz w:val="18"/>
                <w:szCs w:val="18"/>
              </w:rPr>
              <w:t xml:space="preserve">Who buys it</w:t>
            </w:r>
          </w:p>
        </w:tc>
        <w:tc>
          <w:tcPr>
            <w:tcW w:type="dxa" w:w="46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Independent pathology groups, smaller hospital labs, ASCs, international practices, reference labs, labs replacing aging LIS systems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0F172A"/>
                <w:sz w:val="18"/>
                <w:szCs w:val="18"/>
              </w:rPr>
              <w:t xml:space="preserve">Pitch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"Add AI synoptic reporting to your existing LIS in days. No workflow changes. Works with any system."</w:t>
            </w:r>
          </w:p>
        </w:tc>
      </w:tr>
      <w:tr>
        <w:tc>
          <w:tcPr>
            <w:tcW w:type="dxa" w:w="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
            </w:r>
          </w:p>
        </w:tc>
        <w:tc>
          <w:tcPr>
            <w:tcW w:type="dxa" w:w="40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bCs/>
                <w:color w:val="0F172A"/>
                <w:sz w:val="18"/>
                <w:szCs w:val="18"/>
              </w:rPr>
              <w:t xml:space="preserve">Pitch</w:t>
            </w:r>
          </w:p>
        </w:tc>
        <w:tc>
          <w:tcPr>
            <w:tcW w:type="dxa" w:w="46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 modern, cloud-native anatomic pathology platform. Everything from accessioning to report release — with AI built in from day one."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0F172A"/>
                <w:sz w:val="18"/>
                <w:szCs w:val="18"/>
              </w:rPr>
              <w:t xml:space="preserve">Competing against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Syntactic, Tempus, LabVantage synoptic modules — point solutions bolted onto existing LIS</w:t>
            </w:r>
          </w:p>
        </w:tc>
      </w:tr>
      <w:tr>
        <w:tc>
          <w:tcPr>
            <w:tcW w:type="dxa" w:w="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
            </w:r>
          </w:p>
        </w:tc>
        <w:tc>
          <w:tcPr>
            <w:tcW w:type="dxa" w:w="40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bCs/>
                <w:color w:val="0F172A"/>
                <w:sz w:val="18"/>
                <w:szCs w:val="18"/>
              </w:rPr>
              <w:t xml:space="preserve">Competing against</w:t>
            </w:r>
          </w:p>
        </w:tc>
        <w:tc>
          <w:tcPr>
            <w:tcW w:type="dxa" w:w="46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Epic Beaker (for smaller customers who can't afford it), CoPath, legacy systems, Excel-based workflows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0F172A"/>
                <w:sz w:val="18"/>
                <w:szCs w:val="18"/>
              </w:rPr>
              <w:t xml:space="preserve">Pricing model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Per case or per seat. Lower ACV. High volume, low friction. Easy land-and-expand.</w:t>
            </w:r>
          </w:p>
        </w:tc>
      </w:tr>
      <w:tr>
        <w:tc>
          <w:tcPr>
            <w:tcW w:type="dxa" w:w="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
            </w:r>
          </w:p>
        </w:tc>
        <w:tc>
          <w:tcPr>
            <w:tcW w:type="dxa" w:w="40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bCs/>
                <w:color w:val="0F172A"/>
                <w:sz w:val="18"/>
                <w:szCs w:val="18"/>
              </w:rPr>
              <w:t xml:space="preserve">Pricing model</w:t>
            </w:r>
          </w:p>
        </w:tc>
        <w:tc>
          <w:tcPr>
            <w:tcW w:type="dxa" w:w="46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Platform subscription. Higher ACV. Longer sales cycle. Stronger retention (system of record).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bCs/>
                <w:color w:val="0F172A"/>
                <w:sz w:val="18"/>
                <w:szCs w:val="18"/>
              </w:rPr>
              <w:t xml:space="preserve">Phase 1 launch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Yes — lower integration complexity, faster time to value, broader initial TAM</w:t>
            </w:r>
          </w:p>
        </w:tc>
      </w:tr>
      <w:tr>
        <w:tc>
          <w:tcPr>
            <w:tcW w:type="dxa" w:w="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
            </w:r>
          </w:p>
        </w:tc>
        <w:tc>
          <w:tcPr>
            <w:tcW w:type="dxa" w:w="40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bCs/>
                <w:color w:val="0F172A"/>
                <w:sz w:val="18"/>
                <w:szCs w:val="18"/>
              </w:rPr>
              <w:t xml:space="preserve">Phase 1 launch</w:t>
            </w:r>
          </w:p>
        </w:tc>
        <w:tc>
          <w:tcPr>
            <w:tcW w:type="dxa" w:w="468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Roadmap — Phase 2. Requires case management, reporting, and auth infrastructure not yet built.</w:t>
            </w:r>
          </w:p>
        </w:tc>
      </w:tr>
    </w:tbl>
    <w:p>
      <w:pPr>
        <w:spacing w:before="60" w:after="60"/>
      </w:pPr>
      <w:r>
        <w:t xml:space="preserve"/>
      </w:r>
    </w:p>
    <w:p>
      <w:pPr>
        <w:pBdr>
          <w:left w:val="single" w:color="2563EB" w:sz="14"/>
        </w:pBdr>
        <w:shd w:fill="EFF6FF" w:val="clear"/>
        <w:spacing w:before="100" w:after="120"/>
        <w:ind w:left="200" w:right="200"/>
      </w:pPr>
      <w:r>
        <w:rPr>
          <w:rFonts w:ascii="Arial" w:cs="Arial" w:eastAsia="Arial" w:hAnsi="Arial"/>
          <w:b/>
          <w:bCs/>
          <w:color w:val="2563EB"/>
          <w:sz w:val="18"/>
          <w:szCs w:val="18"/>
        </w:rPr>
        <w:t xml:space="preserve">ℹ️  Context:  </w:t>
      </w:r>
      <w:r>
        <w:rPr>
          <w:rFonts w:ascii="Arial" w:cs="Arial" w:eastAsia="Arial" w:hAnsi="Arial"/>
          <w:color w:val="2563EB"/>
          <w:sz w:val="18"/>
          <w:szCs w:val="18"/>
        </w:rPr>
        <w:t xml:space="preserve">Co-Pilot mode is the right Phase 1 go-to-market. It validates the AI synoptic engine, builds CAP protocol coverage, and establishes PathScribe in labs that already exist. Standalone LIS is the natural expansion — customers who start on Co-Pilot and outgrow their LIS, or new labs who want a modern platform from day one.</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5. Impact on Previously Designed Features</w:t>
      </w:r>
    </w:p>
    <w:p>
      <w:pPr>
        <w:spacing w:before="80" w:after="100"/>
      </w:pPr>
      <w:r>
        <w:rPr>
          <w:rFonts w:ascii="Arial" w:cs="Arial" w:eastAsia="Arial" w:hAnsi="Arial"/>
          <w:color w:val="0F172A"/>
          <w:sz w:val="20"/>
          <w:szCs w:val="20"/>
        </w:rPr>
        <w:t xml:space="preserve">Now that the mode boundary is defined, several completed design artifacts need a small addendum clarifying which mode each section applies to. No redesign is needed — the designs are correct, they just need mode annotations.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Artifact</w:t>
            </w:r>
          </w:p>
        </w:tc>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Sections Affected</w:t>
            </w:r>
          </w:p>
        </w:tc>
        <w:tc>
          <w:tcPr>
            <w:tcW w:type="dxa" w:w="37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Action Required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Synoptic Library Data Model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All entities — core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No change. Data model supports both modes.</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QC Module UI Spec — Overview Dashboard</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Synoptic completeness, AI metrics</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No change — both modes.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QC Module UI Spec — Peer Review Worklist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Sign-out blocking logic</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Annotate as Standalone LIS only. In Co-Pilot, peer review lives in the LIS.</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QC Module UI Spec — TAT Monitoring</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Case-level TAT tracking</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Annotate as Standalone LIS only. In Co-Pilot, TAT data comes from LIS via HL7.</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QC Module UI Spec — CAP/CLIA Compliance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Broader CLIA section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Synoptic compliance items = both modes. Workload / cytology CLIA items = Standalone only.</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Cytology QC Addendum — Workload tracker</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Daily limit enforcement</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 In Co-Pilot, CLIA workload is the LIS's responsibility.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Cytology QC Addendum — Rescrn / Lookback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Sign-out blocking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Standalone LIS only.</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Cytology QC Addendum — Cytohistologic correlation</w:t>
            </w:r>
          </w:p>
        </w:tc>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Both modes</w:t>
            </w:r>
          </w:p>
        </w:tc>
        <w:tc>
          <w:tcPr>
            <w:tcW w:type="dxa" w:w="37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Both — PathScribe can surface correlation even in Co-Pilot if it receives histo case data.</w:t>
            </w:r>
          </w:p>
        </w:tc>
      </w:tr>
    </w:tbl>
    <w:p>
      <w:pPr>
        <w:pStyle w:val="Heading1"/>
        <w:pBdr>
          <w:bottom w:val="single" w:color="2563EB" w:sz="6" w:space="4"/>
        </w:pBdr>
        <w:spacing w:before="480" w:after="200"/>
      </w:pPr>
      <w:r>
        <w:rPr>
          <w:rFonts w:ascii="Arial" w:cs="Arial" w:eastAsia="Arial" w:hAnsi="Arial"/>
          <w:b/>
          <w:bCs/>
          <w:color w:val="0F1F3D"/>
          <w:sz w:val="36"/>
          <w:szCs w:val="36"/>
        </w:rPr>
        <w:t xml:space="preserve">6. The "In Between" Question — What About Labs Between Beaker and a Full LIS?</w:t>
      </w:r>
    </w:p>
    <w:p>
      <w:pPr>
        <w:spacing w:before="80" w:after="100"/>
      </w:pPr>
      <w:r>
        <w:rPr>
          <w:rFonts w:ascii="Arial" w:cs="Arial" w:eastAsia="Arial" w:hAnsi="Arial"/>
          <w:color w:val="0F172A"/>
          <w:sz w:val="20"/>
          <w:szCs w:val="20"/>
        </w:rPr>
        <w:t xml:space="preserve">You specifically identified a market segment: labs that want something between Epic Beaker and a full LIS — more capable than a synoptic bolt-on, but not the full weight and cost of an enterprise LIS.</w:t>
      </w:r>
    </w:p>
    <w:p>
      <w:pPr>
        <w:spacing w:before="60" w:after="60"/>
      </w:pPr>
      <w:r>
        <w:t xml:space="preserve"/>
      </w:r>
    </w:p>
    <w:p>
      <w:pPr>
        <w:spacing w:before="80" w:after="100"/>
      </w:pPr>
      <w:r>
        <w:rPr>
          <w:rFonts w:ascii="Arial" w:cs="Arial" w:eastAsia="Arial" w:hAnsi="Arial"/>
          <w:color w:val="0F172A"/>
          <w:sz w:val="20"/>
          <w:szCs w:val="20"/>
        </w:rPr>
        <w:t xml:space="preserve">This is squarely Standalone LIS mode, but with a modular licensing approach. Not every Standalone LIS customer needs every module on day one. The standalone_modules_enabled JSONB field on Institution allows PathScribe to ship the Standalone LIS platform in layers: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25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Adds To Standalone</w:t>
            </w:r>
          </w:p>
        </w:tc>
        <w:tc>
          <w:tcPr>
            <w:tcW w:type="dxa" w:w="44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Target Customer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Core (always 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Case management, specimen tracking, synoptic generation, AI, QC dashboard</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Any standalone lab</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Cytology QC</w:t>
            </w:r>
          </w:p>
        </w:tc>
        <w:tc>
          <w:tcPr>
            <w:tcW w:type="dxa" w:w="2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Workload tracking, rescreening, lookback, correlation</w:t>
            </w:r>
          </w:p>
        </w:tc>
        <w:tc>
          <w:tcPr>
            <w:tcW w:type="dxa" w:w="4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Labs with active cytology volume and CLIA requirements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Report Assembly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Full gross + micro + synoptic report generation, letterhead, PDF output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Labs replacing a dictation + report system</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Dictation Integration</w:t>
            </w:r>
          </w:p>
        </w:tc>
        <w:tc>
          <w:tcPr>
            <w:tcW w:type="dxa" w:w="2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Real-time speech-to-text for gross and micro narratives</w:t>
            </w:r>
          </w:p>
        </w:tc>
        <w:tc>
          <w:tcPr>
            <w:tcW w:type="dxa" w:w="4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Labs where pathologists prefer dictation to typing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Resident / Fellow Workflow</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Dual sign-out, draft/approve states, teaching case management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Academic institutions and training programs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Billing Export</w:t>
            </w:r>
          </w:p>
        </w:tc>
        <w:tc>
          <w:tcPr>
            <w:tcW w:type="dxa" w:w="2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CPT code mapping, billing extract for lab billing system</w:t>
            </w:r>
          </w:p>
        </w:tc>
        <w:tc>
          <w:tcPr>
            <w:tcW w:type="dxa" w:w="4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Independent labs billing outside a hospital system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IHC / Molecular Integration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Ancillary test results auto-import into synoptic fields</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Labs with high IHC / NGS / flow volume</w:t>
            </w:r>
          </w:p>
        </w:tc>
      </w:tr>
    </w:tbl>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The module system means "Standalone LIS" is not a single monolithic product. A customer can start with Core + Cytology QC and expand to Report Assembly + Dictation later. Every module is additive. No module removes functionality.</w:t>
      </w:r>
    </w:p>
    <w:p>
      <w:pPr>
        <w:spacing w:before="60" w:after="60"/>
      </w:pPr>
      <w:r>
        <w:t xml:space="preserve"/>
      </w:r>
    </w:p>
    <w:p>
      <w:pPr>
        <w:pBdr>
          <w:left w:val="single" w:color="DC2626" w:sz="14"/>
        </w:pBdr>
        <w:shd w:fill="FEF2F2" w:val="clear"/>
        <w:spacing w:before="100" w:after="120"/>
        <w:ind w:left="200" w:right="200"/>
      </w:pPr>
      <w:r>
        <w:rPr>
          <w:rFonts w:ascii="Arial" w:cs="Arial" w:eastAsia="Arial" w:hAnsi="Arial"/>
          <w:b/>
          <w:bCs/>
          <w:color w:val="DC2626"/>
          <w:sz w:val="18"/>
          <w:szCs w:val="18"/>
        </w:rPr>
        <w:t xml:space="preserve">⚠️ Risk:  </w:t>
      </w:r>
      <w:r>
        <w:rPr>
          <w:rFonts w:ascii="Arial" w:cs="Arial" w:eastAsia="Arial" w:hAnsi="Arial"/>
          <w:color w:val="DC2626"/>
          <w:sz w:val="18"/>
          <w:szCs w:val="18"/>
        </w:rPr>
        <w:t xml:space="preserve">Module dependencies must be enforced. Report Assembly requires Case Management. Cytology QC requires Case Management. Resident Workflow requires both Case Management and Report Assembly. These dependency rules belong in the institution config layer, not scattered across individual feature flags.</w:t>
      </w:r>
    </w:p>
    <w:p>
      <w:pPr>
        <w:pStyle w:val="Heading1"/>
        <w:pBdr>
          <w:bottom w:val="single" w:color="2563EB" w:sz="6" w:space="4"/>
        </w:pBdr>
        <w:spacing w:before="480" w:after="200"/>
      </w:pPr>
      <w:r>
        <w:rPr>
          <w:rFonts w:ascii="Arial" w:cs="Arial" w:eastAsia="Arial" w:hAnsi="Arial"/>
          <w:b/>
          <w:bCs/>
          <w:color w:val="0F1F3D"/>
          <w:sz w:val="36"/>
          <w:szCs w:val="36"/>
        </w:rPr>
        <w:t xml:space="preserve">7. Decisions Required Before Next Sprint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Decision</w:t>
            </w:r>
          </w:p>
        </w:tc>
        <w:tc>
          <w:tcPr>
            <w:tcW w:type="dxa" w:w="33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D-01</w:t>
            </w:r>
          </w:p>
        </w:tc>
        <w:tc>
          <w:tcPr>
            <w:tcW w:type="dxa" w:w="5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Formally adopt co_pilot | standalone_lis as the two deployment modes. Capture in ADR (Architecture Decision Record).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Engineering Lead + Product</w:t>
            </w:r>
          </w:p>
        </w:tc>
      </w:tr>
      <w:tr>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D-02</w:t>
            </w:r>
          </w:p>
        </w:tc>
        <w:tc>
          <w:tcPr>
            <w:tcW w:type="dxa" w:w="5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Confirm Phase 1 launch is Co-Pilot mode only. Standalone LIS on the Phase 2 roadmap.</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Product / CEO</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D-03</w:t>
            </w:r>
          </w:p>
        </w:tc>
        <w:tc>
          <w:tcPr>
            <w:tcW w:type="dxa" w:w="5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Confirm module list for Standalone LIS Phase 2. Which modules ship first?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Product</w:t>
            </w:r>
          </w:p>
        </w:tc>
      </w:tr>
      <w:tr>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D-04</w:t>
            </w:r>
          </w:p>
        </w:tc>
        <w:tc>
          <w:tcPr>
            <w:tcW w:type="dxa" w:w="5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Confirm usePermission hook (next sprint) must accept both role AND deployment_mode as constraints.</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Engineering Lead</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D-05</w:t>
            </w:r>
          </w:p>
        </w:tc>
        <w:tc>
          <w:tcPr>
            <w:tcW w:type="dxa" w:w="5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Annotate previously completed QC Module spec and Cytology QC Addendum with mode flags. (Low effort — a one-page addendum to each doc.)</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Product</w:t>
            </w:r>
          </w:p>
        </w:tc>
      </w:tr>
      <w:tr>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D-06</w:t>
            </w:r>
          </w:p>
        </w:tc>
        <w:tc>
          <w:tcPr>
            <w:tcW w:type="dxa" w:w="5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Decide whether Co-Pilot customers who want cytology correlation (but not workload tracking) get a partial Cytology QC view. The correlation worklist alone is useful in Co-Pilot if histo data comes from LIS.</w:t>
            </w:r>
          </w:p>
        </w:tc>
        <w:tc>
          <w:tcPr>
            <w:tcW w:type="dxa" w:w="33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tcPr>
          <w:p>
            <w:pPr>
              <w:jc w:val="left"/>
            </w:pPr>
            <w:r>
              <w:rPr>
                <w:rFonts w:ascii="Arial" w:cs="Arial" w:eastAsia="Arial" w:hAnsi="Arial"/>
                <w:b w:val="false"/>
                <w:bCs w:val="false"/>
                <w:color w:val="0F172A"/>
                <w:sz w:val="18"/>
                <w:szCs w:val="18"/>
              </w:rPr>
              <w:t xml:space="preserve">Product</w:t>
            </w:r>
          </w:p>
        </w:tc>
      </w:tr>
    </w:tbl>
    <w:p>
      <w:pPr>
        <w:spacing w:before="60" w:after="60"/>
      </w:pPr>
      <w:r>
        <w:t xml:space="preserve"/>
      </w:r>
    </w:p>
    <w:p>
      <w:pPr>
        <w:spacing w:before="480"/>
        <w:jc w:val="center"/>
      </w:pPr>
      <w:r>
        <w:rPr>
          <w:rFonts w:ascii="Arial" w:cs="Arial" w:eastAsia="Arial" w:hAnsi="Arial"/>
          <w:i/>
          <w:iCs/>
          <w:color w:val="94A3B8"/>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tabs>
        <w:tab w:val="right" w:pos="9026"/>
      </w:tabs>
      <w:spacing w:before="60"/>
    </w:pPr>
    <w:r>
      <w:rPr>
        <w:rFonts w:ascii="Arial" w:cs="Arial" w:eastAsia="Arial" w:hAnsi="Arial"/>
        <w:color w:val="94A3B8"/>
        <w:sz w:val="16"/>
        <w:szCs w:val="16"/>
      </w:rPr>
      <w:t xml:space="preserve">Draft — For Product &amp; Engineering Review</w:t>
    </w:r>
    <w: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tabs>
        <w:tab w:val="right" w:pos="9026"/>
      </w:tabs>
      <w:spacing w:after="60"/>
    </w:pPr>
    <w:r>
      <w:rPr>
        <w:rFonts w:ascii="Arial" w:cs="Arial" w:eastAsia="Arial" w:hAnsi="Arial"/>
        <w:color w:val="94A3B8"/>
        <w:sz w:val="16"/>
        <w:szCs w:val="16"/>
      </w:rPr>
      <w:t xml:space="preserve">PathScribe AI — Product Mode Definition</w:t>
    </w:r>
    <w:r>
      <w:t xml:space="preserve">	</w:t>
    </w:r>
    <w:r>
      <w:rPr>
        <w:rFonts w:ascii="Arial" w:cs="Arial" w:eastAsia="Arial" w:hAnsi="Arial"/>
        <w:color w:val="94A3B8"/>
        <w:sz w:val="16"/>
        <w:szCs w:val="16"/>
      </w:rPr>
      <w:t xml:space="preserve">INTERNAL  |  Architecture &amp; Product Decision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F3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60" w:after="12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2026-03-05T16:22:44.328Z</dcterms:created>
  <dcterms:modified xsi:type="dcterms:W3CDTF">2026-03-05T16:22:44.329Z</dcterms:modified>
</cp:coreProperties>
</file>

<file path=docProps/custom.xml><?xml version="1.0" encoding="utf-8"?>
<Properties xmlns="http://schemas.openxmlformats.org/officeDocument/2006/custom-properties" xmlns:vt="http://schemas.openxmlformats.org/officeDocument/2006/docPropsVTypes"/>
</file>