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</w:pPr>
      <w:r>
        <w:rPr>
          <w:rFonts w:ascii="Arial" w:cs="Arial" w:eastAsia="Arial" w:hAnsi="Arial"/>
          <w:b/>
          <w:bCs/>
          <w:color w:val="0F1F3D"/>
          <w:sz w:val="56"/>
          <w:szCs w:val="56"/>
        </w:rPr>
        <w:t xml:space="preserve">PathScribe AI</w:t>
      </w:r>
    </w:p>
    <w:p>
      <w:pPr>
        <w:spacing w:before="0" w:after="80"/>
      </w:pPr>
      <w:r>
        <w:rPr>
          <w:rFonts w:ascii="Arial" w:cs="Arial" w:eastAsia="Arial" w:hAnsi="Arial"/>
          <w:color w:val="2563EB"/>
          <w:sz w:val="38"/>
          <w:szCs w:val="38"/>
        </w:rPr>
        <w:t xml:space="preserve">Revised Product Roadmap</w:t>
      </w:r>
    </w:p>
    <w:p>
      <w:pPr>
        <w:spacing w:before="0" w:after="5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Incorporating Deployment Mode Decision &amp; Architecture Reservation Strategy  •  v0.2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v0.2 — Revised post product-mode definition decision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Key Change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Standalone LIS and Cytology QC workflows marked Prewired — Implementation Deferred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1 Scope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Co-Pilot mode only. All Standalone LIS features behind flag, stubs only.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Regulatory Decision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Standalone LIS regulatory burden acknowledged. Full implementation deferred pending legal/compliance review.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Cytology QC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Spec complete. Architecture reserved. Implementation deferred until Standalone LIS Phase 2b.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Roadmap Status Legend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Build Now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Active development. In current or next sprint.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Spec Complete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Design and spec done. Ready to build when prioritised.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Prewired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Stubs, flags, and data model slots exist. UI placeholder only. No implementation.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⏸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Deferred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Spec may or may not exist. Not being built. No stubs required yet.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Regulatory Hold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Requires legal/compliance review before spec or build begins.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Phase 1 — Co-Pilot MVP</w:t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Everything in Phase 1 is scoped to Co-Pilot mode. PathScribe sits alongside an existing LIS. No case ownership, no sign-out, no CLIA enforcement. The core value proposition is AI-assisted synoptic generation, completeness tracking, and protocol compliance.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Core — Active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 Library — Data Model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ERD and schema complete. Build now.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Template Library — CAP Mock Templates (synthetic)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3–5 cancer types. No CAP license required for Phase 1.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AI Phase 1 — Gross-driven synoptic generation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Protocol selection + field pre-population from gross text.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AI Phase 2 — Microscopic-driven update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Re-evaluate protocol, update fields from micro text.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Confidence scoring — 6-factor methodology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Per-field and per-version. Stored in AIConfidenceSnapshot.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 versioning — immutable audit trail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All versions retained. 7-year minimum. Audit log append-only.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LIS Integration Layer — HL7 / FHIR inbound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Co-Pilot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Receive gross, micro, diagnosis events from LIS. 5-min sync.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LIS Integration Layer — Synoptic outbound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Co-Pilot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Return completed synoptic to LIS via HL7 ORU^R01 or FHIR.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usePermission hook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Role + deployment_mode constraints. Next sprint.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QC Module — Co-Pilot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QC Dashboard — Overview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KPI cards, synoptic completeness, AI metrics. Spec complete.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 completeness by pathologist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Per-pathologist completeness table. Both modes — data source differs.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AI confidence / accuracy metrics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Model performance tracking. Feeds retraining pipeline.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Flagged cases — read-only surface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Co-Pilot: flags received from LIS, read-only, deep-link out. Spec complete.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CAP/RCPath protocol compliance (synoptic)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Synoptic-level compliance only. Not broader CLIA. Spec complete.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TAT — personal view (Contribution Dashboard)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Pathologist's own TAT. Data from LIS in Co-Pilot.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TAT — department view (QC Module)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Aggregate TAT. LIS-sourced in Co-Pilot, PathScribe-owned in Standalone.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🔵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Scheduled compliance reports — export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PDF/CSV export of synoptic QC data. Spec complete.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Prewired in Phase 1 — No Implementation</w:t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items have reserved architecture (data model slots, feature flags, routing stubs) but zero application logic built. They are invisible to production customers. They exist so Phase 2 slots in without rework.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Phase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Prewiring Commitment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Standalone LIS — Case &amp; Specimen Management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DB tables exist. UI route registered, renders placeholder. Flag: standalone_lis.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Standalone LIS — Gross / Micro editor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Route stub. No editor built.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Standalone LIS — Report Assembly &amp; Sign-out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SynopticReport.status model supports it. No sign-out UI.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Standalone LIS — Peer review with sign-out blocking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SynopticApproval table exists. No blocking logic wired.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Consult Request workflow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ConsultRequest table stub in data model. No UI.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Cytology QC — all workflows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2b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CytologyCase, CytotechWorkloadLog etc. tables exist as stubs. Cytology QC tab behind flag — admin-visible placeholder only.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Amendment workflow (as system of record)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Version model supports amendments. Sign-out blocking not built.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🟣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 management (PathScribe as auth source)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 table supports it. No admin UI. Co-Pilot uses SSO.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Regulatory Hold — Do Not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Before Build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CLIA cytology workload enforcement (hard block)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CLIA §493.1274(d)(2)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Legal/compliance review of liability when PathScribe enforces a hard block on clinical staff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5-year lookback (blocking sign-out)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CLIA §493.1274(c)(2)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Requires PathScribe to be system of record for cytology diagnosis. Standalone LIS mode only.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State lab licensure compliance (NY CLEP etc.)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State regulations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Legal review per state before selling Standalone LIS in that state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21 CFR Part 11 electronic signatures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FDA regulation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Applies if PathScribe sign-out constitutes an electronic signature on a clinical report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🔒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Full CLIA cytology QC enforcement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CLIA §493.1274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Entire cytology CLIA compliance surface. Standalone LIS Phase 2b only.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Phase 2 — Standalone LIS</w:t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Phase 2 is gated on two prerequisites: (1) legal/compliance review of the Standalone LIS regulatory burden matrix, and (2) a formal product decision to invest in full LIS certification. It is split into two sub-phases to allow incremental delivery.</w:t>
      </w:r>
    </w:p>
    <w:p>
      <w:pPr>
        <w:spacing w:before="60" w:after="60"/>
      </w:pPr>
      <w:r>
        <w:t xml:space="preserve"/>
      </w:r>
    </w:p>
    <w:p>
      <w:pPr>
        <w:pBdr>
          <w:left w:val="single" w:color="D97706" w:sz="14"/>
        </w:pBdr>
        <w:shd w:fill="FFFBEB" w:val="clear"/>
        <w:spacing w:before="100" w:after="120"/>
        <w:ind w:left="200" w:right="20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📌 Note:  </w:t>
      </w:r>
      <w:r>
        <w:rPr>
          <w:rFonts w:ascii="Arial" w:cs="Arial" w:eastAsia="Arial" w:hAnsi="Arial"/>
          <w:color w:val="D97706"/>
          <w:sz w:val="18"/>
          <w:szCs w:val="18"/>
        </w:rPr>
        <w:t xml:space="preserve">No Phase 2 features should be estimated, resourced, or committed until the regulatory burden review is complete. The architecture is reserved — the commitment is not yet made.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2a — Standalone Light</w:t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Case management, reporting, and sign-out. Targets labs that want more than a synoptic bolt-on but accept some manual compliance processes outside PathScribe. Suitable for independent pathology groups and smaller hospital labs.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/ Gate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Case &amp; Specimen Management UI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Prewiring complete in Phase 1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Gross &amp; Microscopic description editor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Prewiring complete in Phase 1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Report assembly &amp; PDF generation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Prewiring complete in Phase 1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Role-based sign-out workflow (Resident → Attending)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usePermission hook + SynopticApproval table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Consult request &amp; response workflow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ConsultRequest table stub + sign-out integration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Amendment workflow as system of record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Version model already supports it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Peer review with sign-out blocking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SynopticApproval table + legal clearance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Full TAT tracking (PathScribe-owned)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Case management must ship first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User management &amp; PathScribe-native auth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SSO remains option alongside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Full CLIA/CAP compliance reporting (surgical path)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Case management + sign-out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2b — Cytology QC &amp; Full CLIA</w:t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 cytology workflow and CLIA enforcement. Gated on legal/compliance review of cytology-specific regulations. Requires Standalone LIS Phase 2a to be stable.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/ Gate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Cytology case management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 complete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Prospective 10% rescreening queue + sign-out block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Legal clearance: CLIA §493.1274(c)(1)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5-year lookback on HSIL/malignancy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Legal clearance: CLIA §493.1274(c)(2)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Cytohistologic correlation worklist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Phase 2a + cytology case management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CLIA workload tracker + daily limit enforcement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Legal clearance: §493.1274(d)(2) hard block liability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UK RCPath checker queue + EQA tracking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RCPath partnership / EQA API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Annual PT compliance tracking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Cytology case management</w:t>
            </w:r>
          </w:p>
        </w:tc>
      </w:tr>
      <w:tr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Full CLIA cytology compliance reporting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All above 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 Prerequisites — Legal &amp; Compliance Review</w:t>
      </w:r>
    </w:p>
    <w:p>
      <w:pPr>
        <w:spacing w:before="80"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Before any Phase 2 feature enters development, the following reviews must be completed and documented: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Regulatory burden matrix reviewed by healthcare regulatory counsel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CLIA sign-out liability assessment — does PathScribe as LIS create liability for the company or the lab?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State-by-state lab licensure review for target launch states (prioritise NY, CA, TX, FL)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21 CFR Part 11 assessment for electronic signature on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HIPAA risk assessment for PathScribe as primary clinical system (vs. tool/add-on)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CAP accreditation checklist gap analysis — what does PathScribe need to satisfy as a LIS?</w:t>
      </w:r>
    </w:p>
    <w:p>
      <w:pPr>
        <w:spacing w:before="60" w:after="60"/>
      </w:pPr>
      <w:r>
        <w:t xml:space="preserve"/>
      </w:r>
    </w:p>
    <w:p>
      <w:pPr>
        <w:pBdr>
          <w:left w:val="single" w:color="DC2626" w:sz="14"/>
        </w:pBdr>
        <w:shd w:fill="FEF2F2" w:val="clear"/>
        <w:spacing w:before="100" w:after="120"/>
        <w:ind w:left="200" w:right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⚠️  Risk:  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Shipping Standalone LIS features without completing regulatory review creates liability for PathScribe Inc. and potentially for the labs using the product. This is not a bureaucratic gate — it is a genuine risk management requirement.</w:t>
      </w:r>
    </w:p>
    <w:p>
      <w:pPr>
        <w:spacing w:before="60"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Roadmap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026"/>
      </w:tabs>
      <w:spacing w:before="60"/>
    </w:pPr>
    <w:r>
      <w:rPr>
        <w:rFonts w:ascii="Arial" w:cs="Arial" w:eastAsia="Arial" w:hAnsi="Arial"/>
        <w:color w:val="94A3B8"/>
        <w:sz w:val="16"/>
        <w:szCs w:val="16"/>
      </w:rPr>
      <w:t xml:space="preserve">Draft — Engineering &amp; Product Review</w:t>
    </w:r>
    <w: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tabs>
        <w:tab w:val="right" w:pos="9026"/>
      </w:tabs>
      <w:spacing w:after="60"/>
    </w:pPr>
    <w:r>
      <w:rPr>
        <w:rFonts w:ascii="Arial" w:cs="Arial" w:eastAsia="Arial" w:hAnsi="Arial"/>
        <w:color w:val="94A3B8"/>
        <w:sz w:val="16"/>
        <w:szCs w:val="16"/>
      </w:rPr>
      <w:t xml:space="preserve">PathScribe AI — Revised Product Roadmap</w:t>
    </w:r>
    <w: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INTERNAL  |  Product &amp;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  <w:lvl w:ilvl="2" w15:tentative="1">
      <w:start w:val="1"/>
      <w:numFmt w:val="bullet"/>
      <w:lvlText w:val="▪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2026-03-05T20:26:12.418Z</dcterms:created>
  <dcterms:modified xsi:type="dcterms:W3CDTF">2026-03-05T20:26:12.419Z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