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rFonts w:ascii="Arial" w:cs="Arial" w:eastAsia="Arial" w:hAnsi="Arial"/>
          <w:b/>
          <w:bCs/>
          <w:color w:val="0F1F3D"/>
          <w:sz w:val="56"/>
          <w:szCs w:val="56"/>
        </w:rPr>
        <w:t xml:space="preserve">PathScribe AI</w:t>
      </w:r>
    </w:p>
    <w:p>
      <w:pPr>
        <w:spacing w:before="0" w:after="80"/>
      </w:pPr>
      <w:r>
        <w:rPr>
          <w:rFonts w:ascii="Arial" w:cs="Arial" w:eastAsia="Arial" w:hAnsi="Arial"/>
          <w:color w:val="2563EB"/>
          <w:sz w:val="36"/>
          <w:szCs w:val="36"/>
        </w:rPr>
        <w:t xml:space="preserve">QC Module — UI Specification</w:t>
      </w:r>
    </w:p>
    <w:p>
      <w:pPr>
        <w:spacing w:before="0" w:after="600"/>
      </w:pPr>
      <w:r>
        <w:rPr>
          <w:rFonts w:ascii="Arial" w:cs="Arial" w:eastAsia="Arial" w:hAnsi="Arial"/>
          <w:color w:val="64748B"/>
          <w:sz w:val="22"/>
          <w:szCs w:val="22"/>
        </w:rPr>
        <w:t xml:space="preserve">Engineering Design Document  •  v0.1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Document Type</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UI Specification — Greenfield Design</w:t>
            </w:r>
          </w:p>
        </w:tc>
      </w:tr>
      <w:tr>
        <w:tc>
          <w:tcPr>
            <w:tcW w:type="dxa" w:w="28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Status</w:t>
            </w:r>
          </w:p>
        </w:tc>
        <w:tc>
          <w:tcPr>
            <w:tcW w:type="dxa" w:w="65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Draft v0.1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Scope</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QC Module — Phase 1 MVP</w:t>
            </w:r>
          </w:p>
        </w:tc>
      </w:tr>
      <w:tr>
        <w:tc>
          <w:tcPr>
            <w:tcW w:type="dxa" w:w="28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Primary Users</w:t>
            </w:r>
          </w:p>
        </w:tc>
        <w:tc>
          <w:tcPr>
            <w:tcW w:type="dxa" w:w="65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QA Reviewer, Attending Pathologist, Lab Admin, Department Chair / Medical Director</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Interaction Models</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Dashboard (shared) + Role-specific Worklists + Scheduled Reports</w:t>
            </w:r>
          </w:p>
        </w:tc>
      </w:tr>
      <w:tr>
        <w:tc>
          <w:tcPr>
            <w:tcW w:type="dxa" w:w="28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Key Metrics</w:t>
            </w:r>
          </w:p>
        </w:tc>
        <w:tc>
          <w:tcPr>
            <w:tcW w:type="dxa" w:w="65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Flagged/pending cases, Turnaround time vs benchmark, Synoptic completeness % per pathologist</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Peer Review Selection</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Random (CAP 10% requirement)</w:t>
            </w:r>
          </w:p>
        </w:tc>
      </w:tr>
    </w:tbl>
    <w:p>
      <w:pPr>
        <w:spacing w:before="60" w:after="60"/>
      </w:pPr>
      <w:r>
        <w:t xml:space="preserve"/>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1. Purpose &amp; Scope</w:t>
      </w:r>
    </w:p>
    <w:p>
      <w:pPr>
        <w:spacing w:before="80" w:after="80"/>
      </w:pPr>
      <w:r>
        <w:rPr>
          <w:rFonts w:ascii="Arial" w:cs="Arial" w:eastAsia="Arial" w:hAnsi="Arial"/>
          <w:color w:val="0F172A"/>
          <w:sz w:val="20"/>
          <w:szCs w:val="20"/>
        </w:rPr>
        <w:t xml:space="preserve">This document defines the UI specification for the PathScribe AI QC Module — a greenfield feature covering quality control, compliance reporting, peer review, and case monitoring for pathology labs. It is intended for engineering and design teams as the authoritative reference for building the module.</w:t>
      </w:r>
    </w:p>
    <w:p>
      <w:pPr>
        <w:spacing w:before="60" w:after="60"/>
      </w:pPr>
      <w:r>
        <w:t xml:space="preserve"/>
      </w:r>
    </w:p>
    <w:p>
      <w:pPr>
        <w:spacing w:before="80" w:after="80"/>
      </w:pPr>
      <w:r>
        <w:rPr>
          <w:rFonts w:ascii="Arial" w:cs="Arial" w:eastAsia="Arial" w:hAnsi="Arial"/>
          <w:color w:val="0F172A"/>
          <w:sz w:val="20"/>
          <w:szCs w:val="20"/>
        </w:rPr>
        <w:t xml:space="preserve">The QC Module covers five functional areas:</w:t>
      </w:r>
    </w:p>
    <w:p>
      <w:pPr>
        <w:pStyle w:val="ListParagraph"/>
        <w:numPr>
          <w:ilvl w:val="0"/>
          <w:numId w:val="2"/>
        </w:numPr>
        <w:spacing w:before="40" w:after="40"/>
      </w:pPr>
      <w:r>
        <w:rPr>
          <w:rFonts w:ascii="Arial" w:cs="Arial" w:eastAsia="Arial" w:hAnsi="Arial"/>
          <w:color w:val="0F172A"/>
          <w:sz w:val="20"/>
          <w:szCs w:val="20"/>
        </w:rPr>
        <w:t xml:space="preserve">Case review and sign-out quality checks</w:t>
      </w:r>
    </w:p>
    <w:p>
      <w:pPr>
        <w:pStyle w:val="ListParagraph"/>
        <w:numPr>
          <w:ilvl w:val="0"/>
          <w:numId w:val="2"/>
        </w:numPr>
        <w:spacing w:before="40" w:after="40"/>
      </w:pPr>
      <w:r>
        <w:rPr>
          <w:rFonts w:ascii="Arial" w:cs="Arial" w:eastAsia="Arial" w:hAnsi="Arial"/>
          <w:color w:val="0F172A"/>
          <w:sz w:val="20"/>
          <w:szCs w:val="20"/>
        </w:rPr>
        <w:t xml:space="preserve">Synoptic completeness tracking per pathologist</w:t>
      </w:r>
    </w:p>
    <w:p>
      <w:pPr>
        <w:pStyle w:val="ListParagraph"/>
        <w:numPr>
          <w:ilvl w:val="0"/>
          <w:numId w:val="2"/>
        </w:numPr>
        <w:spacing w:before="40" w:after="40"/>
      </w:pPr>
      <w:r>
        <w:rPr>
          <w:rFonts w:ascii="Arial" w:cs="Arial" w:eastAsia="Arial" w:hAnsi="Arial"/>
          <w:color w:val="0F172A"/>
          <w:sz w:val="20"/>
          <w:szCs w:val="20"/>
        </w:rPr>
        <w:t xml:space="preserve">Turnaround time monitoring vs. CAP benchmarks</w:t>
      </w:r>
    </w:p>
    <w:p>
      <w:pPr>
        <w:pStyle w:val="ListParagraph"/>
        <w:numPr>
          <w:ilvl w:val="0"/>
          <w:numId w:val="2"/>
        </w:numPr>
        <w:spacing w:before="40" w:after="40"/>
      </w:pPr>
      <w:r>
        <w:rPr>
          <w:rFonts w:ascii="Arial" w:cs="Arial" w:eastAsia="Arial" w:hAnsi="Arial"/>
          <w:color w:val="0F172A"/>
          <w:sz w:val="20"/>
          <w:szCs w:val="20"/>
        </w:rPr>
        <w:t xml:space="preserve">Peer review workflow (CAP-mandated 10% random case selection)</w:t>
      </w:r>
    </w:p>
    <w:p>
      <w:pPr>
        <w:pStyle w:val="ListParagraph"/>
        <w:numPr>
          <w:ilvl w:val="0"/>
          <w:numId w:val="2"/>
        </w:numPr>
        <w:spacing w:before="40" w:after="40"/>
      </w:pPr>
      <w:r>
        <w:rPr>
          <w:rFonts w:ascii="Arial" w:cs="Arial" w:eastAsia="Arial" w:hAnsi="Arial"/>
          <w:color w:val="0F172A"/>
          <w:sz w:val="20"/>
          <w:szCs w:val="20"/>
        </w:rPr>
        <w:t xml:space="preserve">Compliance reporting for CAP and CLIA</w:t>
      </w:r>
    </w:p>
    <w:p>
      <w:pPr>
        <w:spacing w:before="60" w:after="60"/>
      </w:pPr>
      <w:r>
        <w:t xml:space="preserve"/>
      </w:r>
    </w:p>
    <w:p>
      <w:pPr>
        <w:pBdr>
          <w:left w:val="single" w:color="D97706" w:sz="12"/>
        </w:pBdr>
        <w:shd w:fill="FFFBEB" w:val="clear"/>
        <w:spacing w:before="80" w:after="120"/>
        <w:ind w:left="200" w:right="200"/>
      </w:pPr>
      <w:r>
        <w:rPr>
          <w:rFonts w:ascii="Arial" w:cs="Arial" w:eastAsia="Arial" w:hAnsi="Arial"/>
          <w:b/>
          <w:bCs/>
          <w:color w:val="D97706"/>
          <w:sz w:val="18"/>
          <w:szCs w:val="18"/>
        </w:rPr>
        <w:t xml:space="preserve">Note: </w:t>
      </w:r>
      <w:r>
        <w:rPr>
          <w:rFonts w:ascii="Arial" w:cs="Arial" w:eastAsia="Arial" w:hAnsi="Arial"/>
          <w:color w:val="D97706"/>
          <w:sz w:val="18"/>
          <w:szCs w:val="18"/>
        </w:rPr>
        <w:t xml:space="preserve">The QC Module is a companion to the Synoptic Library. It consumes data produced by the Synoptic Library data model (SynopticReport, SynopticVersion, AuditLog) — it does not have its own separate data store for most metrics.</w:t>
      </w:r>
    </w:p>
    <w:p>
      <w:pPr>
        <w:pStyle w:val="Heading1"/>
        <w:pBdr>
          <w:bottom w:val="single" w:color="2563EB" w:sz="6" w:space="4"/>
        </w:pBdr>
        <w:spacing w:before="480" w:after="200"/>
      </w:pPr>
      <w:r>
        <w:rPr>
          <w:rFonts w:ascii="Arial" w:cs="Arial" w:eastAsia="Arial" w:hAnsi="Arial"/>
          <w:b/>
          <w:bCs/>
          <w:color w:val="0F1F3D"/>
          <w:sz w:val="36"/>
          <w:szCs w:val="36"/>
        </w:rPr>
        <w:t xml:space="preserve">2. Users, Roles &amp; View Model</w:t>
      </w:r>
    </w:p>
    <w:p>
      <w:pPr>
        <w:pStyle w:val="Heading2"/>
        <w:spacing w:before="360" w:after="160"/>
      </w:pPr>
      <w:r>
        <w:rPr>
          <w:rFonts w:ascii="Arial" w:cs="Arial" w:eastAsia="Arial" w:hAnsi="Arial"/>
          <w:b/>
          <w:bCs/>
          <w:color w:val="2563EB"/>
          <w:sz w:val="26"/>
          <w:szCs w:val="26"/>
        </w:rPr>
        <w:t xml:space="preserve">2.1 Role Overview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496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QC Capabilities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QA Reviewer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Full QC access</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Dashboard, all worklists, flag/unflag cases, compliance reports, peer review assignment</w:t>
            </w:r>
          </w:p>
        </w:tc>
      </w:tr>
      <w:tr>
        <w:tc>
          <w:tcPr>
            <w:tcW w:type="dxa" w:w="2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Attending Pathologist</w:t>
            </w:r>
          </w:p>
        </w:tc>
        <w:tc>
          <w:tcPr>
            <w:tcW w:type="dxa" w:w="2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Own cases + peer review</w:t>
            </w:r>
          </w:p>
        </w:tc>
        <w:tc>
          <w:tcPr>
            <w:tcW w:type="dxa" w:w="49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View own completeness metrics, peer review worklist for assigned cases, respond to flags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Dept Chair / Medical Director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Read-only aggregate</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Dashboard summary, compliance scores, pathologist performance overview — no case-level editing</w:t>
            </w:r>
          </w:p>
        </w:tc>
      </w:tr>
      <w:tr>
        <w:tc>
          <w:tcPr>
            <w:tcW w:type="dxa" w:w="2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Lab Admin</w:t>
            </w:r>
          </w:p>
        </w:tc>
        <w:tc>
          <w:tcPr>
            <w:tcW w:type="dxa" w:w="2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Config only</w:t>
            </w:r>
          </w:p>
        </w:tc>
        <w:tc>
          <w:tcPr>
            <w:tcW w:type="dxa" w:w="49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QC settings, user management, scheduled report configuration — no clinical review</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2.2 Hybrid View Model</w:t>
      </w:r>
    </w:p>
    <w:p>
      <w:pPr>
        <w:spacing w:before="80" w:after="80"/>
      </w:pPr>
      <w:r>
        <w:rPr>
          <w:rFonts w:ascii="Arial" w:cs="Arial" w:eastAsia="Arial" w:hAnsi="Arial"/>
          <w:color w:val="0F172A"/>
          <w:sz w:val="20"/>
          <w:szCs w:val="20"/>
        </w:rPr>
        <w:t xml:space="preserve">The QC Module uses a hybrid role model: a shared dashboard seen by all roles, with role-specific worklists and action permissions.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UI Area</w:t>
            </w:r>
          </w:p>
        </w:tc>
        <w:tc>
          <w:tcPr>
            <w:tcW w:type="dxa" w:w="636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Role Visibility</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Overview Dashboard</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All roles — same layout, but action buttons (Flag, Review, Export) hidden for Medical Director</w:t>
            </w:r>
          </w:p>
        </w:tc>
      </w:tr>
      <w:tr>
        <w:tc>
          <w:tcPr>
            <w:tcW w:type="dxa" w:w="3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Peer Review Worklist</w:t>
            </w:r>
          </w:p>
        </w:tc>
        <w:tc>
          <w:tcPr>
            <w:tcW w:type="dxa" w:w="6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QA Reviewer (all cases) and Attending Pathologist (own assigned cases only)</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Flagged Cases Worklist</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QA Reviewer (all flagged cases) and Attending Pathologist (own flagged cases only)</w:t>
            </w:r>
          </w:p>
        </w:tc>
      </w:tr>
      <w:tr>
        <w:tc>
          <w:tcPr>
            <w:tcW w:type="dxa" w:w="3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Turnaround Time</w:t>
            </w:r>
          </w:p>
        </w:tc>
        <w:tc>
          <w:tcPr>
            <w:tcW w:type="dxa" w:w="6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All roles — Attending Pathologist sees own performance highlighted</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Synoptic Completeness</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All roles — Attending Pathologist sees own row highlighted; cannot see other pathologists' individual rates unless QA Reviewer or above</w:t>
            </w:r>
          </w:p>
        </w:tc>
      </w:tr>
      <w:tr>
        <w:tc>
          <w:tcPr>
            <w:tcW w:type="dxa" w:w="3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CAP / CLIA Compliance</w:t>
            </w:r>
          </w:p>
        </w:tc>
        <w:tc>
          <w:tcPr>
            <w:tcW w:type="dxa" w:w="6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QA Reviewer, Lab Admin, Medical Director — not visible to Attending Pathologist</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Reports</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QA Reviewer and Lab Admin can generate and schedule — Medical Director can view only</w:t>
            </w:r>
          </w:p>
        </w:tc>
      </w:tr>
      <w:tr>
        <w:tc>
          <w:tcPr>
            <w:tcW w:type="dxa" w:w="3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QC Settings</w:t>
            </w:r>
          </w:p>
        </w:tc>
        <w:tc>
          <w:tcPr>
            <w:tcW w:type="dxa" w:w="6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Lab Admin only</w:t>
            </w:r>
          </w:p>
        </w:tc>
      </w:tr>
    </w:tbl>
    <w:p>
      <w:pPr>
        <w:spacing w:before="60" w:after="60"/>
      </w:pPr>
      <w:r>
        <w:t xml:space="preserve"/>
      </w:r>
    </w:p>
    <w:p>
      <w:pPr>
        <w:pBdr>
          <w:left w:val="single" w:color="059669" w:sz="12"/>
        </w:pBdr>
        <w:shd w:fill="ECFDF5" w:val="clear"/>
        <w:spacing w:before="80" w:after="120"/>
        <w:ind w:left="200" w:right="200"/>
      </w:pPr>
      <w:r>
        <w:rPr>
          <w:rFonts w:ascii="Arial" w:cs="Arial" w:eastAsia="Arial" w:hAnsi="Arial"/>
          <w:b/>
          <w:bCs/>
          <w:color w:val="059669"/>
          <w:sz w:val="18"/>
          <w:szCs w:val="18"/>
        </w:rPr>
        <w:t xml:space="preserve">Design Decision: </w:t>
      </w:r>
      <w:r>
        <w:rPr>
          <w:rFonts w:ascii="Arial" w:cs="Arial" w:eastAsia="Arial" w:hAnsi="Arial"/>
          <w:color w:val="059669"/>
          <w:sz w:val="18"/>
          <w:szCs w:val="18"/>
        </w:rPr>
        <w:t xml:space="preserve">Attending Pathologists cannot see other pathologists' individual synoptic completeness percentages. They see the aggregate department metric on the dashboard and their own row only. QA Reviewers see all.</w:t>
      </w:r>
    </w:p>
    <w:p>
      <w:pPr>
        <w:pStyle w:val="Heading1"/>
        <w:pBdr>
          <w:bottom w:val="single" w:color="2563EB" w:sz="6" w:space="4"/>
        </w:pBdr>
        <w:spacing w:before="480" w:after="200"/>
      </w:pPr>
      <w:r>
        <w:rPr>
          <w:rFonts w:ascii="Arial" w:cs="Arial" w:eastAsia="Arial" w:hAnsi="Arial"/>
          <w:b/>
          <w:bCs/>
          <w:color w:val="0F1F3D"/>
          <w:sz w:val="36"/>
          <w:szCs w:val="36"/>
        </w:rPr>
        <w:t xml:space="preserve">3. Information Architecture</w:t>
      </w:r>
    </w:p>
    <w:p>
      <w:pPr>
        <w:pStyle w:val="Heading2"/>
        <w:spacing w:before="360" w:after="160"/>
      </w:pPr>
      <w:r>
        <w:rPr>
          <w:rFonts w:ascii="Arial" w:cs="Arial" w:eastAsia="Arial" w:hAnsi="Arial"/>
          <w:b/>
          <w:bCs/>
          <w:color w:val="2563EB"/>
          <w:sz w:val="26"/>
          <w:szCs w:val="26"/>
        </w:rPr>
        <w:t xml:space="preserve">3.1 Navigation Structure</w:t>
      </w:r>
    </w:p>
    <w:p>
      <w:pPr>
        <w:spacing w:before="80" w:after="80"/>
      </w:pPr>
      <w:r>
        <w:rPr>
          <w:rFonts w:ascii="Arial" w:cs="Arial" w:eastAsia="Arial" w:hAnsi="Arial"/>
          <w:color w:val="0F172A"/>
          <w:sz w:val="20"/>
          <w:szCs w:val="20"/>
        </w:rPr>
        <w:t xml:space="preserve">The QC Module is a top-level section in the PathScribe AI left sidebar. Navigation is persistent and role-filtered — items not accessible to the current role are hidden, not disabled.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Nav Item</w:t>
            </w:r>
          </w:p>
        </w:tc>
        <w:tc>
          <w:tcPr>
            <w:tcW w:type="dxa" w:w="616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Dashboard (Overview)</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Landing screen. Shared across all roles. KPI summary + flagged cases + completeness table + TAT chart.</w:t>
            </w:r>
          </w:p>
        </w:tc>
      </w:tr>
      <w:tr>
        <w:tc>
          <w:tcPr>
            <w:tcW w:type="dxa" w:w="3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Peer Review</w:t>
            </w:r>
          </w:p>
        </w:tc>
        <w:tc>
          <w:tcPr>
            <w:tcW w:type="dxa" w:w="61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Role-specific worklist. QA Reviewer sees all 14 pending; Attending sees only their assigned cases. Badge shows count.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Case Review / Flagged Cases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Worklist of all flagged cases. Filter by flag type, pathologist, status. Badge shows open count.</w:t>
            </w:r>
          </w:p>
        </w:tc>
      </w:tr>
      <w:tr>
        <w:tc>
          <w:tcPr>
            <w:tcW w:type="dxa" w:w="3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Turnaround Time</w:t>
            </w:r>
          </w:p>
        </w:tc>
        <w:tc>
          <w:tcPr>
            <w:tcW w:type="dxa" w:w="61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Dedicated TAT analytics. Drilldown by specimen type, pathologist, date range.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Synoptic Completeness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Dedicated completeness view. Per-pathologist table + trend chart.</w:t>
            </w:r>
          </w:p>
        </w:tc>
      </w:tr>
      <w:tr>
        <w:tc>
          <w:tcPr>
            <w:tcW w:type="dxa" w:w="3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CAP / CLIA Compliance</w:t>
            </w:r>
          </w:p>
        </w:tc>
        <w:tc>
          <w:tcPr>
            <w:tcW w:type="dxa" w:w="61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Compliance scores, checklist status, requirement tracking. QA/Admin/Director only.</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Reports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Scheduled and on-demand report generation. Export to PDF/CSV.</w:t>
            </w:r>
          </w:p>
        </w:tc>
      </w:tr>
      <w:tr>
        <w:tc>
          <w:tcPr>
            <w:tcW w:type="dxa" w:w="3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Users &amp; Roles</w:t>
            </w:r>
          </w:p>
        </w:tc>
        <w:tc>
          <w:tcPr>
            <w:tcW w:type="dxa" w:w="61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User management. Lab Admin only.</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QC Settings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QC configuration: benchmarks, alert thresholds, review rules. Lab Admin only.</w:t>
            </w:r>
          </w:p>
        </w:tc>
      </w:tr>
    </w:tbl>
    <w:p>
      <w:pPr>
        <w:pStyle w:val="Heading1"/>
        <w:pBdr>
          <w:bottom w:val="single" w:color="2563EB" w:sz="6" w:space="4"/>
        </w:pBdr>
        <w:spacing w:before="480" w:after="200"/>
      </w:pPr>
      <w:r>
        <w:rPr>
          <w:rFonts w:ascii="Arial" w:cs="Arial" w:eastAsia="Arial" w:hAnsi="Arial"/>
          <w:b/>
          <w:bCs/>
          <w:color w:val="0F1F3D"/>
          <w:sz w:val="36"/>
          <w:szCs w:val="36"/>
        </w:rPr>
        <w:t xml:space="preserve">4. Screen Specifications</w:t>
      </w:r>
    </w:p>
    <w:p>
      <w:pPr>
        <w:pStyle w:val="Heading2"/>
        <w:spacing w:before="360" w:after="160"/>
      </w:pPr>
      <w:r>
        <w:rPr>
          <w:rFonts w:ascii="Arial" w:cs="Arial" w:eastAsia="Arial" w:hAnsi="Arial"/>
          <w:b/>
          <w:bCs/>
          <w:color w:val="2563EB"/>
          <w:sz w:val="26"/>
          <w:szCs w:val="26"/>
        </w:rPr>
        <w:t xml:space="preserve">4.1 Shared: Top Bar</w:t>
      </w:r>
    </w:p>
    <w:p>
      <w:pPr>
        <w:spacing w:before="80" w:after="80"/>
      </w:pPr>
      <w:r>
        <w:rPr>
          <w:rFonts w:ascii="Arial" w:cs="Arial" w:eastAsia="Arial" w:hAnsi="Arial"/>
          <w:color w:val="0F172A"/>
          <w:sz w:val="20"/>
          <w:szCs w:val="20"/>
        </w:rPr>
        <w:t xml:space="preserve">A persistent top bar appears above all QC Module screens. It contains:</w:t>
      </w:r>
    </w:p>
    <w:p>
      <w:pPr>
        <w:pStyle w:val="ListParagraph"/>
        <w:numPr>
          <w:ilvl w:val="0"/>
          <w:numId w:val="2"/>
        </w:numPr>
        <w:spacing w:before="40" w:after="40"/>
      </w:pPr>
      <w:r>
        <w:rPr>
          <w:rFonts w:ascii="Arial" w:cs="Arial" w:eastAsia="Arial" w:hAnsi="Arial"/>
          <w:color w:val="0F172A"/>
          <w:sz w:val="20"/>
          <w:szCs w:val="20"/>
        </w:rPr>
        <w:t xml:space="preserve">Page title and breadcrumb (e.g., "QC Dashboard" / "PathScribe AI › Quality Control › Dashboard")</w:t>
      </w:r>
    </w:p>
    <w:p>
      <w:pPr>
        <w:pStyle w:val="ListParagraph"/>
        <w:numPr>
          <w:ilvl w:val="0"/>
          <w:numId w:val="2"/>
        </w:numPr>
        <w:spacing w:before="40" w:after="40"/>
      </w:pPr>
      <w:r>
        <w:rPr>
          <w:rFonts w:ascii="Arial" w:cs="Arial" w:eastAsia="Arial" w:hAnsi="Arial"/>
          <w:color w:val="0F172A"/>
          <w:sz w:val="20"/>
          <w:szCs w:val="20"/>
        </w:rPr>
        <w:t xml:space="preserve">Time period selector: Last 30 days / Last 90 days / Last 6 months / Last 12 months — affects all metrics on the current screen</w:t>
      </w:r>
    </w:p>
    <w:p>
      <w:pPr>
        <w:pStyle w:val="ListParagraph"/>
        <w:numPr>
          <w:ilvl w:val="0"/>
          <w:numId w:val="2"/>
        </w:numPr>
        <w:spacing w:before="40" w:after="40"/>
      </w:pPr>
      <w:r>
        <w:rPr>
          <w:rFonts w:ascii="Arial" w:cs="Arial" w:eastAsia="Arial" w:hAnsi="Arial"/>
          <w:color w:val="0F172A"/>
          <w:sz w:val="20"/>
          <w:szCs w:val="20"/>
        </w:rPr>
        <w:t xml:space="preserve">Export button: exports visible data to CSV or PDF</w:t>
      </w:r>
    </w:p>
    <w:p>
      <w:pPr>
        <w:pStyle w:val="ListParagraph"/>
        <w:numPr>
          <w:ilvl w:val="0"/>
          <w:numId w:val="2"/>
        </w:numPr>
        <w:spacing w:before="40" w:after="40"/>
      </w:pPr>
      <w:r>
        <w:rPr>
          <w:rFonts w:ascii="Arial" w:cs="Arial" w:eastAsia="Arial" w:hAnsi="Arial"/>
          <w:color w:val="0F172A"/>
          <w:sz w:val="20"/>
          <w:szCs w:val="20"/>
        </w:rPr>
        <w:t xml:space="preserve">"Flag Case" primary action button — visible to QA Reviewer only</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4.2 Screen: Overview Dashboard</w:t>
      </w:r>
    </w:p>
    <w:p>
      <w:pPr>
        <w:pStyle w:val="Heading3"/>
        <w:spacing w:before="260" w:after="120"/>
      </w:pPr>
      <w:r>
        <w:rPr>
          <w:rFonts w:ascii="Arial" w:cs="Arial" w:eastAsia="Arial" w:hAnsi="Arial"/>
          <w:b/>
          <w:bCs/>
          <w:color w:val="0D9488"/>
          <w:sz w:val="22"/>
          <w:szCs w:val="22"/>
        </w:rPr>
        <w:t xml:space="preserve">4.2.1 KPI Cards Row</w:t>
      </w:r>
    </w:p>
    <w:p>
      <w:pPr>
        <w:spacing w:before="80" w:after="80"/>
      </w:pPr>
      <w:r>
        <w:rPr>
          <w:rFonts w:ascii="Arial" w:cs="Arial" w:eastAsia="Arial" w:hAnsi="Arial"/>
          <w:color w:val="0F172A"/>
          <w:sz w:val="20"/>
          <w:szCs w:val="20"/>
        </w:rPr>
        <w:t xml:space="preserve">Five metric cards displayed in a single horizontal row at the top of the dashboard. Each card has a colored top border indicating alert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Color / State</w:t>
            </w:r>
          </w:p>
        </w:tc>
        <w:tc>
          <w:tcPr>
            <w:tcW w:type="dxa" w:w="20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36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Flagged / Pending</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Red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AuditLog + case flags</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Count of open flagged cases requiring action</w:t>
            </w:r>
          </w:p>
        </w:tc>
      </w:tr>
      <w:tr>
        <w:tc>
          <w:tcPr>
            <w:tcW w:type="dxa" w:w="24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Peer Review Queue</w:t>
            </w:r>
          </w:p>
        </w:tc>
        <w:tc>
          <w:tcPr>
            <w:tcW w:type="dxa" w:w="16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Amber</w:t>
            </w:r>
          </w:p>
        </w:tc>
        <w:tc>
          <w:tcPr>
            <w:tcW w:type="dxa" w:w="2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SynopticApproval / peer review table</w:t>
            </w:r>
          </w:p>
        </w:tc>
        <w:tc>
          <w:tcPr>
            <w:tcW w:type="dxa" w:w="3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Count of cases awaiting peer review. Shows "N due today" sub-label.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Avg TAT (Surgical)</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Blue (green if on track)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Case.grossed_at / signed_out_at</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Average days to sign-out for surgical specimens. Tooltip shows benchmark.</w:t>
            </w:r>
          </w:p>
        </w:tc>
      </w:tr>
      <w:tr>
        <w:tc>
          <w:tcPr>
            <w:tcW w:type="dxa" w:w="24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Synoptic Completeness</w:t>
            </w:r>
          </w:p>
        </w:tc>
        <w:tc>
          <w:tcPr>
            <w:tcW w:type="dxa" w:w="16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Teal</w:t>
            </w:r>
          </w:p>
        </w:tc>
        <w:tc>
          <w:tcPr>
            <w:tcW w:type="dxa" w:w="2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SynopticReport.status aggregate</w:t>
            </w:r>
          </w:p>
        </w:tc>
        <w:tc>
          <w:tcPr>
            <w:tcW w:type="dxa" w:w="3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 of cases requiring synoptic where one is finalized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Discrepancy Rate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Green (amber if elevated)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Peer review outcomes</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 of reviewed cases with a major discrepancy</w:t>
            </w:r>
          </w:p>
        </w:tc>
      </w:tr>
    </w:tbl>
    <w:p>
      <w:pPr>
        <w:spacing w:before="60" w:after="60"/>
      </w:pPr>
      <w:r>
        <w:t xml:space="preserve"/>
      </w:r>
    </w:p>
    <w:p>
      <w:pPr>
        <w:pBdr>
          <w:left w:val="single" w:color="D97706" w:sz="12"/>
        </w:pBdr>
        <w:shd w:fill="FFFBEB" w:val="clear"/>
        <w:spacing w:before="80" w:after="120"/>
        <w:ind w:left="200" w:right="200"/>
      </w:pPr>
      <w:r>
        <w:rPr>
          <w:rFonts w:ascii="Arial" w:cs="Arial" w:eastAsia="Arial" w:hAnsi="Arial"/>
          <w:b/>
          <w:bCs/>
          <w:color w:val="D97706"/>
          <w:sz w:val="18"/>
          <w:szCs w:val="18"/>
        </w:rPr>
        <w:t xml:space="preserve">Note: </w:t>
      </w:r>
      <w:r>
        <w:rPr>
          <w:rFonts w:ascii="Arial" w:cs="Arial" w:eastAsia="Arial" w:hAnsi="Arial"/>
          <w:color w:val="D97706"/>
          <w:sz w:val="18"/>
          <w:szCs w:val="18"/>
        </w:rPr>
        <w:t xml:space="preserve">KPI cards show delta vs. previous period ("↑ 2% vs last period"). Up arrows are green for improving metrics (completeness up, discrepancy rate down) and red for worsening ones. Direction of "good" is context-dependent per metric.</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4.2.2 Turnaround Time Chart</w:t>
      </w:r>
    </w:p>
    <w:p>
      <w:pPr>
        <w:spacing w:before="80" w:after="80"/>
      </w:pPr>
      <w:r>
        <w:rPr>
          <w:rFonts w:ascii="Arial" w:cs="Arial" w:eastAsia="Arial" w:hAnsi="Arial"/>
          <w:color w:val="0F172A"/>
          <w:sz w:val="20"/>
          <w:szCs w:val="20"/>
        </w:rPr>
        <w:t xml:space="preserve">Horizontal bar chart displaying average TAT per specimen type. Each bar shows the actual value; a vertical red line overlay marks the CAP benchmark per specimen type. Color-coded: green = on track, amber = within 20% of benchmark, red = exceeded.</w:t>
      </w:r>
    </w:p>
    <w:p>
      <w:pPr>
        <w:pStyle w:val="ListParagraph"/>
        <w:numPr>
          <w:ilvl w:val="0"/>
          <w:numId w:val="2"/>
        </w:numPr>
        <w:spacing w:before="40" w:after="40"/>
      </w:pPr>
      <w:r>
        <w:rPr>
          <w:rFonts w:ascii="Arial" w:cs="Arial" w:eastAsia="Arial" w:hAnsi="Arial"/>
          <w:color w:val="0F172A"/>
          <w:sz w:val="20"/>
          <w:szCs w:val="20"/>
        </w:rPr>
        <w:t xml:space="preserve">Specimen types shown: Surgical, Biopsy, Frozen Section, Cytology, Autopsy</w:t>
      </w:r>
    </w:p>
    <w:p>
      <w:pPr>
        <w:pStyle w:val="ListParagraph"/>
        <w:numPr>
          <w:ilvl w:val="0"/>
          <w:numId w:val="2"/>
        </w:numPr>
        <w:spacing w:before="40" w:after="40"/>
      </w:pPr>
      <w:r>
        <w:rPr>
          <w:rFonts w:ascii="Arial" w:cs="Arial" w:eastAsia="Arial" w:hAnsi="Arial"/>
          <w:color w:val="0F172A"/>
          <w:sz w:val="20"/>
          <w:szCs w:val="20"/>
        </w:rPr>
        <w:t xml:space="preserve">Benchmark lines sourced from QC Settings (configurable by Lab Admin)</w:t>
      </w:r>
    </w:p>
    <w:p>
      <w:pPr>
        <w:pStyle w:val="ListParagraph"/>
        <w:numPr>
          <w:ilvl w:val="0"/>
          <w:numId w:val="2"/>
        </w:numPr>
        <w:spacing w:before="40" w:after="40"/>
      </w:pPr>
      <w:r>
        <w:rPr>
          <w:rFonts w:ascii="Arial" w:cs="Arial" w:eastAsia="Arial" w:hAnsi="Arial"/>
          <w:color w:val="0F172A"/>
          <w:sz w:val="20"/>
          <w:szCs w:val="20"/>
        </w:rPr>
        <w:t xml:space="preserve">Values displayed inside bars when space permits; otherwise as end label</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4.2.3 Case Volume Sparkline</w:t>
      </w:r>
    </w:p>
    <w:p>
      <w:pPr>
        <w:spacing w:before="80" w:after="80"/>
      </w:pPr>
      <w:r>
        <w:rPr>
          <w:rFonts w:ascii="Arial" w:cs="Arial" w:eastAsia="Arial" w:hAnsi="Arial"/>
          <w:color w:val="0F172A"/>
          <w:sz w:val="20"/>
          <w:szCs w:val="20"/>
        </w:rPr>
        <w:t xml:space="preserve">A weekly bar chart showing case volume over the selected period. The most recent week is highlighted in solid blue. Below the chart: total cases, cases with synoptic (count + %), cases without synoptic (count + %).</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4.2.4 Synoptic Completeness by Pathologist Table</w:t>
      </w:r>
    </w:p>
    <w:p>
      <w:pPr>
        <w:spacing w:before="80" w:after="80"/>
      </w:pPr>
      <w:r>
        <w:rPr>
          <w:rFonts w:ascii="Arial" w:cs="Arial" w:eastAsia="Arial" w:hAnsi="Arial"/>
          <w:color w:val="0F172A"/>
          <w:sz w:val="20"/>
          <w:szCs w:val="20"/>
        </w:rPr>
        <w:t xml:space="preserve">A sortable table with one row per pathologist. Columns: Pathologist name, Cases (count), Completeness (inline progress bar + %), Status pill.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Status Pill</w:t>
            </w:r>
          </w:p>
        </w:tc>
        <w:tc>
          <w:tcPr>
            <w:tcW w:type="dxa" w:w="436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2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Excellent (green)</w:t>
            </w:r>
          </w:p>
        </w:tc>
        <w:tc>
          <w:tcPr>
            <w:tcW w:type="dxa" w:w="4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 95%</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No action required</w:t>
            </w:r>
          </w:p>
        </w:tc>
      </w:tr>
      <w:tr>
        <w:tc>
          <w:tcPr>
            <w:tcW w:type="dxa" w:w="24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Good (blue)</w:t>
            </w:r>
          </w:p>
        </w:tc>
        <w:tc>
          <w:tcPr>
            <w:tcW w:type="dxa" w:w="4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90–94%</w:t>
            </w:r>
          </w:p>
        </w:tc>
        <w:tc>
          <w:tcPr>
            <w:tcW w:type="dxa" w:w="26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Informational — within acceptable range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Review (amber)</w:t>
            </w:r>
          </w:p>
        </w:tc>
        <w:tc>
          <w:tcPr>
            <w:tcW w:type="dxa" w:w="4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85–89%</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QA Reviewer notified. Pathologist flagged for coaching.</w:t>
            </w:r>
          </w:p>
        </w:tc>
      </w:tr>
      <w:tr>
        <w:tc>
          <w:tcPr>
            <w:tcW w:type="dxa" w:w="24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Action Required (red)</w:t>
            </w:r>
          </w:p>
        </w:tc>
        <w:tc>
          <w:tcPr>
            <w:tcW w:type="dxa" w:w="4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&lt; 85%</w:t>
            </w:r>
          </w:p>
        </w:tc>
        <w:tc>
          <w:tcPr>
            <w:tcW w:type="dxa" w:w="26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QA Reviewer alerted. Auto-flag for department review.</w:t>
            </w:r>
          </w:p>
        </w:tc>
      </w:tr>
    </w:tbl>
    <w:p>
      <w:pPr>
        <w:spacing w:before="60" w:after="60"/>
      </w:pPr>
      <w:r>
        <w:t xml:space="preserve"/>
      </w:r>
    </w:p>
    <w:p>
      <w:pPr>
        <w:pBdr>
          <w:left w:val="single" w:color="059669" w:sz="12"/>
        </w:pBdr>
        <w:shd w:fill="ECFDF5" w:val="clear"/>
        <w:spacing w:before="80" w:after="120"/>
        <w:ind w:left="200" w:right="200"/>
      </w:pPr>
      <w:r>
        <w:rPr>
          <w:rFonts w:ascii="Arial" w:cs="Arial" w:eastAsia="Arial" w:hAnsi="Arial"/>
          <w:b/>
          <w:bCs/>
          <w:color w:val="059669"/>
          <w:sz w:val="18"/>
          <w:szCs w:val="18"/>
        </w:rPr>
        <w:t xml:space="preserve">Design Decision: </w:t>
      </w:r>
      <w:r>
        <w:rPr>
          <w:rFonts w:ascii="Arial" w:cs="Arial" w:eastAsia="Arial" w:hAnsi="Arial"/>
          <w:color w:val="059669"/>
          <w:sz w:val="18"/>
          <w:szCs w:val="18"/>
        </w:rPr>
        <w:t xml:space="preserve">The completeness table is visible to all roles, but Attending Pathologists only see their own row. QA Reviewers and above see all rows.</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4.2.5 Flagged Cases Summary Table</w:t>
      </w:r>
    </w:p>
    <w:p>
      <w:pPr>
        <w:spacing w:before="80" w:after="80"/>
      </w:pPr>
      <w:r>
        <w:rPr>
          <w:rFonts w:ascii="Arial" w:cs="Arial" w:eastAsia="Arial" w:hAnsi="Arial"/>
          <w:color w:val="0F172A"/>
          <w:sz w:val="20"/>
          <w:szCs w:val="20"/>
        </w:rPr>
        <w:t xml:space="preserve">A compact table showing the 5 most recent open flagged cases. Columns: Case ID (monospaced, links to case), Specimen description, Flag type (color-coded dot + label), Pathologist, Review button.</w:t>
      </w:r>
    </w:p>
    <w:p>
      <w:pPr>
        <w:spacing w:before="80" w:after="80"/>
      </w:pPr>
      <w:r>
        <w:rPr>
          <w:rFonts w:ascii="Arial" w:cs="Arial" w:eastAsia="Arial" w:hAnsi="Arial"/>
          <w:color w:val="0F172A"/>
          <w:sz w:val="20"/>
          <w:szCs w:val="20"/>
        </w:rPr>
        <w:t xml:space="preserve">Flag types and their dot colors:</w:t>
      </w:r>
    </w:p>
    <w:p>
      <w:pPr>
        <w:pStyle w:val="ListParagraph"/>
        <w:numPr>
          <w:ilvl w:val="0"/>
          <w:numId w:val="2"/>
        </w:numPr>
        <w:spacing w:before="40" w:after="40"/>
      </w:pPr>
      <w:r>
        <w:rPr>
          <w:rFonts w:ascii="Arial" w:cs="Arial" w:eastAsia="Arial" w:hAnsi="Arial"/>
          <w:color w:val="0F172A"/>
          <w:sz w:val="20"/>
          <w:szCs w:val="20"/>
        </w:rPr>
        <w:t xml:space="preserve">Missing synoptic — Red dot</w:t>
      </w:r>
    </w:p>
    <w:p>
      <w:pPr>
        <w:pStyle w:val="ListParagraph"/>
        <w:numPr>
          <w:ilvl w:val="0"/>
          <w:numId w:val="2"/>
        </w:numPr>
        <w:spacing w:before="40" w:after="40"/>
      </w:pPr>
      <w:r>
        <w:rPr>
          <w:rFonts w:ascii="Arial" w:cs="Arial" w:eastAsia="Arial" w:hAnsi="Arial"/>
          <w:color w:val="0F172A"/>
          <w:sz w:val="20"/>
          <w:szCs w:val="20"/>
        </w:rPr>
        <w:t xml:space="preserve">TAT exceeded — Amber dot</w:t>
      </w:r>
    </w:p>
    <w:p>
      <w:pPr>
        <w:pStyle w:val="ListParagraph"/>
        <w:numPr>
          <w:ilvl w:val="0"/>
          <w:numId w:val="2"/>
        </w:numPr>
        <w:spacing w:before="40" w:after="40"/>
      </w:pPr>
      <w:r>
        <w:rPr>
          <w:rFonts w:ascii="Arial" w:cs="Arial" w:eastAsia="Arial" w:hAnsi="Arial"/>
          <w:color w:val="0F172A"/>
          <w:sz w:val="20"/>
          <w:szCs w:val="20"/>
        </w:rPr>
        <w:t xml:space="preserve">Discrepancy — Red dot</w:t>
      </w:r>
    </w:p>
    <w:p>
      <w:pPr>
        <w:pStyle w:val="ListParagraph"/>
        <w:numPr>
          <w:ilvl w:val="0"/>
          <w:numId w:val="2"/>
        </w:numPr>
        <w:spacing w:before="40" w:after="40"/>
      </w:pPr>
      <w:r>
        <w:rPr>
          <w:rFonts w:ascii="Arial" w:cs="Arial" w:eastAsia="Arial" w:hAnsi="Arial"/>
          <w:color w:val="0F172A"/>
          <w:sz w:val="20"/>
          <w:szCs w:val="20"/>
        </w:rPr>
        <w:t xml:space="preserve">Incomplete fields — Amber dot</w:t>
      </w:r>
    </w:p>
    <w:p>
      <w:pPr>
        <w:pStyle w:val="ListParagraph"/>
        <w:numPr>
          <w:ilvl w:val="0"/>
          <w:numId w:val="2"/>
        </w:numPr>
        <w:spacing w:before="40" w:after="40"/>
      </w:pPr>
      <w:r>
        <w:rPr>
          <w:rFonts w:ascii="Arial" w:cs="Arial" w:eastAsia="Arial" w:hAnsi="Arial"/>
          <w:color w:val="0F172A"/>
          <w:sz w:val="20"/>
          <w:szCs w:val="20"/>
        </w:rPr>
        <w:t xml:space="preserve">Peer conflict — Slate dot</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4.3 Screen: Peer Review Worklist</w:t>
      </w:r>
    </w:p>
    <w:p>
      <w:pPr>
        <w:pStyle w:val="Heading3"/>
        <w:spacing w:before="260" w:after="120"/>
      </w:pPr>
      <w:r>
        <w:rPr>
          <w:rFonts w:ascii="Arial" w:cs="Arial" w:eastAsia="Arial" w:hAnsi="Arial"/>
          <w:b/>
          <w:bCs/>
          <w:color w:val="0D9488"/>
          <w:sz w:val="22"/>
          <w:szCs w:val="22"/>
        </w:rPr>
        <w:t xml:space="preserve">4.3.1 CAP Requirement Banner</w:t>
      </w:r>
    </w:p>
    <w:p>
      <w:pPr>
        <w:spacing w:before="80" w:after="80"/>
      </w:pPr>
      <w:r>
        <w:rPr>
          <w:rFonts w:ascii="Arial" w:cs="Arial" w:eastAsia="Arial" w:hAnsi="Arial"/>
          <w:color w:val="0F172A"/>
          <w:sz w:val="20"/>
          <w:szCs w:val="20"/>
        </w:rPr>
        <w:t xml:space="preserve">A persistent blue informational banner at the top of the worklist displays: "CAP requirement: 10% random case review. Current period: [N] of [Total] cases selected ([%]). Next selection runs [Day]."</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4.3.2 Filter Toolbar</w:t>
      </w:r>
    </w:p>
    <w:p>
      <w:pPr>
        <w:spacing w:before="80" w:after="80"/>
      </w:pPr>
      <w:r>
        <w:rPr>
          <w:rFonts w:ascii="Arial" w:cs="Arial" w:eastAsia="Arial" w:hAnsi="Arial"/>
          <w:color w:val="0F172A"/>
          <w:sz w:val="20"/>
          <w:szCs w:val="20"/>
        </w:rPr>
        <w:t xml:space="preserve">Filters: Search by case ID or pathologist name, Specimen type dropdown, Pathologist dropdown (QA Reviewer only — Attending sees their own cases only), Priority dropdown (All / Due today / Overdue).</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4.3.3 Case Review Cards</w:t>
      </w:r>
    </w:p>
    <w:p>
      <w:pPr>
        <w:spacing w:before="80" w:after="80"/>
      </w:pPr>
      <w:r>
        <w:rPr>
          <w:rFonts w:ascii="Arial" w:cs="Arial" w:eastAsia="Arial" w:hAnsi="Arial"/>
          <w:color w:val="0F172A"/>
          <w:sz w:val="20"/>
          <w:szCs w:val="20"/>
        </w:rPr>
        <w:t xml:space="preserve">Each pending case is displayed as a card row (not a table) with:</w:t>
      </w:r>
    </w:p>
    <w:p>
      <w:pPr>
        <w:pStyle w:val="ListParagraph"/>
        <w:numPr>
          <w:ilvl w:val="0"/>
          <w:numId w:val="2"/>
        </w:numPr>
        <w:spacing w:before="40" w:after="40"/>
      </w:pPr>
      <w:r>
        <w:rPr>
          <w:rFonts w:ascii="Arial" w:cs="Arial" w:eastAsia="Arial" w:hAnsi="Arial"/>
          <w:color w:val="0F172A"/>
          <w:sz w:val="20"/>
          <w:szCs w:val="20"/>
        </w:rPr>
        <w:t xml:space="preserve">"Random" badge (purple) when case was selected by random CAP algorithm — vs no badge for QA-assigned review</w:t>
      </w:r>
    </w:p>
    <w:p>
      <w:pPr>
        <w:pStyle w:val="ListParagraph"/>
        <w:numPr>
          <w:ilvl w:val="0"/>
          <w:numId w:val="2"/>
        </w:numPr>
        <w:spacing w:before="40" w:after="40"/>
      </w:pPr>
      <w:r>
        <w:rPr>
          <w:rFonts w:ascii="Arial" w:cs="Arial" w:eastAsia="Arial" w:hAnsi="Arial"/>
          <w:color w:val="0F172A"/>
          <w:sz w:val="20"/>
          <w:szCs w:val="20"/>
        </w:rPr>
        <w:t xml:space="preserve">Case ID (monospaced, links to case in PathScribe)</w:t>
      </w:r>
    </w:p>
    <w:p>
      <w:pPr>
        <w:pStyle w:val="ListParagraph"/>
        <w:numPr>
          <w:ilvl w:val="0"/>
          <w:numId w:val="2"/>
        </w:numPr>
        <w:spacing w:before="40" w:after="40"/>
      </w:pPr>
      <w:r>
        <w:rPr>
          <w:rFonts w:ascii="Arial" w:cs="Arial" w:eastAsia="Arial" w:hAnsi="Arial"/>
          <w:color w:val="0F172A"/>
          <w:sz w:val="20"/>
          <w:szCs w:val="20"/>
        </w:rPr>
        <w:t xml:space="preserve">Diagnosis line and specimen description</w:t>
      </w:r>
    </w:p>
    <w:p>
      <w:pPr>
        <w:pStyle w:val="ListParagraph"/>
        <w:numPr>
          <w:ilvl w:val="0"/>
          <w:numId w:val="2"/>
        </w:numPr>
        <w:spacing w:before="40" w:after="40"/>
      </w:pPr>
      <w:r>
        <w:rPr>
          <w:rFonts w:ascii="Arial" w:cs="Arial" w:eastAsia="Arial" w:hAnsi="Arial"/>
          <w:color w:val="0F172A"/>
          <w:sz w:val="20"/>
          <w:szCs w:val="20"/>
        </w:rPr>
        <w:t xml:space="preserve">Pathologist, sign-out date, and CAP protocol used</w:t>
      </w:r>
    </w:p>
    <w:p>
      <w:pPr>
        <w:pStyle w:val="ListParagraph"/>
        <w:numPr>
          <w:ilvl w:val="0"/>
          <w:numId w:val="2"/>
        </w:numPr>
        <w:spacing w:before="40" w:after="40"/>
      </w:pPr>
      <w:r>
        <w:rPr>
          <w:rFonts w:ascii="Arial" w:cs="Arial" w:eastAsia="Arial" w:hAnsi="Arial"/>
          <w:color w:val="0F172A"/>
          <w:sz w:val="20"/>
          <w:szCs w:val="20"/>
        </w:rPr>
        <w:t xml:space="preserve">"Due" date — shown in red if today or overdue</w:t>
      </w:r>
    </w:p>
    <w:p>
      <w:pPr>
        <w:pStyle w:val="ListParagraph"/>
        <w:numPr>
          <w:ilvl w:val="0"/>
          <w:numId w:val="2"/>
        </w:numPr>
        <w:spacing w:before="40" w:after="40"/>
      </w:pPr>
      <w:r>
        <w:rPr>
          <w:rFonts w:ascii="Arial" w:cs="Arial" w:eastAsia="Arial" w:hAnsi="Arial"/>
          <w:color w:val="0F172A"/>
          <w:sz w:val="20"/>
          <w:szCs w:val="20"/>
        </w:rPr>
        <w:t xml:space="preserve">"Begin Review" primary button (blue) for due-today/overdue cases; ghost button for future-due cases</w:t>
      </w:r>
    </w:p>
    <w:p>
      <w:pPr>
        <w:spacing w:before="60" w:after="60"/>
      </w:pPr>
      <w:r>
        <w:t xml:space="preserve"/>
      </w:r>
    </w:p>
    <w:p>
      <w:pPr>
        <w:pBdr>
          <w:left w:val="single" w:color="D97706" w:sz="12"/>
        </w:pBdr>
        <w:shd w:fill="FFFBEB" w:val="clear"/>
        <w:spacing w:before="80" w:after="120"/>
        <w:ind w:left="200" w:right="200"/>
      </w:pPr>
      <w:r>
        <w:rPr>
          <w:rFonts w:ascii="Arial" w:cs="Arial" w:eastAsia="Arial" w:hAnsi="Arial"/>
          <w:b/>
          <w:bCs/>
          <w:color w:val="D97706"/>
          <w:sz w:val="18"/>
          <w:szCs w:val="18"/>
        </w:rPr>
        <w:t xml:space="preserve">Note: </w:t>
      </w:r>
      <w:r>
        <w:rPr>
          <w:rFonts w:ascii="Arial" w:cs="Arial" w:eastAsia="Arial" w:hAnsi="Arial"/>
          <w:color w:val="D97706"/>
          <w:sz w:val="18"/>
          <w:szCs w:val="18"/>
        </w:rPr>
        <w:t xml:space="preserve">CAP requires a minimum 10% random selection. The system auto-selects cases on a configurable schedule (default: weekly, Monday). QA Reviewers can add additional non-random cases to the queue at any time. Random cases are always visually distinguished with the purple badge.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4.4 Screen: Flagged Cases Worklist</w:t>
      </w:r>
    </w:p>
    <w:p>
      <w:pPr>
        <w:pStyle w:val="Heading3"/>
        <w:spacing w:before="260" w:after="120"/>
      </w:pPr>
      <w:r>
        <w:rPr>
          <w:rFonts w:ascii="Arial" w:cs="Arial" w:eastAsia="Arial" w:hAnsi="Arial"/>
          <w:b/>
          <w:bCs/>
          <w:color w:val="0D9488"/>
          <w:sz w:val="22"/>
          <w:szCs w:val="22"/>
        </w:rPr>
        <w:t xml:space="preserve">4.4.1 Filter Toolbar</w:t>
      </w:r>
    </w:p>
    <w:p>
      <w:pPr>
        <w:spacing w:before="80" w:after="80"/>
      </w:pPr>
      <w:r>
        <w:rPr>
          <w:rFonts w:ascii="Arial" w:cs="Arial" w:eastAsia="Arial" w:hAnsi="Arial"/>
          <w:color w:val="0F172A"/>
          <w:sz w:val="20"/>
          <w:szCs w:val="20"/>
        </w:rPr>
        <w:t xml:space="preserve">Filters: Search, Flag type, Pathologist, Status (Open / In Review / Resolved).</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4.4.2 Full Cases Table</w:t>
      </w:r>
    </w:p>
    <w:p>
      <w:pPr>
        <w:spacing w:before="80" w:after="80"/>
      </w:pPr>
      <w:r>
        <w:rPr>
          <w:rFonts w:ascii="Arial" w:cs="Arial" w:eastAsia="Arial" w:hAnsi="Arial"/>
          <w:color w:val="0F172A"/>
          <w:sz w:val="20"/>
          <w:szCs w:val="20"/>
        </w:rPr>
        <w:t xml:space="preserve">Full table with columns: Case ID, Specimen, Flag Type, Pathologist, Flagged date, Status pill, Action button (Review / View for resolved cases).</w:t>
      </w:r>
    </w:p>
    <w:p>
      <w:pPr>
        <w:spacing w:before="80" w:after="80"/>
      </w:pPr>
      <w:r>
        <w:rPr>
          <w:rFonts w:ascii="Arial" w:cs="Arial" w:eastAsia="Arial" w:hAnsi="Arial"/>
          <w:color w:val="0F172A"/>
          <w:sz w:val="20"/>
          <w:szCs w:val="20"/>
        </w:rPr>
        <w:t xml:space="preserve">Status pills: Open (red), In Review (amber), Resolved (slate).</w:t>
      </w:r>
    </w:p>
    <w:p>
      <w:pPr>
        <w:spacing w:before="80" w:after="80"/>
      </w:pPr>
      <w:r>
        <w:rPr>
          <w:rFonts w:ascii="Arial" w:cs="Arial" w:eastAsia="Arial" w:hAnsi="Arial"/>
          <w:color w:val="0F172A"/>
          <w:sz w:val="20"/>
          <w:szCs w:val="20"/>
        </w:rPr>
        <w:t xml:space="preserve">Export button exports all visible rows (respecting active filters) to CSV.</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4.5 Screen: CAP / CLIA Compliance</w:t>
      </w:r>
    </w:p>
    <w:p>
      <w:pPr>
        <w:pStyle w:val="Heading3"/>
        <w:spacing w:before="260" w:after="120"/>
      </w:pPr>
      <w:r>
        <w:rPr>
          <w:rFonts w:ascii="Arial" w:cs="Arial" w:eastAsia="Arial" w:hAnsi="Arial"/>
          <w:b/>
          <w:bCs/>
          <w:color w:val="0D9488"/>
          <w:sz w:val="22"/>
          <w:szCs w:val="22"/>
        </w:rPr>
        <w:t xml:space="preserve">4.5.1 Compliance Score Cards</w:t>
      </w:r>
    </w:p>
    <w:p>
      <w:pPr>
        <w:spacing w:before="80" w:after="80"/>
      </w:pPr>
      <w:r>
        <w:rPr>
          <w:rFonts w:ascii="Arial" w:cs="Arial" w:eastAsia="Arial" w:hAnsi="Arial"/>
          <w:color w:val="0F172A"/>
          <w:sz w:val="20"/>
          <w:szCs w:val="20"/>
        </w:rPr>
        <w:t xml:space="preserve">Three circular progress rings at the top: CAP Compliance (% protocol adherence), CLIA Compliance (% documentation completeness), Peer Review Rate (% cases reviewed vs. 10% requirement). Colors: green ≥ 90%, amber 75–89%, red &lt; 75%.</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4.5.2 CAP Checklist Requirements Panel</w:t>
      </w:r>
    </w:p>
    <w:p>
      <w:pPr>
        <w:spacing w:before="80" w:after="80"/>
      </w:pPr>
      <w:r>
        <w:rPr>
          <w:rFonts w:ascii="Arial" w:cs="Arial" w:eastAsia="Arial" w:hAnsi="Arial"/>
          <w:color w:val="0F172A"/>
          <w:sz w:val="20"/>
          <w:szCs w:val="20"/>
        </w:rPr>
        <w:t xml:space="preserve">A structured list of CAP compliance requirements with pass/fail status and current metric value. Requirements include:</w:t>
      </w:r>
    </w:p>
    <w:p>
      <w:pPr>
        <w:pStyle w:val="ListParagraph"/>
        <w:numPr>
          <w:ilvl w:val="0"/>
          <w:numId w:val="2"/>
        </w:numPr>
        <w:spacing w:before="40" w:after="40"/>
      </w:pPr>
      <w:r>
        <w:rPr>
          <w:rFonts w:ascii="Arial" w:cs="Arial" w:eastAsia="Arial" w:hAnsi="Arial"/>
          <w:color w:val="0F172A"/>
          <w:sz w:val="20"/>
          <w:szCs w:val="20"/>
        </w:rPr>
        <w:t xml:space="preserve">Synoptic completeness ≥ 90% — green if passing, amber if within 2%, red if below</w:t>
      </w:r>
    </w:p>
    <w:p>
      <w:pPr>
        <w:pStyle w:val="ListParagraph"/>
        <w:numPr>
          <w:ilvl w:val="0"/>
          <w:numId w:val="2"/>
        </w:numPr>
        <w:spacing w:before="40" w:after="40"/>
      </w:pPr>
      <w:r>
        <w:rPr>
          <w:rFonts w:ascii="Arial" w:cs="Arial" w:eastAsia="Arial" w:hAnsi="Arial"/>
          <w:color w:val="0F172A"/>
          <w:sz w:val="20"/>
          <w:szCs w:val="20"/>
        </w:rPr>
        <w:t xml:space="preserve">Peer review ≥ 10% of cases — green/amber/red</w:t>
      </w:r>
    </w:p>
    <w:p>
      <w:pPr>
        <w:pStyle w:val="ListParagraph"/>
        <w:numPr>
          <w:ilvl w:val="0"/>
          <w:numId w:val="2"/>
        </w:numPr>
        <w:spacing w:before="40" w:after="40"/>
      </w:pPr>
      <w:r>
        <w:rPr>
          <w:rFonts w:ascii="Arial" w:cs="Arial" w:eastAsia="Arial" w:hAnsi="Arial"/>
          <w:color w:val="0F172A"/>
          <w:sz w:val="20"/>
          <w:szCs w:val="20"/>
        </w:rPr>
        <w:t xml:space="preserve">TAT ≤ benchmark per specimen type (configurable)</w:t>
      </w:r>
    </w:p>
    <w:p>
      <w:pPr>
        <w:pStyle w:val="ListParagraph"/>
        <w:numPr>
          <w:ilvl w:val="0"/>
          <w:numId w:val="2"/>
        </w:numPr>
        <w:spacing w:before="40" w:after="40"/>
      </w:pPr>
      <w:r>
        <w:rPr>
          <w:rFonts w:ascii="Arial" w:cs="Arial" w:eastAsia="Arial" w:hAnsi="Arial"/>
          <w:color w:val="0F172A"/>
          <w:sz w:val="20"/>
          <w:szCs w:val="20"/>
        </w:rPr>
        <w:t xml:space="preserve">Discrepancy rate ≤ 5%</w:t>
      </w:r>
    </w:p>
    <w:p>
      <w:pPr>
        <w:pStyle w:val="ListParagraph"/>
        <w:numPr>
          <w:ilvl w:val="0"/>
          <w:numId w:val="2"/>
        </w:numPr>
        <w:spacing w:before="40" w:after="40"/>
      </w:pPr>
      <w:r>
        <w:rPr>
          <w:rFonts w:ascii="Arial" w:cs="Arial" w:eastAsia="Arial" w:hAnsi="Arial"/>
          <w:color w:val="0F172A"/>
          <w:sz w:val="20"/>
          <w:szCs w:val="20"/>
        </w:rPr>
        <w:t xml:space="preserve">Audit log retention ≥ 7 years — system status</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4.5.3 Scheduled Reports Panel</w:t>
      </w:r>
    </w:p>
    <w:p>
      <w:pPr>
        <w:spacing w:before="80" w:after="80"/>
      </w:pPr>
      <w:r>
        <w:rPr>
          <w:rFonts w:ascii="Arial" w:cs="Arial" w:eastAsia="Arial" w:hAnsi="Arial"/>
          <w:color w:val="0F172A"/>
          <w:sz w:val="20"/>
          <w:szCs w:val="20"/>
        </w:rPr>
        <w:t xml:space="preserve">Table of configured scheduled reports with: Name, Frequency (monthly/weekly/quarterly), Next Run date. "New" button to add a scheduled report. Clicking a report row opens the report config.</w:t>
      </w:r>
    </w:p>
    <w:p>
      <w:pPr>
        <w:spacing w:before="60" w:after="60"/>
      </w:pPr>
      <w:r>
        <w:t xml:space="preserve"/>
      </w:r>
    </w:p>
    <w:p>
      <w:pPr>
        <w:pStyle w:val="Heading1"/>
        <w:pBdr>
          <w:bottom w:val="single" w:color="2563EB" w:sz="6" w:space="4"/>
        </w:pBdr>
        <w:spacing w:before="480" w:after="200"/>
      </w:pPr>
      <w:r>
        <w:rPr>
          <w:rFonts w:ascii="Arial" w:cs="Arial" w:eastAsia="Arial" w:hAnsi="Arial"/>
          <w:b/>
          <w:bCs/>
          <w:color w:val="0F1F3D"/>
          <w:sz w:val="36"/>
          <w:szCs w:val="36"/>
        </w:rPr>
        <w:t xml:space="preserve">5. Component Inventory</w:t>
      </w:r>
    </w:p>
    <w:p>
      <w:pPr>
        <w:spacing w:before="80" w:after="80"/>
      </w:pPr>
      <w:r>
        <w:rPr>
          <w:rFonts w:ascii="Arial" w:cs="Arial" w:eastAsia="Arial" w:hAnsi="Arial"/>
          <w:color w:val="0F172A"/>
          <w:sz w:val="20"/>
          <w:szCs w:val="20"/>
        </w:rPr>
        <w:t xml:space="preserve">All components use the PathScribe design system. New components required for QC Module: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KPICard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New</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Dashboard metric cards with colored top border, value, delta</w:t>
            </w:r>
          </w:p>
        </w:tc>
      </w:tr>
      <w:tr>
        <w:tc>
          <w:tcPr>
            <w:tcW w:type="dxa" w:w="24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TATBarChart</w:t>
            </w:r>
          </w:p>
        </w:tc>
        <w:tc>
          <w:tcPr>
            <w:tcW w:type="dxa" w:w="2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New</w:t>
            </w:r>
          </w:p>
        </w:tc>
        <w:tc>
          <w:tcPr>
            <w:tcW w:type="dxa" w:w="49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Horizontal bar chart with benchmark overlay line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SparklineChart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New</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Weekly case volume mini bar chart</w:t>
            </w:r>
          </w:p>
        </w:tc>
      </w:tr>
      <w:tr>
        <w:tc>
          <w:tcPr>
            <w:tcW w:type="dxa" w:w="24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CompletenessTable</w:t>
            </w:r>
          </w:p>
        </w:tc>
        <w:tc>
          <w:tcPr>
            <w:tcW w:type="dxa" w:w="2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New</w:t>
            </w:r>
          </w:p>
        </w:tc>
        <w:tc>
          <w:tcPr>
            <w:tcW w:type="dxa" w:w="49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Sortable table with inline progress bars and status pills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FlaggedCasesTable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Extend existing Table</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Adds flag type dots and action buttons</w:t>
            </w:r>
          </w:p>
        </w:tc>
      </w:tr>
      <w:tr>
        <w:tc>
          <w:tcPr>
            <w:tcW w:type="dxa" w:w="24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PeerReviewCard</w:t>
            </w:r>
          </w:p>
        </w:tc>
        <w:tc>
          <w:tcPr>
            <w:tcW w:type="dxa" w:w="2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New</w:t>
            </w:r>
          </w:p>
        </w:tc>
        <w:tc>
          <w:tcPr>
            <w:tcW w:type="dxa" w:w="49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Worklist card with random badge, due date, action button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ComplianceRing</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New</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SVG circular progress ring with color thresholds</w:t>
            </w:r>
          </w:p>
        </w:tc>
      </w:tr>
      <w:tr>
        <w:tc>
          <w:tcPr>
            <w:tcW w:type="dxa" w:w="24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ComplianceChecklist</w:t>
            </w:r>
          </w:p>
        </w:tc>
        <w:tc>
          <w:tcPr>
            <w:tcW w:type="dxa" w:w="2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New</w:t>
            </w:r>
          </w:p>
        </w:tc>
        <w:tc>
          <w:tcPr>
            <w:tcW w:type="dxa" w:w="49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Requirement list with pass/fail/warning status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StatusPill</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Extend existing Pill</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Adds Excellent / Good / Review / Action Required variants</w:t>
            </w:r>
          </w:p>
        </w:tc>
      </w:tr>
      <w:tr>
        <w:tc>
          <w:tcPr>
            <w:tcW w:type="dxa" w:w="24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FlagTypeDot</w:t>
            </w:r>
          </w:p>
        </w:tc>
        <w:tc>
          <w:tcPr>
            <w:tcW w:type="dxa" w:w="2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New</w:t>
            </w:r>
          </w:p>
        </w:tc>
        <w:tc>
          <w:tcPr>
            <w:tcW w:type="dxa" w:w="49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6px colored dot for flag type in tables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BannerInfo</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Extend existing Banner</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Blue informational banner (CAP requirement message)</w:t>
            </w:r>
          </w:p>
        </w:tc>
      </w:tr>
      <w:tr>
        <w:tc>
          <w:tcPr>
            <w:tcW w:type="dxa" w:w="24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PeriodSelector</w:t>
            </w:r>
          </w:p>
        </w:tc>
        <w:tc>
          <w:tcPr>
            <w:tcW w:type="dxa" w:w="20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New</w:t>
            </w:r>
          </w:p>
        </w:tc>
        <w:tc>
          <w:tcPr>
            <w:tcW w:type="dxa" w:w="49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Time range dropdown in topbar affecting all screen metrics</w:t>
            </w:r>
          </w:p>
        </w:tc>
      </w:tr>
    </w:tbl>
    <w:p>
      <w:pPr>
        <w:pStyle w:val="Heading1"/>
        <w:pBdr>
          <w:bottom w:val="single" w:color="2563EB" w:sz="6" w:space="4"/>
        </w:pBdr>
        <w:spacing w:before="480" w:after="200"/>
      </w:pPr>
      <w:r>
        <w:rPr>
          <w:rFonts w:ascii="Arial" w:cs="Arial" w:eastAsia="Arial" w:hAnsi="Arial"/>
          <w:b/>
          <w:bCs/>
          <w:color w:val="0F1F3D"/>
          <w:sz w:val="36"/>
          <w:szCs w:val="36"/>
        </w:rPr>
        <w:t xml:space="preserve">6. Key Interaction Patterns</w:t>
      </w:r>
    </w:p>
    <w:p>
      <w:pPr>
        <w:pStyle w:val="Heading2"/>
        <w:spacing w:before="360" w:after="160"/>
      </w:pPr>
      <w:r>
        <w:rPr>
          <w:rFonts w:ascii="Arial" w:cs="Arial" w:eastAsia="Arial" w:hAnsi="Arial"/>
          <w:b/>
          <w:bCs/>
          <w:color w:val="2563EB"/>
          <w:sz w:val="26"/>
          <w:szCs w:val="26"/>
        </w:rPr>
        <w:t xml:space="preserve">6.1 Time Period Selector</w:t>
      </w:r>
    </w:p>
    <w:p>
      <w:pPr>
        <w:spacing w:before="80" w:after="80"/>
      </w:pPr>
      <w:r>
        <w:rPr>
          <w:rFonts w:ascii="Arial" w:cs="Arial" w:eastAsia="Arial" w:hAnsi="Arial"/>
          <w:color w:val="0F172A"/>
          <w:sz w:val="20"/>
          <w:szCs w:val="20"/>
        </w:rPr>
        <w:t xml:space="preserve">The period selector (Last 30 / 90 / 180 days / 12 months) in the topbar affects all metrics on the current screen. When changed, the page re-fetches all data without a full reload. KPI deltas always compare the selected period to the immediately preceding period of the same length.</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6.2 Begin Peer Review Flow</w:t>
      </w:r>
    </w:p>
    <w:p>
      <w:pPr>
        <w:spacing w:before="80" w:after="80"/>
      </w:pPr>
      <w:r>
        <w:rPr>
          <w:rFonts w:ascii="Arial" w:cs="Arial" w:eastAsia="Arial" w:hAnsi="Arial"/>
          <w:color w:val="0F172A"/>
          <w:sz w:val="20"/>
          <w:szCs w:val="20"/>
        </w:rPr>
        <w:t xml:space="preserve">When a reviewer clicks "Begin Review" on a peer review card, the system opens the case in PathScribe in a side-by-side review mode: the original synoptic on the left, a review form on the right. The review form captures: Concordance (Major discrepancy / Minor discrepancy / Concordant), Comments, and Submit. This navigates away from the QC Module — a "Return to QC" breadcrumb is shown.</w:t>
      </w:r>
    </w:p>
    <w:p>
      <w:pPr>
        <w:pBdr>
          <w:left w:val="single" w:color="D97706" w:sz="12"/>
        </w:pBdr>
        <w:shd w:fill="FFFBEB" w:val="clear"/>
        <w:spacing w:before="80" w:after="120"/>
        <w:ind w:left="200" w:right="200"/>
      </w:pPr>
      <w:r>
        <w:rPr>
          <w:rFonts w:ascii="Arial" w:cs="Arial" w:eastAsia="Arial" w:hAnsi="Arial"/>
          <w:b/>
          <w:bCs/>
          <w:color w:val="D97706"/>
          <w:sz w:val="18"/>
          <w:szCs w:val="18"/>
        </w:rPr>
        <w:t xml:space="preserve">Note: </w:t>
      </w:r>
      <w:r>
        <w:rPr>
          <w:rFonts w:ascii="Arial" w:cs="Arial" w:eastAsia="Arial" w:hAnsi="Arial"/>
          <w:color w:val="D97706"/>
          <w:sz w:val="18"/>
          <w:szCs w:val="18"/>
        </w:rPr>
        <w:t xml:space="preserve">The peer review form UI and case-side-by-side view is a separate spec — this document covers only the QC Module worklist entry point.</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6.3 Flagging a Case</w:t>
      </w:r>
    </w:p>
    <w:p>
      <w:pPr>
        <w:spacing w:before="80" w:after="80"/>
      </w:pPr>
      <w:r>
        <w:rPr>
          <w:rFonts w:ascii="Arial" w:cs="Arial" w:eastAsia="Arial" w:hAnsi="Arial"/>
          <w:color w:val="0F172A"/>
          <w:sz w:val="20"/>
          <w:szCs w:val="20"/>
        </w:rPr>
        <w:t xml:space="preserve">The "Flag Case" button (QA Reviewer only) opens a modal with: Case ID lookup field, Flag type selector, Notes field (optional), Assign to pathologist option. On submit, the case appears in the Flagged Cases worklist and the pathologist receives an in-app notification.</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6.4 Export</w:t>
      </w:r>
    </w:p>
    <w:p>
      <w:pPr>
        <w:spacing w:before="80" w:after="80"/>
      </w:pPr>
      <w:r>
        <w:rPr>
          <w:rFonts w:ascii="Arial" w:cs="Arial" w:eastAsia="Arial" w:hAnsi="Arial"/>
          <w:color w:val="0F172A"/>
          <w:sz w:val="20"/>
          <w:szCs w:val="20"/>
        </w:rPr>
        <w:t xml:space="preserve">The Export button exports the current view (respecting active filters and time period) as a CSV or PDF. For the Compliance screen, PDF export produces a formatted compliance report suitable for CAP inspection. Export filename format: PathScribe_QC_[ScreenName]_[YYYY-MM-DD].</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6.5 Compliance Requirement Drilldown</w:t>
      </w:r>
    </w:p>
    <w:p>
      <w:pPr>
        <w:spacing w:before="80" w:after="80"/>
      </w:pPr>
      <w:r>
        <w:rPr>
          <w:rFonts w:ascii="Arial" w:cs="Arial" w:eastAsia="Arial" w:hAnsi="Arial"/>
          <w:color w:val="0F172A"/>
          <w:sz w:val="20"/>
          <w:szCs w:val="20"/>
        </w:rPr>
        <w:t xml:space="preserve">Clicking any compliance requirement row (e.g., "Synoptic completeness ≥ 90%") opens a drilldown panel showing: current value, trend over 6 months, list of cases contributing to non-compliance, and a "Generate Report" button for that requirement specifically.</w:t>
      </w:r>
    </w:p>
    <w:p>
      <w:pPr>
        <w:pStyle w:val="Heading1"/>
        <w:pBdr>
          <w:bottom w:val="single" w:color="2563EB" w:sz="6" w:space="4"/>
        </w:pBdr>
        <w:spacing w:before="480" w:after="200"/>
      </w:pPr>
      <w:r>
        <w:rPr>
          <w:rFonts w:ascii="Arial" w:cs="Arial" w:eastAsia="Arial" w:hAnsi="Arial"/>
          <w:b/>
          <w:bCs/>
          <w:color w:val="0F1F3D"/>
          <w:sz w:val="36"/>
          <w:szCs w:val="36"/>
        </w:rPr>
        <w:t xml:space="preserve">7. Empty States &amp; Edge Cases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676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UI Behavior</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No flagged cases</w:t>
            </w:r>
          </w:p>
        </w:tc>
        <w:tc>
          <w:tcPr>
            <w:tcW w:type="dxa" w:w="6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Flagged Cases worklist shows empty state: checkmark icon + "No flagged cases. All cases are on track."</w:t>
            </w:r>
          </w:p>
        </w:tc>
      </w:tr>
      <w:tr>
        <w:tc>
          <w:tcPr>
            <w:tcW w:type="dxa" w:w="26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Peer review queue empty</w:t>
            </w:r>
          </w:p>
        </w:tc>
        <w:tc>
          <w:tcPr>
            <w:tcW w:type="dxa" w:w="67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Worklist shows: "No cases pending review. Next random selection on [date]."</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Pathologist has 0 cases in period</w:t>
            </w:r>
          </w:p>
        </w:tc>
        <w:tc>
          <w:tcPr>
            <w:tcW w:type="dxa" w:w="6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Row still shown in completeness table with "—" for completeness and no status pill</w:t>
            </w:r>
          </w:p>
        </w:tc>
      </w:tr>
      <w:tr>
        <w:tc>
          <w:tcPr>
            <w:tcW w:type="dxa" w:w="26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All metrics green (no alerts)</w:t>
            </w:r>
          </w:p>
        </w:tc>
        <w:tc>
          <w:tcPr>
            <w:tcW w:type="dxa" w:w="67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Dashboard shows a subtle "All systems normal" banner beneath KPI row</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CAP requirement failing (&lt; threshold)</w:t>
            </w:r>
          </w:p>
        </w:tc>
        <w:tc>
          <w:tcPr>
            <w:tcW w:type="dxa" w:w="6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Compliance card ring turns red. Top-level sidebar icon gets a red badge.</w:t>
            </w:r>
          </w:p>
        </w:tc>
      </w:tr>
      <w:tr>
        <w:tc>
          <w:tcPr>
            <w:tcW w:type="dxa" w:w="26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Attending views another pathologist's case by direct URL</w:t>
            </w:r>
          </w:p>
        </w:tc>
        <w:tc>
          <w:tcPr>
            <w:tcW w:type="dxa" w:w="67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Redirect to their own dashboard with an access-denied toast notification</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Report generation times out</w:t>
            </w:r>
          </w:p>
        </w:tc>
        <w:tc>
          <w:tcPr>
            <w:tcW w:type="dxa" w:w="6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"Export failed. Please try again." toast. Option to schedule for background delivery by email.</w:t>
            </w:r>
          </w:p>
        </w:tc>
      </w:tr>
    </w:tbl>
    <w:p>
      <w:pPr>
        <w:pStyle w:val="Heading1"/>
        <w:pBdr>
          <w:bottom w:val="single" w:color="2563EB" w:sz="6" w:space="4"/>
        </w:pBdr>
        <w:spacing w:before="480" w:after="200"/>
      </w:pPr>
      <w:r>
        <w:rPr>
          <w:rFonts w:ascii="Arial" w:cs="Arial" w:eastAsia="Arial" w:hAnsi="Arial"/>
          <w:b/>
          <w:bCs/>
          <w:color w:val="0F1F3D"/>
          <w:sz w:val="36"/>
          <w:szCs w:val="36"/>
        </w:rPr>
        <w:t xml:space="preserve">8. Next Steps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36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1</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Engineering review of this spec</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Validate component list against existing design system. Identify reuse opportunities.</w:t>
            </w:r>
          </w:p>
        </w:tc>
      </w:tr>
      <w:tr>
        <w:tc>
          <w:tcPr>
            <w:tcW w:type="dxa" w:w="1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2</w:t>
            </w:r>
          </w:p>
        </w:tc>
        <w:tc>
          <w:tcPr>
            <w:tcW w:type="dxa" w:w="28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Define QC data queries</w:t>
            </w:r>
          </w:p>
        </w:tc>
        <w:tc>
          <w:tcPr>
            <w:tcW w:type="dxa" w:w="5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Identify which metrics come from existing tables (AuditLog, SynopticReport) vs. need new QC-specific tables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3</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Peer review form spec</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Separate spec needed for the in-case review UI (side-by-side synoptic + review form)</w:t>
            </w:r>
          </w:p>
        </w:tc>
      </w:tr>
      <w:tr>
        <w:tc>
          <w:tcPr>
            <w:tcW w:type="dxa" w:w="1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4</w:t>
            </w:r>
          </w:p>
        </w:tc>
        <w:tc>
          <w:tcPr>
            <w:tcW w:type="dxa" w:w="28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usePermission hook</w:t>
            </w:r>
          </w:p>
        </w:tc>
        <w:tc>
          <w:tcPr>
            <w:tcW w:type="dxa" w:w="5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Required before any role-based UI gating is built. Confirmed as next priority after QC Module.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5</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QC data model addendum</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0F172A"/>
                <w:sz w:val="18"/>
                <w:szCs w:val="18"/>
              </w:rPr>
              <w:t xml:space="preserve">Decide whether QC metrics are purely computed from Synoptic Library tables or need dedicated QC tables (e.g., PeerReview, ComplianceSnapshot)</w:t>
            </w:r>
          </w:p>
        </w:tc>
      </w:tr>
      <w:tr>
        <w:tc>
          <w:tcPr>
            <w:tcW w:type="dxa" w:w="12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6</w:t>
            </w:r>
          </w:p>
        </w:tc>
        <w:tc>
          <w:tcPr>
            <w:tcW w:type="dxa" w:w="280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Notification spec</w:t>
            </w:r>
          </w:p>
        </w:tc>
        <w:tc>
          <w:tcPr>
            <w:tcW w:type="dxa" w:w="5360"/>
            <w:tcBorders>
              <w:top w:val="single" w:color="E2E8F0" w:sz="1"/>
              <w:left w:val="single" w:color="E2E8F0" w:sz="1"/>
              <w:bottom w:val="single" w:color="E2E8F0" w:sz="1"/>
              <w:right w:val="single" w:color="E2E8F0" w:sz="1"/>
            </w:tcBorders>
            <w:shd w:fill="F0F4FB" w:val="clear"/>
            <w:tcMar>
              <w:top w:type="dxa" w:w="60"/>
              <w:left w:type="dxa" w:w="120"/>
              <w:bottom w:type="dxa" w:w="60"/>
              <w:right w:type="dxa" w:w="120"/>
            </w:tcMar>
          </w:tcPr>
          <w:p>
            <w:r>
              <w:rPr>
                <w:rFonts w:ascii="Arial" w:cs="Arial" w:eastAsia="Arial" w:hAnsi="Arial"/>
                <w:b w:val="false"/>
                <w:bCs w:val="false"/>
                <w:color w:val="0F172A"/>
                <w:sz w:val="18"/>
                <w:szCs w:val="18"/>
              </w:rPr>
              <w:t xml:space="preserve">How are pathologists notified of flags and pending peer review? In-app only, or email?</w:t>
            </w:r>
          </w:p>
        </w:tc>
      </w:tr>
    </w:tbl>
    <w:p>
      <w:pPr>
        <w:spacing w:before="60" w:after="60"/>
      </w:pPr>
      <w:r>
        <w:t xml:space="preserve"/>
      </w:r>
    </w:p>
    <w:p>
      <w:pPr>
        <w:spacing w:before="480"/>
        <w:jc w:val="center"/>
      </w:pPr>
      <w:r>
        <w:rPr>
          <w:rFonts w:ascii="Arial" w:cs="Arial" w:eastAsia="Arial" w:hAnsi="Arial"/>
          <w:i/>
          <w:iCs/>
          <w:color w:val="64748B"/>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tabs>
        <w:tab w:val="right" w:pos="9026"/>
      </w:tabs>
      <w:spacing w:before="60"/>
    </w:pPr>
    <w:r>
      <w:rPr>
        <w:rFonts w:ascii="Arial" w:cs="Arial" w:eastAsia="Arial" w:hAnsi="Arial"/>
        <w:color w:val="64748B"/>
        <w:sz w:val="16"/>
        <w:szCs w:val="16"/>
      </w:rPr>
      <w:t xml:space="preserve">Draft — For Engineering Review</w:t>
    </w:r>
    <w:r>
      <w:rPr>
        <w:rFonts w:ascii="Arial" w:cs="Arial" w:eastAsia="Arial" w:hAnsi="Arial"/>
        <w:sz w:val="16"/>
        <w:szCs w:val="16"/>
      </w:rPr>
      <w:t xml:space="preserv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tabs>
        <w:tab w:val="right" w:pos="9026"/>
      </w:tabs>
      <w:spacing w:after="60"/>
    </w:pPr>
    <w:r>
      <w:rPr>
        <w:rFonts w:ascii="Arial" w:cs="Arial" w:eastAsia="Arial" w:hAnsi="Arial"/>
        <w:color w:val="64748B"/>
        <w:sz w:val="16"/>
        <w:szCs w:val="16"/>
      </w:rPr>
      <w:t xml:space="preserve">PathScribe AI — QC Module UI Specification</w:t>
    </w:r>
    <w:r>
      <w:rPr>
        <w:rFonts w:ascii="Arial" w:cs="Arial" w:eastAsia="Arial" w:hAnsi="Arial"/>
        <w:sz w:val="16"/>
        <w:szCs w:val="16"/>
      </w:rPr>
      <w:t xml:space="preserve">	</w:t>
    </w:r>
    <w:r>
      <w:rPr>
        <w:rFonts w:ascii="Arial" w:cs="Arial" w:eastAsia="Arial" w:hAnsi="Arial"/>
        <w:color w:val="64748B"/>
        <w:sz w:val="16"/>
        <w:szCs w:val="16"/>
      </w:rPr>
      <w:t xml:space="preserve">CONFIDENTIAL  |  Engineering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F3D"/>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60" w:after="12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2026-03-05T16:06:39.167Z</dcterms:created>
  <dcterms:modified xsi:type="dcterms:W3CDTF">2026-03-05T16:06:39.168Z</dcterms:modified>
</cp:coreProperties>
</file>

<file path=docProps/custom.xml><?xml version="1.0" encoding="utf-8"?>
<Properties xmlns="http://schemas.openxmlformats.org/officeDocument/2006/custom-properties" xmlns:vt="http://schemas.openxmlformats.org/officeDocument/2006/docPropsVTypes"/>
</file>