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20"/>
      </w:pPr>
      <w:r>
        <w:rPr>
          <w:rFonts w:ascii="Arial" w:cs="Arial" w:eastAsia="Arial" w:hAnsi="Arial"/>
          <w:b/>
          <w:bCs/>
          <w:color w:val="1B3A6B"/>
          <w:sz w:val="56"/>
          <w:szCs w:val="56"/>
        </w:rPr>
        <w:t xml:space="preserve">PathScribe AI</w:t>
      </w:r>
    </w:p>
    <w:p>
      <w:pPr>
        <w:spacing w:before="0" w:after="80"/>
      </w:pPr>
      <w:r>
        <w:rPr>
          <w:rFonts w:ascii="Arial" w:cs="Arial" w:eastAsia="Arial" w:hAnsi="Arial"/>
          <w:color w:val="2E5FA3"/>
          <w:sz w:val="36"/>
          <w:szCs w:val="36"/>
        </w:rPr>
        <w:t xml:space="preserve">Synoptic Library — Data Model Design</w:t>
      </w:r>
    </w:p>
    <w:p>
      <w:pPr>
        <w:spacing w:before="0" w:after="600"/>
      </w:pPr>
      <w:r>
        <w:rPr>
          <w:rFonts w:ascii="Arial" w:cs="Arial" w:eastAsia="Arial" w:hAnsi="Arial"/>
          <w:color w:val="5A6A84"/>
          <w:sz w:val="22"/>
          <w:szCs w:val="22"/>
        </w:rPr>
        <w:t xml:space="preserve">Engineering Design Document  •  v0.1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Document Type</w:t>
            </w:r>
          </w:p>
        </w:tc>
        <w:tc>
          <w:tcPr>
            <w:tcW w:type="dxa" w:w="63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Data Model Design — Engineering Review</w:t>
            </w:r>
          </w:p>
        </w:tc>
      </w:tr>
      <w:tr>
        <w:tc>
          <w:tcPr>
            <w:tcW w:type="dxa" w:w="30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Status</w:t>
            </w:r>
          </w:p>
        </w:tc>
        <w:tc>
          <w:tcPr>
            <w:tcW w:type="dxa" w:w="63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Draft v0.1</w:t>
            </w:r>
          </w:p>
        </w:tc>
      </w:tr>
      <w:tr>
        <w:tc>
          <w:tcPr>
            <w:tcW w:type="dxa" w:w="30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Scope</w:t>
            </w:r>
          </w:p>
        </w:tc>
        <w:tc>
          <w:tcPr>
            <w:tcW w:type="dxa" w:w="63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Synoptic Library — Phase 1 MVP</w:t>
            </w:r>
          </w:p>
        </w:tc>
      </w:tr>
      <w:tr>
        <w:tc>
          <w:tcPr>
            <w:tcW w:type="dxa" w:w="30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Standards Covered</w:t>
            </w:r>
          </w:p>
        </w:tc>
        <w:tc>
          <w:tcPr>
            <w:tcW w:type="dxa" w:w="63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CAP (US), RCPath (UK)</w:t>
            </w:r>
          </w:p>
        </w:tc>
      </w:tr>
      <w:tr>
        <w:tc>
          <w:tcPr>
            <w:tcW w:type="dxa" w:w="30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Author</w:t>
            </w:r>
          </w:p>
        </w:tc>
        <w:tc>
          <w:tcPr>
            <w:tcW w:type="dxa" w:w="63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Engineering &amp; Architecture Teams</w:t>
            </w:r>
          </w:p>
        </w:tc>
      </w:tr>
      <w:tr>
        <w:tc>
          <w:tcPr>
            <w:tcW w:type="dxa" w:w="30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Source Documents</w:t>
            </w:r>
          </w:p>
        </w:tc>
        <w:tc>
          <w:tcPr>
            <w:tcW w:type="dxa" w:w="63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PathScribe AI: Synoptic Generation &amp; Update Engine v1.0; AI CAP Synoptic Requirements Final Draft</w:t>
            </w:r>
          </w:p>
        </w:tc>
      </w:tr>
    </w:tbl>
    <w:p>
      <w:pPr>
        <w:spacing w:before="60" w:after="60"/>
      </w:pPr>
      <w:r>
        <w:t xml:space="preserve"/>
      </w:r>
    </w:p>
    <w:p>
      <w:r>
        <w:br w:type="page"/>
      </w:r>
    </w:p>
    <w:p>
      <w:pPr>
        <w:pStyle w:val="Heading1"/>
        <w:pBdr>
          <w:bottom w:val="single" w:color="2E5FA3" w:sz="6" w:space="4"/>
        </w:pBdr>
        <w:spacing w:before="480" w:after="200"/>
      </w:pPr>
      <w:r>
        <w:rPr>
          <w:rFonts w:ascii="Arial" w:cs="Arial" w:eastAsia="Arial" w:hAnsi="Arial"/>
          <w:b/>
          <w:bCs/>
          <w:color w:val="1B3A6B"/>
          <w:sz w:val="36"/>
          <w:szCs w:val="36"/>
        </w:rPr>
        <w:t xml:space="preserve">1. Purpose &amp; Scope</w:t>
      </w:r>
    </w:p>
    <w:p>
      <w:pPr>
        <w:spacing w:before="80" w:after="80"/>
      </w:pPr>
      <w:r>
        <w:rPr>
          <w:rFonts w:ascii="Arial" w:cs="Arial" w:eastAsia="Arial" w:hAnsi="Arial"/>
          <w:color w:val="1A1A2E"/>
          <w:sz w:val="20"/>
          <w:szCs w:val="20"/>
        </w:rPr>
        <w:t xml:space="preserve">This document defines the complete relational data model for the PathScribe AI Synoptic Library. It covers all entities, fields, relationships, and key design decisions required to support:</w:t>
      </w:r>
    </w:p>
    <w:p>
      <w:pPr>
        <w:pStyle w:val="ListParagraph"/>
        <w:numPr>
          <w:ilvl w:val="0"/>
          <w:numId w:val="2"/>
        </w:numPr>
        <w:spacing w:before="40" w:after="40"/>
      </w:pPr>
      <w:r>
        <w:rPr>
          <w:rFonts w:ascii="Arial" w:cs="Arial" w:eastAsia="Arial" w:hAnsi="Arial"/>
          <w:color w:val="1A1A2E"/>
          <w:sz w:val="20"/>
          <w:szCs w:val="20"/>
        </w:rPr>
        <w:t xml:space="preserve">Two-phase AI-driven synoptic generation (Gross-triggered Phase 1, Microscopic-triggered Phase 2)</w:t>
      </w:r>
    </w:p>
    <w:p>
      <w:pPr>
        <w:pStyle w:val="ListParagraph"/>
        <w:numPr>
          <w:ilvl w:val="0"/>
          <w:numId w:val="2"/>
        </w:numPr>
        <w:spacing w:before="40" w:after="40"/>
      </w:pPr>
      <w:r>
        <w:rPr>
          <w:rFonts w:ascii="Arial" w:cs="Arial" w:eastAsia="Arial" w:hAnsi="Arial"/>
          <w:color w:val="1A1A2E"/>
          <w:sz w:val="20"/>
          <w:szCs w:val="20"/>
        </w:rPr>
        <w:t xml:space="preserve">Multi-standard template support (CAP eCC and RCPath for Phase 1; RCPA and ICCR in Phase 2)</w:t>
      </w:r>
    </w:p>
    <w:p>
      <w:pPr>
        <w:pStyle w:val="ListParagraph"/>
        <w:numPr>
          <w:ilvl w:val="0"/>
          <w:numId w:val="2"/>
        </w:numPr>
        <w:spacing w:before="40" w:after="40"/>
      </w:pPr>
      <w:r>
        <w:rPr>
          <w:rFonts w:ascii="Arial" w:cs="Arial" w:eastAsia="Arial" w:hAnsi="Arial"/>
          <w:color w:val="1A1A2E"/>
          <w:sz w:val="20"/>
          <w:szCs w:val="20"/>
        </w:rPr>
        <w:t xml:space="preserve">Full versioning and immutable audit trail with 7-year retention</w:t>
      </w:r>
    </w:p>
    <w:p>
      <w:pPr>
        <w:pStyle w:val="ListParagraph"/>
        <w:numPr>
          <w:ilvl w:val="0"/>
          <w:numId w:val="2"/>
        </w:numPr>
        <w:spacing w:before="40" w:after="40"/>
      </w:pPr>
      <w:r>
        <w:rPr>
          <w:rFonts w:ascii="Arial" w:cs="Arial" w:eastAsia="Arial" w:hAnsi="Arial"/>
          <w:color w:val="1A1A2E"/>
          <w:sz w:val="20"/>
          <w:szCs w:val="20"/>
        </w:rPr>
        <w:t xml:space="preserve">Per-field AI confidence scoring and provenance tracking</w:t>
      </w:r>
    </w:p>
    <w:p>
      <w:pPr>
        <w:pStyle w:val="ListParagraph"/>
        <w:numPr>
          <w:ilvl w:val="0"/>
          <w:numId w:val="2"/>
        </w:numPr>
        <w:spacing w:before="40" w:after="40"/>
      </w:pPr>
      <w:r>
        <w:rPr>
          <w:rFonts w:ascii="Arial" w:cs="Arial" w:eastAsia="Arial" w:hAnsi="Arial"/>
          <w:color w:val="1A1A2E"/>
          <w:sz w:val="20"/>
          <w:szCs w:val="20"/>
        </w:rPr>
        <w:t xml:space="preserve">Three-tier validation rules (Hard Errors, Warnings, Institution Custom Rules)</w:t>
      </w:r>
    </w:p>
    <w:p>
      <w:pPr>
        <w:pStyle w:val="ListParagraph"/>
        <w:numPr>
          <w:ilvl w:val="0"/>
          <w:numId w:val="2"/>
        </w:numPr>
        <w:spacing w:before="40" w:after="40"/>
      </w:pPr>
      <w:r>
        <w:rPr>
          <w:rFonts w:ascii="Arial" w:cs="Arial" w:eastAsia="Arial" w:hAnsi="Arial"/>
          <w:color w:val="1A1A2E"/>
          <w:sz w:val="20"/>
          <w:szCs w:val="20"/>
        </w:rPr>
        <w:t xml:space="preserve">Frozen section handling and amendment workflows</w:t>
      </w:r>
    </w:p>
    <w:p>
      <w:pPr>
        <w:pStyle w:val="ListParagraph"/>
        <w:numPr>
          <w:ilvl w:val="0"/>
          <w:numId w:val="2"/>
        </w:numPr>
        <w:spacing w:before="40" w:after="40"/>
      </w:pPr>
      <w:r>
        <w:rPr>
          <w:rFonts w:ascii="Arial" w:cs="Arial" w:eastAsia="Arial" w:hAnsi="Arial"/>
          <w:color w:val="1A1A2E"/>
          <w:sz w:val="20"/>
          <w:szCs w:val="20"/>
        </w:rPr>
        <w:t xml:space="preserve">Role-based access and teaching institution approval flows</w:t>
      </w:r>
    </w:p>
    <w:p>
      <w:pPr>
        <w:spacing w:before="60" w:after="60"/>
      </w:pPr>
      <w:r>
        <w:t xml:space="preserve"/>
      </w:r>
    </w:p>
    <w:p>
      <w:pPr>
        <w:pBdr>
          <w:left w:val="single" w:color="8B5E00" w:sz="12"/>
        </w:pBdr>
        <w:shd w:fill="FFF3CD" w:val="clear"/>
        <w:spacing w:before="80" w:after="120"/>
        <w:ind w:left="200" w:right="200"/>
      </w:pPr>
      <w:r>
        <w:rPr>
          <w:rFonts w:ascii="Arial" w:cs="Arial" w:eastAsia="Arial" w:hAnsi="Arial"/>
          <w:b/>
          <w:bCs/>
          <w:color w:val="8B5E00"/>
          <w:sz w:val="18"/>
          <w:szCs w:val="18"/>
        </w:rPr>
        <w:t xml:space="preserve">📌 Note: </w:t>
      </w:r>
      <w:r>
        <w:rPr>
          <w:rFonts w:ascii="Arial" w:cs="Arial" w:eastAsia="Arial" w:hAnsi="Arial"/>
          <w:color w:val="8B5E00"/>
          <w:sz w:val="18"/>
          <w:szCs w:val="18"/>
        </w:rPr>
        <w:t xml:space="preserve">This data model targets Phase 1 MVP scope. Fields and tables marked "Phase 2" are included for forward-compatibility but are not required for MVP implementation.</w:t>
      </w:r>
    </w:p>
    <w:p>
      <w:pPr>
        <w:pStyle w:val="Heading1"/>
        <w:pBdr>
          <w:bottom w:val="single" w:color="2E5FA3" w:sz="6" w:space="4"/>
        </w:pBdr>
        <w:spacing w:before="480" w:after="200"/>
      </w:pPr>
      <w:r>
        <w:rPr>
          <w:rFonts w:ascii="Arial" w:cs="Arial" w:eastAsia="Arial" w:hAnsi="Arial"/>
          <w:b/>
          <w:bCs/>
          <w:color w:val="1B3A6B"/>
          <w:sz w:val="36"/>
          <w:szCs w:val="36"/>
        </w:rPr>
        <w:t xml:space="preserve">2. Design Principles</w:t>
      </w:r>
    </w:p>
    <w:p>
      <w:pPr>
        <w:pStyle w:val="Heading2"/>
        <w:spacing w:before="360" w:after="160"/>
      </w:pPr>
      <w:r>
        <w:rPr>
          <w:rFonts w:ascii="Arial" w:cs="Arial" w:eastAsia="Arial" w:hAnsi="Arial"/>
          <w:b/>
          <w:bCs/>
          <w:color w:val="2E5FA3"/>
          <w:sz w:val="26"/>
          <w:szCs w:val="26"/>
        </w:rPr>
        <w:t xml:space="preserve">2.1 Immutability First</w:t>
      </w:r>
    </w:p>
    <w:p>
      <w:pPr>
        <w:spacing w:before="80" w:after="80"/>
      </w:pPr>
      <w:r>
        <w:rPr>
          <w:rFonts w:ascii="Arial" w:cs="Arial" w:eastAsia="Arial" w:hAnsi="Arial"/>
          <w:color w:val="1A1A2E"/>
          <w:sz w:val="20"/>
          <w:szCs w:val="20"/>
        </w:rPr>
        <w:t xml:space="preserve">All synoptic versions are immutable once created. A new version record is always created instead of overwriting. Audit logs are append-only and cannot be modified or deleted. This is required for CAP, CLIA, and regulatory compliance.</w:t>
      </w:r>
    </w:p>
    <w:p>
      <w:pPr>
        <w:pBdr>
          <w:left w:val="single" w:color="1A6B3A" w:sz="12"/>
        </w:pBdr>
        <w:shd w:fill="D6F0E0" w:val="clear"/>
        <w:spacing w:before="80" w:after="120"/>
        <w:ind w:left="200" w:right="200"/>
      </w:pPr>
      <w:r>
        <w:rPr>
          <w:rFonts w:ascii="Arial" w:cs="Arial" w:eastAsia="Arial" w:hAnsi="Arial"/>
          <w:b/>
          <w:bCs/>
          <w:color w:val="1A6B3A"/>
          <w:sz w:val="18"/>
          <w:szCs w:val="18"/>
        </w:rPr>
        <w:t xml:space="preserve">✅ Design Decision: </w:t>
      </w:r>
      <w:r>
        <w:rPr>
          <w:rFonts w:ascii="Arial" w:cs="Arial" w:eastAsia="Arial" w:hAnsi="Arial"/>
          <w:color w:val="1A6B3A"/>
          <w:sz w:val="18"/>
          <w:szCs w:val="18"/>
        </w:rPr>
        <w:t xml:space="preserve">SynopticVersion rows are never updated after creation. Status changes are tracked by creating a new version or updating the status field on the parent SynopticReport.</w:t>
      </w:r>
    </w:p>
    <w:p>
      <w:pPr>
        <w:pStyle w:val="Heading2"/>
        <w:spacing w:before="360" w:after="160"/>
      </w:pPr>
      <w:r>
        <w:rPr>
          <w:rFonts w:ascii="Arial" w:cs="Arial" w:eastAsia="Arial" w:hAnsi="Arial"/>
          <w:b/>
          <w:bCs/>
          <w:color w:val="2E5FA3"/>
          <w:sz w:val="26"/>
          <w:szCs w:val="26"/>
        </w:rPr>
        <w:t xml:space="preserve">2.2 AI as a First-Class Actor</w:t>
      </w:r>
    </w:p>
    <w:p>
      <w:pPr>
        <w:spacing w:before="80" w:after="80"/>
      </w:pPr>
      <w:r>
        <w:rPr>
          <w:rFonts w:ascii="Arial" w:cs="Arial" w:eastAsia="Arial" w:hAnsi="Arial"/>
          <w:color w:val="1A1A2E"/>
          <w:sz w:val="20"/>
          <w:szCs w:val="20"/>
        </w:rPr>
        <w:t xml:space="preserve">The AI system that selects protocols and populates synoptic fields is modelled as a distinct actor alongside human pathologists. Every field value records its provenance (AI Phase 1, AI Phase 2, Pathologist, System). AI confidence scores are stored at both field-level and version-level.</w:t>
      </w:r>
    </w:p>
    <w:p>
      <w:pPr>
        <w:pBdr>
          <w:left w:val="single" w:color="1A6B3A" w:sz="12"/>
        </w:pBdr>
        <w:shd w:fill="D6F0E0" w:val="clear"/>
        <w:spacing w:before="80" w:after="120"/>
        <w:ind w:left="200" w:right="200"/>
      </w:pPr>
      <w:r>
        <w:rPr>
          <w:rFonts w:ascii="Arial" w:cs="Arial" w:eastAsia="Arial" w:hAnsi="Arial"/>
          <w:b/>
          <w:bCs/>
          <w:color w:val="1A6B3A"/>
          <w:sz w:val="18"/>
          <w:szCs w:val="18"/>
        </w:rPr>
        <w:t xml:space="preserve">✅ Design Decision: </w:t>
      </w:r>
      <w:r>
        <w:rPr>
          <w:rFonts w:ascii="Arial" w:cs="Arial" w:eastAsia="Arial" w:hAnsi="Arial"/>
          <w:color w:val="1A6B3A"/>
          <w:sz w:val="18"/>
          <w:szCs w:val="18"/>
        </w:rPr>
        <w:t xml:space="preserve">SynopticFieldValue stores both the AI-suggested value and the final pathologist value, enabling feedback loops for model retraining.</w:t>
      </w:r>
    </w:p>
    <w:p>
      <w:pPr>
        <w:pStyle w:val="Heading2"/>
        <w:spacing w:before="360" w:after="160"/>
      </w:pPr>
      <w:r>
        <w:rPr>
          <w:rFonts w:ascii="Arial" w:cs="Arial" w:eastAsia="Arial" w:hAnsi="Arial"/>
          <w:b/>
          <w:bCs/>
          <w:color w:val="2E5FA3"/>
          <w:sz w:val="26"/>
          <w:szCs w:val="26"/>
        </w:rPr>
        <w:t xml:space="preserve">2.3 Multi-Standard by Architecture</w:t>
      </w:r>
    </w:p>
    <w:p>
      <w:pPr>
        <w:spacing w:before="80" w:after="80"/>
      </w:pPr>
      <w:r>
        <w:rPr>
          <w:rFonts w:ascii="Arial" w:cs="Arial" w:eastAsia="Arial" w:hAnsi="Arial"/>
          <w:color w:val="1A1A2E"/>
          <w:sz w:val="20"/>
          <w:szCs w:val="20"/>
        </w:rPr>
        <w:t xml:space="preserve">Templates are not duplicated per standard. Instead, each TemplateField carries a standardMapping JSON blob that maps the internal field identity to the label and unit used by each external standard (CAP, RCPath, ICCR). Terminology translation is handled by the TerminologyMapping table.</w:t>
      </w:r>
    </w:p>
    <w:p>
      <w:pPr>
        <w:pBdr>
          <w:left w:val="single" w:color="1A6B3A" w:sz="12"/>
        </w:pBdr>
        <w:shd w:fill="D6F0E0" w:val="clear"/>
        <w:spacing w:before="80" w:after="120"/>
        <w:ind w:left="200" w:right="200"/>
      </w:pPr>
      <w:r>
        <w:rPr>
          <w:rFonts w:ascii="Arial" w:cs="Arial" w:eastAsia="Arial" w:hAnsi="Arial"/>
          <w:b/>
          <w:bCs/>
          <w:color w:val="1A6B3A"/>
          <w:sz w:val="18"/>
          <w:szCs w:val="18"/>
        </w:rPr>
        <w:t xml:space="preserve">✅ Design Decision: </w:t>
      </w:r>
      <w:r>
        <w:rPr>
          <w:rFonts w:ascii="Arial" w:cs="Arial" w:eastAsia="Arial" w:hAnsi="Arial"/>
          <w:color w:val="1A6B3A"/>
          <w:sz w:val="18"/>
          <w:szCs w:val="18"/>
        </w:rPr>
        <w:t xml:space="preserve">A single internal schema supports all standards. The Template Adapter Layer in the application code reads standardMapping at render time.</w:t>
      </w:r>
    </w:p>
    <w:p>
      <w:pPr>
        <w:pStyle w:val="Heading2"/>
        <w:spacing w:before="360" w:after="160"/>
      </w:pPr>
      <w:r>
        <w:rPr>
          <w:rFonts w:ascii="Arial" w:cs="Arial" w:eastAsia="Arial" w:hAnsi="Arial"/>
          <w:b/>
          <w:bCs/>
          <w:color w:val="2E5FA3"/>
          <w:sz w:val="26"/>
          <w:szCs w:val="26"/>
        </w:rPr>
        <w:t xml:space="preserve">2.4 Protocol Lifecycle Versioning</w:t>
      </w:r>
    </w:p>
    <w:p>
      <w:pPr>
        <w:spacing w:before="80" w:after="80"/>
      </w:pPr>
      <w:r>
        <w:rPr>
          <w:rFonts w:ascii="Arial" w:cs="Arial" w:eastAsia="Arial" w:hAnsi="Arial"/>
          <w:color w:val="1A1A2E"/>
          <w:sz w:val="20"/>
          <w:szCs w:val="20"/>
        </w:rPr>
        <w:t xml:space="preserve">CAP and RCPath templates are versioned externally (e.g., BREAST.4.3.0.1). When a new template version is released, a new SynopticTemplate row is created. The superseded_by_id column creates a linked chain. Active cases using older versions are flagged but not auto-migrated.</w:t>
      </w:r>
    </w:p>
    <w:p>
      <w:pPr>
        <w:pBdr>
          <w:left w:val="single" w:color="1A6B3A" w:sz="12"/>
        </w:pBdr>
        <w:shd w:fill="D6F0E0" w:val="clear"/>
        <w:spacing w:before="80" w:after="120"/>
        <w:ind w:left="200" w:right="200"/>
      </w:pPr>
      <w:r>
        <w:rPr>
          <w:rFonts w:ascii="Arial" w:cs="Arial" w:eastAsia="Arial" w:hAnsi="Arial"/>
          <w:b/>
          <w:bCs/>
          <w:color w:val="1A6B3A"/>
          <w:sz w:val="18"/>
          <w:szCs w:val="18"/>
        </w:rPr>
        <w:t xml:space="preserve">✅ Design Decision: </w:t>
      </w:r>
      <w:r>
        <w:rPr>
          <w:rFonts w:ascii="Arial" w:cs="Arial" w:eastAsia="Arial" w:hAnsi="Arial"/>
          <w:color w:val="1A6B3A"/>
          <w:sz w:val="18"/>
          <w:szCs w:val="18"/>
        </w:rPr>
        <w:t xml:space="preserve">Cases are pinned to the template version at time of generation. Pathologist is offered an upgrade path but it is never automatic.</w:t>
      </w:r>
    </w:p>
    <w:p>
      <w:pPr>
        <w:pStyle w:val="Heading2"/>
        <w:spacing w:before="360" w:after="160"/>
      </w:pPr>
      <w:r>
        <w:rPr>
          <w:rFonts w:ascii="Arial" w:cs="Arial" w:eastAsia="Arial" w:hAnsi="Arial"/>
          <w:b/>
          <w:bCs/>
          <w:color w:val="2E5FA3"/>
          <w:sz w:val="26"/>
          <w:szCs w:val="26"/>
        </w:rPr>
        <w:t xml:space="preserve">2.5 Frozen Section Safety</w:t>
      </w:r>
    </w:p>
    <w:p>
      <w:pPr>
        <w:spacing w:before="80" w:after="80"/>
      </w:pPr>
      <w:r>
        <w:rPr>
          <w:rFonts w:ascii="Arial" w:cs="Arial" w:eastAsia="Arial" w:hAnsi="Arial"/>
          <w:color w:val="1A1A2E"/>
          <w:sz w:val="20"/>
          <w:szCs w:val="20"/>
        </w:rPr>
        <w:t xml:space="preserve">Cases with frozen section diagnoses are tracked via flags on the Case entity. The system prevents final synoptic generation until a final diagnosis is present, enforcing a critical patient safety control.</w:t>
      </w:r>
    </w:p>
    <w:p>
      <w:pPr>
        <w:pStyle w:val="Heading1"/>
        <w:pBdr>
          <w:bottom w:val="single" w:color="2E5FA3" w:sz="6" w:space="4"/>
        </w:pBdr>
        <w:spacing w:before="480" w:after="200"/>
      </w:pPr>
      <w:r>
        <w:rPr>
          <w:rFonts w:ascii="Arial" w:cs="Arial" w:eastAsia="Arial" w:hAnsi="Arial"/>
          <w:b/>
          <w:bCs/>
          <w:color w:val="1B3A6B"/>
          <w:sz w:val="36"/>
          <w:szCs w:val="36"/>
        </w:rPr>
        <w:t xml:space="preserve">3. Entity Overview</w:t>
      </w:r>
    </w:p>
    <w:p>
      <w:pPr>
        <w:spacing w:before="80" w:after="80"/>
      </w:pPr>
      <w:r>
        <w:rPr>
          <w:rFonts w:ascii="Arial" w:cs="Arial" w:eastAsia="Arial" w:hAnsi="Arial"/>
          <w:color w:val="1A1A2E"/>
          <w:sz w:val="20"/>
          <w:szCs w:val="20"/>
        </w:rPr>
        <w:t xml:space="preserve">The data model is organized into five logical groups: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Group</w:t>
            </w:r>
          </w:p>
        </w:tc>
        <w:tc>
          <w:tcPr>
            <w:tcW w:type="dxa" w:w="69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Entities</w:t>
            </w:r>
          </w:p>
        </w:tc>
      </w:tr>
      <w:tr>
        <w:tc>
          <w:tcPr>
            <w:tcW w:type="dxa" w:w="24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Institution &amp; Config</w:t>
            </w:r>
          </w:p>
        </w:tc>
        <w:tc>
          <w:tcPr>
            <w:tcW w:type="dxa" w:w="69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Institution, InstitutionLicense, InstitutionCustomRule</w:t>
            </w:r>
          </w:p>
        </w:tc>
      </w:tr>
      <w:tr>
        <w:tc>
          <w:tcPr>
            <w:tcW w:type="dxa" w:w="24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Template Library</w:t>
            </w:r>
          </w:p>
        </w:tc>
        <w:tc>
          <w:tcPr>
            <w:tcW w:type="dxa" w:w="69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SynopticTemplate, TemplateSection, TemplateField, TemplateValidationRule, TerminologyMapping</w:t>
            </w:r>
          </w:p>
        </w:tc>
      </w:tr>
      <w:tr>
        <w:tc>
          <w:tcPr>
            <w:tcW w:type="dxa" w:w="24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Case &amp; Specimen</w:t>
            </w:r>
          </w:p>
        </w:tc>
        <w:tc>
          <w:tcPr>
            <w:tcW w:type="dxa" w:w="69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Case, Specimen, LisEvent</w:t>
            </w:r>
          </w:p>
        </w:tc>
      </w:tr>
      <w:tr>
        <w:tc>
          <w:tcPr>
            <w:tcW w:type="dxa" w:w="24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Synoptic Lifecycle</w:t>
            </w:r>
          </w:p>
        </w:tc>
        <w:tc>
          <w:tcPr>
            <w:tcW w:type="dxa" w:w="69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ProtocolPreselection, SynopticReport, SynopticVersion, SynopticFieldValue, AIConfidenceSnapshot, SynopticApproval</w:t>
            </w:r>
          </w:p>
        </w:tc>
      </w:tr>
      <w:tr>
        <w:tc>
          <w:tcPr>
            <w:tcW w:type="dxa" w:w="24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Audit &amp; Access</w:t>
            </w:r>
          </w:p>
        </w:tc>
        <w:tc>
          <w:tcPr>
            <w:tcW w:type="dxa" w:w="69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AuditLog, User</w:t>
            </w:r>
          </w:p>
        </w:tc>
      </w:tr>
    </w:tbl>
    <w:p>
      <w:pPr>
        <w:pStyle w:val="Heading1"/>
        <w:pBdr>
          <w:bottom w:val="single" w:color="2E5FA3" w:sz="6" w:space="4"/>
        </w:pBdr>
        <w:spacing w:before="480" w:after="200"/>
      </w:pPr>
      <w:r>
        <w:rPr>
          <w:rFonts w:ascii="Arial" w:cs="Arial" w:eastAsia="Arial" w:hAnsi="Arial"/>
          <w:b/>
          <w:bCs/>
          <w:color w:val="1B3A6B"/>
          <w:sz w:val="36"/>
          <w:szCs w:val="36"/>
        </w:rPr>
        <w:t xml:space="preserve">4. Entity Definitions</w:t>
      </w:r>
    </w:p>
    <w:p>
      <w:pPr>
        <w:pStyle w:val="Heading2"/>
        <w:spacing w:before="360" w:after="160"/>
      </w:pPr>
      <w:r>
        <w:rPr>
          <w:rFonts w:ascii="Arial" w:cs="Arial" w:eastAsia="Arial" w:hAnsi="Arial"/>
          <w:b/>
          <w:bCs/>
          <w:color w:val="2E5FA3"/>
          <w:sz w:val="26"/>
          <w:szCs w:val="26"/>
        </w:rPr>
        <w:t xml:space="preserve">4.1 Institution</w:t>
      </w:r>
    </w:p>
    <w:p>
      <w:pPr>
        <w:spacing w:before="80" w:after="80"/>
      </w:pPr>
      <w:r>
        <w:rPr>
          <w:rFonts w:ascii="Arial" w:cs="Arial" w:eastAsia="Arial" w:hAnsi="Arial"/>
          <w:color w:val="1A1A2E"/>
          <w:sz w:val="20"/>
          <w:szCs w:val="20"/>
        </w:rPr>
        <w:t xml:space="preserve">Represents a hospital, pathology group, or lab using PathScribe AI. Stores configuration for AI behavior and reporting standard preferences.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800"/>
        <w:gridCol w:w="800"/>
        <w:gridCol w:w="3760"/>
      </w:tblGrid>
      <w:tr>
        <w:trPr>
          <w:tblHeader/>
        </w:trPr>
        <w:tc>
          <w:tcPr>
            <w:tcW w:type="dxa" w:w="220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80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80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PK</w:t>
            </w:r>
          </w:p>
        </w:tc>
        <w:tc>
          <w:tcPr>
            <w:tcW w:type="dxa" w:w="80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FK</w:t>
            </w:r>
          </w:p>
        </w:tc>
        <w:tc>
          <w:tcPr>
            <w:tcW w:type="dxa" w:w="376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Notes / Description</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id</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Primary key</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name</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VARCHAR(255)</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Institution display name</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country</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VARCHAR(10)</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ISO country code — drives default standard</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primary_standard</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ENUM</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CAP | RCPath | RCPA | ICCR</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secondary_standards</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JSONB</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Array of additional supported standards</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ajcc_edition</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VARCHAR(20)</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e.g. "AJCC 8th" — used for US staging</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tnm_edition</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VARCHAR(20)</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e.g. "UICC 8th" — used for international staging</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ai_phase1_config</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JSONB</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Phase 1 (Gross) AI behavior toggles — auto-generate, confidence threshold, etc.</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ai_phase2_config</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JSONB</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Phase 2 (Microscopic) AI behavior toggles — auto-update, allow protocol changes, require confirmation</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created_at</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TIMESTAMPTZ</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updated_at</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TIMESTAMPTZ</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r>
    </w:tbl>
    <w:p>
      <w:pPr>
        <w:spacing w:before="60" w:after="60"/>
      </w:pPr>
      <w:r>
        <w:t xml:space="preserve"/>
      </w:r>
    </w:p>
    <w:p>
      <w:pPr>
        <w:pBdr>
          <w:left w:val="single" w:color="8B5E00" w:sz="12"/>
        </w:pBdr>
        <w:shd w:fill="FFF3CD" w:val="clear"/>
        <w:spacing w:before="80" w:after="120"/>
        <w:ind w:left="200" w:right="200"/>
      </w:pPr>
      <w:r>
        <w:rPr>
          <w:rFonts w:ascii="Arial" w:cs="Arial" w:eastAsia="Arial" w:hAnsi="Arial"/>
          <w:b/>
          <w:bCs/>
          <w:color w:val="8B5E00"/>
          <w:sz w:val="18"/>
          <w:szCs w:val="18"/>
        </w:rPr>
        <w:t xml:space="preserve">📌 Note: </w:t>
      </w:r>
      <w:r>
        <w:rPr>
          <w:rFonts w:ascii="Arial" w:cs="Arial" w:eastAsia="Arial" w:hAnsi="Arial"/>
          <w:color w:val="8B5E00"/>
          <w:sz w:val="18"/>
          <w:szCs w:val="18"/>
        </w:rPr>
        <w:t xml:space="preserve">ai_phase1_config and ai_phase2_config store the configurable toggles from Section 5 of the design spec. Recommended defaults: auto_update_synoptic = "suggest_only", allow_protocol_changes = true, require_confirmation = true.</w:t>
      </w:r>
    </w:p>
    <w:p>
      <w:pPr>
        <w:spacing w:before="60" w:after="60"/>
      </w:pPr>
      <w:r>
        <w:t xml:space="preserve"/>
      </w:r>
    </w:p>
    <w:p>
      <w:pPr>
        <w:pStyle w:val="Heading2"/>
        <w:spacing w:before="360" w:after="160"/>
      </w:pPr>
      <w:r>
        <w:rPr>
          <w:rFonts w:ascii="Arial" w:cs="Arial" w:eastAsia="Arial" w:hAnsi="Arial"/>
          <w:b/>
          <w:bCs/>
          <w:color w:val="2E5FA3"/>
          <w:sz w:val="26"/>
          <w:szCs w:val="26"/>
        </w:rPr>
        <w:t xml:space="preserve">4.2 InstitutionLicense</w:t>
      </w:r>
    </w:p>
    <w:p>
      <w:pPr>
        <w:spacing w:before="80" w:after="80"/>
      </w:pPr>
      <w:r>
        <w:rPr>
          <w:rFonts w:ascii="Arial" w:cs="Arial" w:eastAsia="Arial" w:hAnsi="Arial"/>
          <w:color w:val="1A1A2E"/>
          <w:sz w:val="20"/>
          <w:szCs w:val="20"/>
        </w:rPr>
        <w:t xml:space="preserve">Tracks which external reporting standards each institution is licensed to use. CAP eCC requires a paid license; RCPath is free for UK institutions.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800"/>
        <w:gridCol w:w="800"/>
        <w:gridCol w:w="3760"/>
      </w:tblGrid>
      <w:tr>
        <w:trPr>
          <w:tblHeader/>
        </w:trPr>
        <w:tc>
          <w:tcPr>
            <w:tcW w:type="dxa" w:w="220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80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80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PK</w:t>
            </w:r>
          </w:p>
        </w:tc>
        <w:tc>
          <w:tcPr>
            <w:tcW w:type="dxa" w:w="80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FK</w:t>
            </w:r>
          </w:p>
        </w:tc>
        <w:tc>
          <w:tcPr>
            <w:tcW w:type="dxa" w:w="376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Notes / Description</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id</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institution_id</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w:t>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FK → Institution</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standard</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ENUM</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CAP | RCPath | RCPA | ICCR</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effective_date</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DATE</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License start date</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expiry_date</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DATE</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License expiry; null = perpetual/no expiry</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is_active</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BOOLEAN</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Computed or manually managed</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created_at</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TIMESTAMPTZ</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r>
    </w:tbl>
    <w:p>
      <w:pPr>
        <w:spacing w:before="60" w:after="60"/>
      </w:pPr>
      <w:r>
        <w:t xml:space="preserve"/>
      </w:r>
    </w:p>
    <w:p>
      <w:pPr>
        <w:pStyle w:val="Heading2"/>
        <w:spacing w:before="360" w:after="160"/>
      </w:pPr>
      <w:r>
        <w:rPr>
          <w:rFonts w:ascii="Arial" w:cs="Arial" w:eastAsia="Arial" w:hAnsi="Arial"/>
          <w:b/>
          <w:bCs/>
          <w:color w:val="2E5FA3"/>
          <w:sz w:val="26"/>
          <w:szCs w:val="26"/>
        </w:rPr>
        <w:t xml:space="preserve">4.3 SynopticTemplate</w:t>
      </w:r>
    </w:p>
    <w:p>
      <w:pPr>
        <w:spacing w:before="80" w:after="80"/>
      </w:pPr>
      <w:r>
        <w:rPr>
          <w:rFonts w:ascii="Arial" w:cs="Arial" w:eastAsia="Arial" w:hAnsi="Arial"/>
          <w:color w:val="1A1A2E"/>
          <w:sz w:val="20"/>
          <w:szCs w:val="20"/>
        </w:rPr>
        <w:t xml:space="preserve">The master template library. Each row represents one version of one protocol from one standard. Templates are created by Lab Admins only and go through a lifecycle from Draft → Active → Deprecated → Retired.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800"/>
        <w:gridCol w:w="800"/>
        <w:gridCol w:w="3760"/>
      </w:tblGrid>
      <w:tr>
        <w:trPr>
          <w:tblHeader/>
        </w:trPr>
        <w:tc>
          <w:tcPr>
            <w:tcW w:type="dxa" w:w="220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80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80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PK</w:t>
            </w:r>
          </w:p>
        </w:tc>
        <w:tc>
          <w:tcPr>
            <w:tcW w:type="dxa" w:w="80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FK</w:t>
            </w:r>
          </w:p>
        </w:tc>
        <w:tc>
          <w:tcPr>
            <w:tcW w:type="dxa" w:w="376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Notes / Description</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id</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template_key</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VARCHAR(100)</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Internal key, e.g. BREAST-INV-001. Stable across versions.</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standard</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ENUM</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CAP | RCPath | RCPA | ICCR</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protocol_id</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VARCHAR(100)</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External protocol ID, e.g. BREAST.4.3.0.1</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version</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VARCHAR(20)</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Protocol version string, e.g. 4.3.0.1</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organ_site</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VARCHAR(100)</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e.g. Breast, Colon, Prostate</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procedure_type</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VARCHAR(100)</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e.g. Excision, Mastectomy, Hemicolectomy</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cancer_type</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VARCHAR(100)</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e.g. Invasive Ductal Carcinoma</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effective_date</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DATE</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Date this version became active</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deprecated_date</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DATE</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Date this version was deprecated; null = still current</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lifecycle_state</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ENUM</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Draft | Active | Deprecated | Retired</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change_log_summary</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TEXT</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Human-readable summary of changes vs previous version</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superseded_by_id</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w:t>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FK → SynopticTemplate (self-referential). Points to newer version.</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created_by_id</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w:t>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FK → User. Must be Lab Admin role.</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created_at</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TIMESTAMPTZ</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updated_at</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TIMESTAMPTZ</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r>
    </w:tbl>
    <w:p>
      <w:pPr>
        <w:spacing w:before="60" w:after="60"/>
      </w:pPr>
      <w:r>
        <w:t xml:space="preserve"/>
      </w:r>
    </w:p>
    <w:p>
      <w:pPr>
        <w:pBdr>
          <w:left w:val="single" w:color="1A6B3A" w:sz="12"/>
        </w:pBdr>
        <w:shd w:fill="D6F0E0" w:val="clear"/>
        <w:spacing w:before="80" w:after="120"/>
        <w:ind w:left="200" w:right="200"/>
      </w:pPr>
      <w:r>
        <w:rPr>
          <w:rFonts w:ascii="Arial" w:cs="Arial" w:eastAsia="Arial" w:hAnsi="Arial"/>
          <w:b/>
          <w:bCs/>
          <w:color w:val="1A6B3A"/>
          <w:sz w:val="18"/>
          <w:szCs w:val="18"/>
        </w:rPr>
        <w:t xml:space="preserve">✅ Design Decision: </w:t>
      </w:r>
      <w:r>
        <w:rPr>
          <w:rFonts w:ascii="Arial" w:cs="Arial" w:eastAsia="Arial" w:hAnsi="Arial"/>
          <w:color w:val="1A6B3A"/>
          <w:sz w:val="18"/>
          <w:szCs w:val="18"/>
        </w:rPr>
        <w:t xml:space="preserve">template_key is the stable identifier across versions. protocol_id + version together uniquely identify an external CAP or RCPath template. The superseded_by_id chain allows the system to trace the full version history of any protocol.</w:t>
      </w:r>
    </w:p>
    <w:p>
      <w:pPr>
        <w:spacing w:before="60" w:after="60"/>
      </w:pPr>
      <w:r>
        <w:t xml:space="preserve"/>
      </w:r>
    </w:p>
    <w:p>
      <w:pPr>
        <w:pStyle w:val="Heading2"/>
        <w:spacing w:before="360" w:after="160"/>
      </w:pPr>
      <w:r>
        <w:rPr>
          <w:rFonts w:ascii="Arial" w:cs="Arial" w:eastAsia="Arial" w:hAnsi="Arial"/>
          <w:b/>
          <w:bCs/>
          <w:color w:val="2E5FA3"/>
          <w:sz w:val="26"/>
          <w:szCs w:val="26"/>
        </w:rPr>
        <w:t xml:space="preserve">4.4 TemplateSection</w:t>
      </w:r>
    </w:p>
    <w:p>
      <w:pPr>
        <w:spacing w:before="80" w:after="80"/>
      </w:pPr>
      <w:r>
        <w:rPr>
          <w:rFonts w:ascii="Arial" w:cs="Arial" w:eastAsia="Arial" w:hAnsi="Arial"/>
          <w:color w:val="1A1A2E"/>
          <w:sz w:val="20"/>
          <w:szCs w:val="20"/>
        </w:rPr>
        <w:t xml:space="preserve">Sections within a template (e.g., Specimen, Diagnosis, Staging, Margins). Used for UI layout and to group related fields.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800"/>
        <w:gridCol w:w="800"/>
        <w:gridCol w:w="3760"/>
      </w:tblGrid>
      <w:tr>
        <w:trPr>
          <w:tblHeader/>
        </w:trPr>
        <w:tc>
          <w:tcPr>
            <w:tcW w:type="dxa" w:w="220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80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80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PK</w:t>
            </w:r>
          </w:p>
        </w:tc>
        <w:tc>
          <w:tcPr>
            <w:tcW w:type="dxa" w:w="80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FK</w:t>
            </w:r>
          </w:p>
        </w:tc>
        <w:tc>
          <w:tcPr>
            <w:tcW w:type="dxa" w:w="376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Notes / Description</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id</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template_id</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w:t>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FK → SynopticTemplate</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section_id</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VARCHAR(20)</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e.g. S1, S2 — stable within template version</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section_name</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VARCHAR(100)</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e.g. Specimen, Diagnosis, Staging</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display_order</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INTEGER</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Controls rendering order</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is_required</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BOOLEAN</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Whether section must have at least one completed field</w:t>
            </w:r>
          </w:p>
        </w:tc>
      </w:tr>
    </w:tbl>
    <w:p>
      <w:pPr>
        <w:spacing w:before="60" w:after="60"/>
      </w:pPr>
      <w:r>
        <w:t xml:space="preserve"/>
      </w:r>
    </w:p>
    <w:p>
      <w:pPr>
        <w:pStyle w:val="Heading2"/>
        <w:spacing w:before="360" w:after="160"/>
      </w:pPr>
      <w:r>
        <w:rPr>
          <w:rFonts w:ascii="Arial" w:cs="Arial" w:eastAsia="Arial" w:hAnsi="Arial"/>
          <w:b/>
          <w:bCs/>
          <w:color w:val="2E5FA3"/>
          <w:sz w:val="26"/>
          <w:szCs w:val="26"/>
        </w:rPr>
        <w:t xml:space="preserve">4.5 TemplateField</w:t>
      </w:r>
    </w:p>
    <w:p>
      <w:pPr>
        <w:spacing w:before="80" w:after="80"/>
      </w:pPr>
      <w:r>
        <w:rPr>
          <w:rFonts w:ascii="Arial" w:cs="Arial" w:eastAsia="Arial" w:hAnsi="Arial"/>
          <w:color w:val="1A1A2E"/>
          <w:sz w:val="20"/>
          <w:szCs w:val="20"/>
        </w:rPr>
        <w:t xml:space="preserve">Individual data elements within a section. This is the most complex entity in the template library — it stores field type, validation rules, allowed values, and multi-standard mappings in a single row.</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800"/>
        <w:gridCol w:w="800"/>
        <w:gridCol w:w="3760"/>
      </w:tblGrid>
      <w:tr>
        <w:trPr>
          <w:tblHeader/>
        </w:trPr>
        <w:tc>
          <w:tcPr>
            <w:tcW w:type="dxa" w:w="220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80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80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PK</w:t>
            </w:r>
          </w:p>
        </w:tc>
        <w:tc>
          <w:tcPr>
            <w:tcW w:type="dxa" w:w="80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FK</w:t>
            </w:r>
          </w:p>
        </w:tc>
        <w:tc>
          <w:tcPr>
            <w:tcW w:type="dxa" w:w="376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Notes / Description</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id</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section_id</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w:t>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FK → TemplateSection</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field_id</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VARCHAR(20)</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e.g. F1.1 — stable within section</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field_name</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VARCHAR(150)</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Internal display name, e.g. "Tumor Size"</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field_type</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ENUM</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text | dropdown | multi_select | numeric | date | boolean | composite</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is_required</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BOOLEAN</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Always required; cannot finalize without value or CBD/NA</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is_conditionally_required</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BOOLEAN</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Required only when condition_logic evaluates true</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condition_logic</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JSONB</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Rule expression evaluated at runtime to determine if field becomes required</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unit</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VARCHAR(20)</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Internal unit, e.g. cm. Converted to standard-specific unit at render time.</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validation_rule</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TEXT</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e.g. "greaterThan:0", "range:0.1,50"</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max_length</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INTEGER</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For text fields; null = unlimited</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allowed_values</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JSONB</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Array of valid values for dropdown/multi_select fields</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standard_mapping</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JSONB</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Object mapping standard → display label, e.g. {"CAP": "Tumor Size (cm)", "RCPath": "Maximum tumour dimension (mm)"}</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unit_conversion</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JSONB</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Object mapping standard → unit, e.g. {"CAP": "cm", "RCPath": "mm"}</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display_order</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INTEGER</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Controls rendering order within section</w:t>
            </w:r>
          </w:p>
        </w:tc>
      </w:tr>
    </w:tbl>
    <w:p>
      <w:pPr>
        <w:spacing w:before="60" w:after="60"/>
      </w:pPr>
      <w:r>
        <w:t xml:space="preserve"/>
      </w:r>
    </w:p>
    <w:p>
      <w:pPr>
        <w:pBdr>
          <w:left w:val="single" w:color="8B5E00" w:sz="12"/>
        </w:pBdr>
        <w:shd w:fill="FFF3CD" w:val="clear"/>
        <w:spacing w:before="80" w:after="120"/>
        <w:ind w:left="200" w:right="200"/>
      </w:pPr>
      <w:r>
        <w:rPr>
          <w:rFonts w:ascii="Arial" w:cs="Arial" w:eastAsia="Arial" w:hAnsi="Arial"/>
          <w:b/>
          <w:bCs/>
          <w:color w:val="8B5E00"/>
          <w:sz w:val="18"/>
          <w:szCs w:val="18"/>
        </w:rPr>
        <w:t xml:space="preserve">📌 Note: </w:t>
      </w:r>
      <w:r>
        <w:rPr>
          <w:rFonts w:ascii="Arial" w:cs="Arial" w:eastAsia="Arial" w:hAnsi="Arial"/>
          <w:color w:val="8B5E00"/>
          <w:sz w:val="18"/>
          <w:szCs w:val="18"/>
        </w:rPr>
        <w:t xml:space="preserve">The standard_mapping and unit_conversion JSONB columns are the core of the Template Adapter Layer. A US institution sees "Tumor Size (cm)" while a UK institution sees "Maximum tumour dimension (mm)" — from the same row.</w:t>
      </w:r>
    </w:p>
    <w:p>
      <w:pPr>
        <w:spacing w:before="60" w:after="60"/>
      </w:pPr>
      <w:r>
        <w:t xml:space="preserve"/>
      </w:r>
    </w:p>
    <w:p>
      <w:pPr>
        <w:pStyle w:val="Heading2"/>
        <w:spacing w:before="360" w:after="160"/>
      </w:pPr>
      <w:r>
        <w:rPr>
          <w:rFonts w:ascii="Arial" w:cs="Arial" w:eastAsia="Arial" w:hAnsi="Arial"/>
          <w:b/>
          <w:bCs/>
          <w:color w:val="2E5FA3"/>
          <w:sz w:val="26"/>
          <w:szCs w:val="26"/>
        </w:rPr>
        <w:t xml:space="preserve">4.6 TemplateValidationRule</w:t>
      </w:r>
    </w:p>
    <w:p>
      <w:pPr>
        <w:spacing w:before="80" w:after="80"/>
      </w:pPr>
      <w:r>
        <w:rPr>
          <w:rFonts w:ascii="Arial" w:cs="Arial" w:eastAsia="Arial" w:hAnsi="Arial"/>
          <w:color w:val="1A1A2E"/>
          <w:sz w:val="20"/>
          <w:szCs w:val="20"/>
        </w:rPr>
        <w:t xml:space="preserve">Stores the three-tier validation rules associated with a template. Tier 1 rules are hard-coded and non-overridable. Tier 2 rules can be acknowledged and overridden. Tier 3 custom rules are configured per-institution.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800"/>
        <w:gridCol w:w="800"/>
        <w:gridCol w:w="3760"/>
      </w:tblGrid>
      <w:tr>
        <w:trPr>
          <w:tblHeader/>
        </w:trPr>
        <w:tc>
          <w:tcPr>
            <w:tcW w:type="dxa" w:w="220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80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80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PK</w:t>
            </w:r>
          </w:p>
        </w:tc>
        <w:tc>
          <w:tcPr>
            <w:tcW w:type="dxa" w:w="80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FK</w:t>
            </w:r>
          </w:p>
        </w:tc>
        <w:tc>
          <w:tcPr>
            <w:tcW w:type="dxa" w:w="376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Notes / Description</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id</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template_id</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w:t>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FK → SynopticTemplate</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rule_id</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VARCHAR(50)</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Stable rule identifier, e.g. TSTAGE_SIZE</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tier</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ENUM</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1_hard_error | 2_warning | 3_custom</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name</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VARCHAR(150)</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Human-readable rule name</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condition_logic</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TEXT</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Rule expression, e.g. "IF tumor_size &gt; 2.0 AND pT_stage = pT1"</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action</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ENUM</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block | warn | notify | flag</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message</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TEXT</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Message displayed to pathologist when rule fires</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source</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VARCHAR(100)</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e.g. CAP protocol, clinical_logic, institutional</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rationale</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TEXT</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Explanation of why this rule exists</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is_enabled</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BOOLEAN</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Tier 3 only: institution can disable</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override_count</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INTEGER</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Tracks how often pathologists override warnings — quality metric</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created_at</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TIMESTAMPTZ</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updated_at</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TIMESTAMPTZ</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r>
    </w:tbl>
    <w:p>
      <w:pPr>
        <w:spacing w:before="60" w:after="60"/>
      </w:pPr>
      <w:r>
        <w:t xml:space="preserve"/>
      </w:r>
    </w:p>
    <w:p>
      <w:pPr>
        <w:pStyle w:val="Heading2"/>
        <w:spacing w:before="360" w:after="160"/>
      </w:pPr>
      <w:r>
        <w:rPr>
          <w:rFonts w:ascii="Arial" w:cs="Arial" w:eastAsia="Arial" w:hAnsi="Arial"/>
          <w:b/>
          <w:bCs/>
          <w:color w:val="2E5FA3"/>
          <w:sz w:val="26"/>
          <w:szCs w:val="26"/>
        </w:rPr>
        <w:t xml:space="preserve">4.7 Case</w:t>
      </w:r>
    </w:p>
    <w:p>
      <w:pPr>
        <w:spacing w:before="80" w:after="80"/>
      </w:pPr>
      <w:r>
        <w:rPr>
          <w:rFonts w:ascii="Arial" w:cs="Arial" w:eastAsia="Arial" w:hAnsi="Arial"/>
          <w:color w:val="1A1A2E"/>
          <w:sz w:val="20"/>
          <w:szCs w:val="20"/>
        </w:rPr>
        <w:t xml:space="preserve">Represents a single pathology specimen case, identified by accession number. PHI fields (MRN, patient name, DOB) are encrypted at rest. Frozen section state is tracked here, as it affects synoptic generation eligibility across the entire case.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800"/>
        <w:gridCol w:w="800"/>
        <w:gridCol w:w="3760"/>
      </w:tblGrid>
      <w:tr>
        <w:trPr>
          <w:tblHeader/>
        </w:trPr>
        <w:tc>
          <w:tcPr>
            <w:tcW w:type="dxa" w:w="220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80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80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PK</w:t>
            </w:r>
          </w:p>
        </w:tc>
        <w:tc>
          <w:tcPr>
            <w:tcW w:type="dxa" w:w="80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FK</w:t>
            </w:r>
          </w:p>
        </w:tc>
        <w:tc>
          <w:tcPr>
            <w:tcW w:type="dxa" w:w="376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Notes / Description</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id</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institution_id</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w:t>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FK → Institution</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accession_number</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VARCHAR(50)</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Unique case identifier from LIS. Indexed.</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mrn</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VARCHAR(50)</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PHI — encrypted at rest. Patient medical record number.</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patient_name</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VARCHAR(255)</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PHI — encrypted at rest.</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dob</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DATE</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PHI — encrypted at rest.</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case_status</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ENUM</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In Progress | Signed Out | Amended</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has_frozen_section</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BOOLEAN</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Set to true when LIS sends a frozen section diagnosis. Disables final synoptic generation until has_final_diagnosis = true.</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frozen_section_diagnosis</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TEXT</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Frozen section diagnosis text for documentation fields in synoptic</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has_final_diagnosis</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BOOLEAN</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True when final diagnosis on permanent sections is entered. Re-enables synoptic generation.</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frozen_section_at</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TIMESTAMPTZ</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Timestamp of frozen section diagnosis entry</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final_diagnosis_at</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TIMESTAMPTZ</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Timestamp of final diagnosis entry</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accessioned_at</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TIMESTAMPTZ</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When case was accessioned in LIS</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grossed_at</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TIMESTAMPTZ</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When gross description was completed</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signed_out_at</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TIMESTAMPTZ</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When case was signed out</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signout_pathologist_id</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w:t>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FK → User</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created_at</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TIMESTAMPTZ</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updated_at</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TIMESTAMPTZ</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r>
    </w:tbl>
    <w:p>
      <w:pPr>
        <w:spacing w:before="60" w:after="60"/>
      </w:pPr>
      <w:r>
        <w:t xml:space="preserve"/>
      </w:r>
    </w:p>
    <w:p>
      <w:pPr>
        <w:pStyle w:val="Heading2"/>
        <w:spacing w:before="360" w:after="160"/>
      </w:pPr>
      <w:r>
        <w:rPr>
          <w:rFonts w:ascii="Arial" w:cs="Arial" w:eastAsia="Arial" w:hAnsi="Arial"/>
          <w:b/>
          <w:bCs/>
          <w:color w:val="2E5FA3"/>
          <w:sz w:val="26"/>
          <w:szCs w:val="26"/>
        </w:rPr>
        <w:t xml:space="preserve">4.8 Specimen</w:t>
      </w:r>
    </w:p>
    <w:p>
      <w:pPr>
        <w:spacing w:before="80" w:after="80"/>
      </w:pPr>
      <w:r>
        <w:rPr>
          <w:rFonts w:ascii="Arial" w:cs="Arial" w:eastAsia="Arial" w:hAnsi="Arial"/>
          <w:color w:val="1A1A2E"/>
          <w:sz w:val="20"/>
          <w:szCs w:val="20"/>
        </w:rPr>
        <w:t xml:space="preserve">A case may have one or more specimens (e.g., Part A: Right breast, Part B: sentinel lymph node). Each specimen can have its own synoptic report and protocol selection. This is the "one per block/specimen" relationship confirmed in requirements.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800"/>
        <w:gridCol w:w="800"/>
        <w:gridCol w:w="3760"/>
      </w:tblGrid>
      <w:tr>
        <w:trPr>
          <w:tblHeader/>
        </w:trPr>
        <w:tc>
          <w:tcPr>
            <w:tcW w:type="dxa" w:w="220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80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80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PK</w:t>
            </w:r>
          </w:p>
        </w:tc>
        <w:tc>
          <w:tcPr>
            <w:tcW w:type="dxa" w:w="80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FK</w:t>
            </w:r>
          </w:p>
        </w:tc>
        <w:tc>
          <w:tcPr>
            <w:tcW w:type="dxa" w:w="376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Notes / Description</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id</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case_id</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w:t>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FK → Case</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specimen_label</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VARCHAR(50)</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e.g. Part A, Part B</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specimen_type</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VARCHAR(255)</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Full LIS description, e.g. "Breast, left, partial mastectomy"</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organ_site</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VARCHAR(100)</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Normalized organ/site for protocol matching</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procedure_type</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VARCHAR(100)</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e.g. Lumpectomy, Hemicolectomy</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cpt_code</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VARCHAR(20)</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CPT procedure code from LIS — used for protocol pre-selection</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clinical_history</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TEXT</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Clinical indication/history from LIS requisition — critical for AI protocol pre-selection</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ordering_physician</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VARCHAR(255)</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Helps disambiguate protocol selection</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ordering_specialty</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VARCHAR(100)</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e.g. Surgical Oncology — helps AI pre-selection</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display_order</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INTEGER</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Order of specimens within case</w:t>
            </w:r>
          </w:p>
        </w:tc>
      </w:tr>
    </w:tbl>
    <w:p>
      <w:pPr>
        <w:spacing w:before="60" w:after="60"/>
      </w:pPr>
      <w:r>
        <w:t xml:space="preserve"/>
      </w:r>
    </w:p>
    <w:p>
      <w:pPr>
        <w:pStyle w:val="Heading2"/>
        <w:spacing w:before="360" w:after="160"/>
      </w:pPr>
      <w:r>
        <w:rPr>
          <w:rFonts w:ascii="Arial" w:cs="Arial" w:eastAsia="Arial" w:hAnsi="Arial"/>
          <w:b/>
          <w:bCs/>
          <w:color w:val="2E5FA3"/>
          <w:sz w:val="26"/>
          <w:szCs w:val="26"/>
        </w:rPr>
        <w:t xml:space="preserve">4.9 LisEvent</w:t>
      </w:r>
    </w:p>
    <w:p>
      <w:pPr>
        <w:spacing w:before="80" w:after="80"/>
      </w:pPr>
      <w:r>
        <w:rPr>
          <w:rFonts w:ascii="Arial" w:cs="Arial" w:eastAsia="Arial" w:hAnsi="Arial"/>
          <w:color w:val="1A1A2E"/>
          <w:sz w:val="20"/>
          <w:szCs w:val="20"/>
        </w:rPr>
        <w:t xml:space="preserve">A raw event received from the LIS via HL7 or FHIR. Used as the trigger record for Phase 1 and Phase 2 AI runs. The full payload is stored for reproducibility and audit purposes.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800"/>
        <w:gridCol w:w="800"/>
        <w:gridCol w:w="3760"/>
      </w:tblGrid>
      <w:tr>
        <w:trPr>
          <w:tblHeader/>
        </w:trPr>
        <w:tc>
          <w:tcPr>
            <w:tcW w:type="dxa" w:w="220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80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80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PK</w:t>
            </w:r>
          </w:p>
        </w:tc>
        <w:tc>
          <w:tcPr>
            <w:tcW w:type="dxa" w:w="80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FK</w:t>
            </w:r>
          </w:p>
        </w:tc>
        <w:tc>
          <w:tcPr>
            <w:tcW w:type="dxa" w:w="376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Notes / Description</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id</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case_id</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w:t>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FK → Case</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event_type</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ENUM</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accessioned | gross_completed | micro_updated | signed_out | amended</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hl7_message_type</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VARCHAR(20)</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e.g. ORU^R01, ADT, ORM</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payload</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JSONB</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Full structured event payload stored for audit and reprocessing</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received_at</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TIMESTAMPTZ</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When PathScribe received the event</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processed</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BOOLEAN</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Whether AI has processed this event</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processed_at</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TIMESTAMPTZ</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r>
    </w:tbl>
    <w:p>
      <w:pPr>
        <w:spacing w:before="60" w:after="60"/>
      </w:pPr>
      <w:r>
        <w:t xml:space="preserve"/>
      </w:r>
    </w:p>
    <w:p>
      <w:pPr>
        <w:pStyle w:val="Heading2"/>
        <w:spacing w:before="360" w:after="160"/>
      </w:pPr>
      <w:r>
        <w:rPr>
          <w:rFonts w:ascii="Arial" w:cs="Arial" w:eastAsia="Arial" w:hAnsi="Arial"/>
          <w:b/>
          <w:bCs/>
          <w:color w:val="2E5FA3"/>
          <w:sz w:val="26"/>
          <w:szCs w:val="26"/>
        </w:rPr>
        <w:t xml:space="preserve">4.10 ProtocolPreselection</w:t>
      </w:r>
    </w:p>
    <w:p>
      <w:pPr>
        <w:spacing w:before="80" w:after="80"/>
      </w:pPr>
      <w:r>
        <w:rPr>
          <w:rFonts w:ascii="Arial" w:cs="Arial" w:eastAsia="Arial" w:hAnsi="Arial"/>
          <w:color w:val="1A1A2E"/>
          <w:sz w:val="20"/>
          <w:szCs w:val="20"/>
        </w:rPr>
        <w:t xml:space="preserve">Stores the AI's protocol prediction for a specimen before the pathologist clicks "Generate Synoptic." Created at case accessioning and refined as gross/microscopic text arrives. This is what enables instant template loading when confidence ≥ 0.85.</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800"/>
        <w:gridCol w:w="800"/>
        <w:gridCol w:w="3760"/>
      </w:tblGrid>
      <w:tr>
        <w:trPr>
          <w:tblHeader/>
        </w:trPr>
        <w:tc>
          <w:tcPr>
            <w:tcW w:type="dxa" w:w="220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80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80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PK</w:t>
            </w:r>
          </w:p>
        </w:tc>
        <w:tc>
          <w:tcPr>
            <w:tcW w:type="dxa" w:w="80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FK</w:t>
            </w:r>
          </w:p>
        </w:tc>
        <w:tc>
          <w:tcPr>
            <w:tcW w:type="dxa" w:w="376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Notes / Description</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id</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case_id</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w:t>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FK → Case</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specimen_id</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w:t>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FK → Specimen</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suggested_template_id</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w:t>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FK → SynopticTemplate — AI's primary suggestion</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confidence_score</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FLOAT</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0.0–1.0. ≥ 0.85 = auto-select. 0.70–0.84 = suggest with alternatives. &lt; 0.70 = present top 3.</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reasoning</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TEXT</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Human-readable reasoning shown to pathologist for transparency, e.g. "Based on specimen type: Colon + Clinical Hx: Adenocarcinoma"</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alternate_template_ids</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JSONB</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Array of alternate template UUIDs with confidence scores</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data_sources_used</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JSONB</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Array of data sources used, e.g. ["specimenType", "clinicalHistory", "cptCode"]</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trigger_phase</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ENUM</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accessioning | gross | micro — which LIS event triggered this prediction</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confirmed_by_user</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BOOLEAN</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True when pathologist accepted the suggested protocol</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changed_by_user</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BOOLEAN</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True when pathologist overrode with a different protocol — tracked as a quality metric</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final_template_id</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w:t>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FK → SynopticTemplate — the protocol actually used</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created_at</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TIMESTAMPTZ</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r>
    </w:tbl>
    <w:p>
      <w:pPr>
        <w:spacing w:before="60" w:after="60"/>
      </w:pPr>
      <w:r>
        <w:t xml:space="preserve"/>
      </w:r>
    </w:p>
    <w:p>
      <w:pPr>
        <w:pStyle w:val="Heading2"/>
        <w:spacing w:before="360" w:after="160"/>
      </w:pPr>
      <w:r>
        <w:rPr>
          <w:rFonts w:ascii="Arial" w:cs="Arial" w:eastAsia="Arial" w:hAnsi="Arial"/>
          <w:b/>
          <w:bCs/>
          <w:color w:val="2E5FA3"/>
          <w:sz w:val="26"/>
          <w:szCs w:val="26"/>
        </w:rPr>
        <w:t xml:space="preserve">4.11 SynopticReport</w:t>
      </w:r>
    </w:p>
    <w:p>
      <w:pPr>
        <w:spacing w:before="80" w:after="80"/>
      </w:pPr>
      <w:r>
        <w:rPr>
          <w:rFonts w:ascii="Arial" w:cs="Arial" w:eastAsia="Arial" w:hAnsi="Arial"/>
          <w:color w:val="1A1A2E"/>
          <w:sz w:val="20"/>
          <w:szCs w:val="20"/>
        </w:rPr>
        <w:t xml:space="preserve">The top-level synoptic record for a specimen. There is one SynopticReport per specimen per case. It holds the current status and a pointer to the active version. All history lives in SynopticVersion rows.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800"/>
        <w:gridCol w:w="800"/>
        <w:gridCol w:w="3760"/>
      </w:tblGrid>
      <w:tr>
        <w:trPr>
          <w:tblHeader/>
        </w:trPr>
        <w:tc>
          <w:tcPr>
            <w:tcW w:type="dxa" w:w="220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80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80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PK</w:t>
            </w:r>
          </w:p>
        </w:tc>
        <w:tc>
          <w:tcPr>
            <w:tcW w:type="dxa" w:w="80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FK</w:t>
            </w:r>
          </w:p>
        </w:tc>
        <w:tc>
          <w:tcPr>
            <w:tcW w:type="dxa" w:w="376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Notes / Description</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id</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case_id</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w:t>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FK → Case</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specimen_id</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w:t>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FK → Specimen</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active_version_id</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w:t>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FK → SynopticVersion. The current active version displayed to the pathologist.</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status</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ENUM</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Draft | Under Review | Approved | Finalized | Amended | Archived</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is_preliminary</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BOOLEAN</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True if generated from frozen section diagnosis. Watermarked "PRELIMINARY" in UI.</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synoptic_based_on</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ENUM</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frozen | final | both — tracks the basis of diagnosis used</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created_by_id</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w:t>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FK → User — who triggered initial generation</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created_at</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TIMESTAMPTZ</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finalized_at</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TIMESTAMPTZ</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When status moved to Finalized</w:t>
            </w:r>
          </w:p>
        </w:tc>
      </w:tr>
    </w:tbl>
    <w:p>
      <w:pPr>
        <w:spacing w:before="60" w:after="60"/>
      </w:pPr>
      <w:r>
        <w:t xml:space="preserve"/>
      </w:r>
    </w:p>
    <w:p>
      <w:pPr>
        <w:pStyle w:val="Heading2"/>
        <w:spacing w:before="360" w:after="160"/>
      </w:pPr>
      <w:r>
        <w:rPr>
          <w:rFonts w:ascii="Arial" w:cs="Arial" w:eastAsia="Arial" w:hAnsi="Arial"/>
          <w:b/>
          <w:bCs/>
          <w:color w:val="2E5FA3"/>
          <w:sz w:val="26"/>
          <w:szCs w:val="26"/>
        </w:rPr>
        <w:t xml:space="preserve">4.12 SynopticVersion</w:t>
      </w:r>
    </w:p>
    <w:p>
      <w:pPr>
        <w:spacing w:before="80" w:after="80"/>
      </w:pPr>
      <w:r>
        <w:rPr>
          <w:rFonts w:ascii="Arial" w:cs="Arial" w:eastAsia="Arial" w:hAnsi="Arial"/>
          <w:color w:val="1A1A2E"/>
          <w:sz w:val="20"/>
          <w:szCs w:val="20"/>
        </w:rPr>
        <w:t xml:space="preserve">An immutable snapshot of a synoptic at a point in time. A new version is created on: initial generation, any field edit, regeneration, template upgrade, or amendment. Only one version is "Active" at a time per report.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800"/>
        <w:gridCol w:w="800"/>
        <w:gridCol w:w="3760"/>
      </w:tblGrid>
      <w:tr>
        <w:trPr>
          <w:tblHeader/>
        </w:trPr>
        <w:tc>
          <w:tcPr>
            <w:tcW w:type="dxa" w:w="220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80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80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PK</w:t>
            </w:r>
          </w:p>
        </w:tc>
        <w:tc>
          <w:tcPr>
            <w:tcW w:type="dxa" w:w="80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FK</w:t>
            </w:r>
          </w:p>
        </w:tc>
        <w:tc>
          <w:tcPr>
            <w:tcW w:type="dxa" w:w="376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Notes / Description</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id</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synoptic_report_id</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w:t>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FK → SynopticReport</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template_id</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w:t>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FK → SynopticTemplate — snapshot of which template version was used</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version_number</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INTEGER</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Sequential integer: 1, 2, 3...</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version_label</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VARCHAR(50)</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Human-readable, e.g. v1-Manual, v2-AIUpdate, v3-Amendment</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generator</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ENUM</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AI_Phase1 | AI_Phase2 | Manual | Amendment — who/what created this version</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trigger_type</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ENUM</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Gross | Microscopic | User | Amendment — what event triggered this version</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status</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ENUM</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Draft | Active | Superseded | Archived</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overall_confidence</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FLOAT</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Weighted confidence score 0.0–1.0 across all AI-populated fields</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gross_lis_event_id</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w:t>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FK → LisEvent. The gross event that triggered Phase 1 AI.</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micro_lis_event_id</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w:t>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FK → LisEvent. The microscopic event that triggered Phase 2 AI.</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template_version_used</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VARCHAR(20)</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Denormalized snapshot of protocol version at time of generation, e.g. 4.3.0.1</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created_by_id</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w:t>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FK → User (null if generated by system/AI)</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created_at</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TIMESTAMPTZ</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Immutable — never updated</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is_locked</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BOOLEAN</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True after case sign-out. Prevents further edits. A new version must be created for amendments.</w:t>
            </w:r>
          </w:p>
        </w:tc>
      </w:tr>
    </w:tbl>
    <w:p>
      <w:pPr>
        <w:spacing w:before="60" w:after="60"/>
      </w:pPr>
      <w:r>
        <w:t xml:space="preserve"/>
      </w:r>
    </w:p>
    <w:p>
      <w:pPr>
        <w:pBdr>
          <w:left w:val="single" w:color="1A6B3A" w:sz="12"/>
        </w:pBdr>
        <w:shd w:fill="D6F0E0" w:val="clear"/>
        <w:spacing w:before="80" w:after="120"/>
        <w:ind w:left="200" w:right="200"/>
      </w:pPr>
      <w:r>
        <w:rPr>
          <w:rFonts w:ascii="Arial" w:cs="Arial" w:eastAsia="Arial" w:hAnsi="Arial"/>
          <w:b/>
          <w:bCs/>
          <w:color w:val="1A6B3A"/>
          <w:sz w:val="18"/>
          <w:szCs w:val="18"/>
        </w:rPr>
        <w:t xml:space="preserve">✅ Design Decision: </w:t>
      </w:r>
      <w:r>
        <w:rPr>
          <w:rFonts w:ascii="Arial" w:cs="Arial" w:eastAsia="Arial" w:hAnsi="Arial"/>
          <w:color w:val="1A6B3A"/>
          <w:sz w:val="18"/>
          <w:szCs w:val="18"/>
        </w:rPr>
        <w:t xml:space="preserve">Version naming follows the pattern from the spec: v1-Manual, v2+ for any subsequent changes. The version_label is display-only; version_number is the stable sort key. All versions are retained indefinitely (7-year minimum).</w:t>
      </w:r>
    </w:p>
    <w:p>
      <w:pPr>
        <w:spacing w:before="60" w:after="60"/>
      </w:pPr>
      <w:r>
        <w:t xml:space="preserve"/>
      </w:r>
    </w:p>
    <w:p>
      <w:pPr>
        <w:pStyle w:val="Heading2"/>
        <w:spacing w:before="360" w:after="160"/>
      </w:pPr>
      <w:r>
        <w:rPr>
          <w:rFonts w:ascii="Arial" w:cs="Arial" w:eastAsia="Arial" w:hAnsi="Arial"/>
          <w:b/>
          <w:bCs/>
          <w:color w:val="2E5FA3"/>
          <w:sz w:val="26"/>
          <w:szCs w:val="26"/>
        </w:rPr>
        <w:t xml:space="preserve">4.13 SynopticFieldValue</w:t>
      </w:r>
    </w:p>
    <w:p>
      <w:pPr>
        <w:spacing w:before="80" w:after="80"/>
      </w:pPr>
      <w:r>
        <w:rPr>
          <w:rFonts w:ascii="Arial" w:cs="Arial" w:eastAsia="Arial" w:hAnsi="Arial"/>
          <w:color w:val="1A1A2E"/>
          <w:sz w:val="20"/>
          <w:szCs w:val="20"/>
        </w:rPr>
        <w:t xml:space="preserve">Stores the value for each field in a synoptic version. This is the central provenance record — it captures both the AI-suggested value and the pathologist's final value, enabling full auditability and model feedback loops.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800"/>
        <w:gridCol w:w="800"/>
        <w:gridCol w:w="3760"/>
      </w:tblGrid>
      <w:tr>
        <w:trPr>
          <w:tblHeader/>
        </w:trPr>
        <w:tc>
          <w:tcPr>
            <w:tcW w:type="dxa" w:w="220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80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80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PK</w:t>
            </w:r>
          </w:p>
        </w:tc>
        <w:tc>
          <w:tcPr>
            <w:tcW w:type="dxa" w:w="80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FK</w:t>
            </w:r>
          </w:p>
        </w:tc>
        <w:tc>
          <w:tcPr>
            <w:tcW w:type="dxa" w:w="376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Notes / Description</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id</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synoptic_version_id</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w:t>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FK → SynopticVersion</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template_field_id</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w:t>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FK → TemplateField</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field_id</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VARCHAR(20)</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Denormalized from TemplateField for query convenience</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value</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TEXT</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Final stored value (post any pathologist edits)</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value_display</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TEXT</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Standard-specific display label, e.g. "Not identified" (CAP) vs "Not assessable" (RCPath) for same concept</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provenance</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ENUM</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AI_Phase1 | AI_Phase2 | Pathologist | System — who set the final value</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ai_confidence</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FLOAT</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0.0–1.0. Null if not AI-populated. Calculated using 6-factor methodology from spec.</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ai_source_text</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TEXT</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Excerpt from gross/micro text that the AI used to extract this value — shown to pathologist for transparency</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ai_reasoning</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TEXT</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AI explanation for why this value was selected</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pathologist_confirmed</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BOOLEAN</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True if pathologist explicitly accepted the AI value without change</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pathologist_overridden</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BOOLEAN</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True if pathologist changed the AI value</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original_ai_value</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TEXT</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The AI's original suggestion before pathologist override. Preserved for retraining.</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conflict_flag</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ENUM</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null | minor | moderate | major — set when AI detects contradiction between gross and micro data</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special_value</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ENUM</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null | CBD (Cannot Be Determined) | NA (Not Applicable) | blank — allows required fields to be marked as completed without data entry</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confirmed_at</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TIMESTAMPTZ</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When pathologist confirmed or overrode this field</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confirmed_by_id</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w:t>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FK → User</w:t>
            </w:r>
          </w:p>
        </w:tc>
      </w:tr>
    </w:tbl>
    <w:p>
      <w:pPr>
        <w:spacing w:before="60" w:after="60"/>
      </w:pPr>
      <w:r>
        <w:t xml:space="preserve"/>
      </w:r>
    </w:p>
    <w:p>
      <w:pPr>
        <w:pBdr>
          <w:left w:val="single" w:color="8B5E00" w:sz="12"/>
        </w:pBdr>
        <w:shd w:fill="FFF3CD" w:val="clear"/>
        <w:spacing w:before="80" w:after="120"/>
        <w:ind w:left="200" w:right="200"/>
      </w:pPr>
      <w:r>
        <w:rPr>
          <w:rFonts w:ascii="Arial" w:cs="Arial" w:eastAsia="Arial" w:hAnsi="Arial"/>
          <w:b/>
          <w:bCs/>
          <w:color w:val="8B5E00"/>
          <w:sz w:val="18"/>
          <w:szCs w:val="18"/>
        </w:rPr>
        <w:t xml:space="preserve">📌 Note: </w:t>
      </w:r>
      <w:r>
        <w:rPr>
          <w:rFonts w:ascii="Arial" w:cs="Arial" w:eastAsia="Arial" w:hAnsi="Arial"/>
          <w:color w:val="8B5E00"/>
          <w:sz w:val="18"/>
          <w:szCs w:val="18"/>
        </w:rPr>
        <w:t xml:space="preserve">The 6-factor confidence score methodology (model probability, text quality, extraction clarity, cross-validation, conflict detection, historical performance) is computed by the AI service and stored in ai_confidence. PathScribe stores the result, not the calculation.</w:t>
      </w:r>
    </w:p>
    <w:p>
      <w:pPr>
        <w:spacing w:before="60" w:after="60"/>
      </w:pPr>
      <w:r>
        <w:t xml:space="preserve"/>
      </w:r>
    </w:p>
    <w:p>
      <w:pPr>
        <w:pStyle w:val="Heading2"/>
        <w:spacing w:before="360" w:after="160"/>
      </w:pPr>
      <w:r>
        <w:rPr>
          <w:rFonts w:ascii="Arial" w:cs="Arial" w:eastAsia="Arial" w:hAnsi="Arial"/>
          <w:b/>
          <w:bCs/>
          <w:color w:val="2E5FA3"/>
          <w:sz w:val="26"/>
          <w:szCs w:val="26"/>
        </w:rPr>
        <w:t xml:space="preserve">4.14 AIConfidenceSnapshot</w:t>
      </w:r>
    </w:p>
    <w:p>
      <w:pPr>
        <w:spacing w:before="80" w:after="80"/>
      </w:pPr>
      <w:r>
        <w:rPr>
          <w:rFonts w:ascii="Arial" w:cs="Arial" w:eastAsia="Arial" w:hAnsi="Arial"/>
          <w:color w:val="1A1A2E"/>
          <w:sz w:val="20"/>
          <w:szCs w:val="20"/>
        </w:rPr>
        <w:t xml:space="preserve">A summary-level confidence record per synoptic version. Provides the aggregate statistics displayed in the UI (e.g., "Overall: 86% High Confidence") and used in audit reports.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800"/>
        <w:gridCol w:w="800"/>
        <w:gridCol w:w="3760"/>
      </w:tblGrid>
      <w:tr>
        <w:trPr>
          <w:tblHeader/>
        </w:trPr>
        <w:tc>
          <w:tcPr>
            <w:tcW w:type="dxa" w:w="220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80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80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PK</w:t>
            </w:r>
          </w:p>
        </w:tc>
        <w:tc>
          <w:tcPr>
            <w:tcW w:type="dxa" w:w="80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FK</w:t>
            </w:r>
          </w:p>
        </w:tc>
        <w:tc>
          <w:tcPr>
            <w:tcW w:type="dxa" w:w="376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Notes / Description</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id</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synoptic_version_id</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w:t>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FK → SynopticVersion</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overall_confidence</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FLOAT</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Weighted aggregate: required fields weight 2.0, optional weight 1.0</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fields_total</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INTEGER</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Total fields in template</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fields_ai_populated</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INTEGER</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Number of fields AI populated</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fields_high_confidence</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INTEGER</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Fields with confidence ≥ 0.90</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fields_medium_confidence</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INTEGER</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Fields with confidence 0.50–0.89</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fields_low_confidence</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INTEGER</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Fields with confidence &lt; 0.50</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fields_with_conflicts</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INTEGER</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Fields where AI detected contradictions between gross and micro</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per_field_scores</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JSONB</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Array of {field_id, confidence, provenance} for detailed reporting</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protocol_selection_confidence</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FLOAT</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Confidence of the protocol/template selection itself</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protocol_selection_reasoning</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TEXT</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Summary reasoning for protocol selection shown in UI</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calculated_at</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TIMESTAMPTZ</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r>
    </w:tbl>
    <w:p>
      <w:pPr>
        <w:spacing w:before="60" w:after="60"/>
      </w:pPr>
      <w:r>
        <w:t xml:space="preserve"/>
      </w:r>
    </w:p>
    <w:p>
      <w:pPr>
        <w:pStyle w:val="Heading2"/>
        <w:spacing w:before="360" w:after="160"/>
      </w:pPr>
      <w:r>
        <w:rPr>
          <w:rFonts w:ascii="Arial" w:cs="Arial" w:eastAsia="Arial" w:hAnsi="Arial"/>
          <w:b/>
          <w:bCs/>
          <w:color w:val="2E5FA3"/>
          <w:sz w:val="26"/>
          <w:szCs w:val="26"/>
        </w:rPr>
        <w:t xml:space="preserve">4.15 SynopticApproval</w:t>
      </w:r>
    </w:p>
    <w:p>
      <w:pPr>
        <w:spacing w:before="80" w:after="80"/>
      </w:pPr>
      <w:r>
        <w:rPr>
          <w:rFonts w:ascii="Arial" w:cs="Arial" w:eastAsia="Arial" w:hAnsi="Arial"/>
          <w:color w:val="1A1A2E"/>
          <w:sz w:val="20"/>
          <w:szCs w:val="20"/>
        </w:rPr>
        <w:t xml:space="preserve">Used in teaching institution workflows where residents generate drafts that require attending pathologist review before finalization. A synoptic can only be finalized after approval when institution config requires it.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800"/>
        <w:gridCol w:w="800"/>
        <w:gridCol w:w="3760"/>
      </w:tblGrid>
      <w:tr>
        <w:trPr>
          <w:tblHeader/>
        </w:trPr>
        <w:tc>
          <w:tcPr>
            <w:tcW w:type="dxa" w:w="220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80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80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PK</w:t>
            </w:r>
          </w:p>
        </w:tc>
        <w:tc>
          <w:tcPr>
            <w:tcW w:type="dxa" w:w="80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FK</w:t>
            </w:r>
          </w:p>
        </w:tc>
        <w:tc>
          <w:tcPr>
            <w:tcW w:type="dxa" w:w="376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Notes / Description</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id</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synoptic_report_id</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w:t>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FK → SynopticReport</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synoptic_version_id</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w:t>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FK → SynopticVersion — the version submitted for review</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submitted_by_id</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w:t>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FK → User (Resident/Fellow)</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reviewer_id</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w:t>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FK → User (Attending Pathologist)</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status</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ENUM</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Pending | Approved | Rejected | Returned</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reviewer_notes</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TEXT</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Attending's review comments returned to resident</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submitted_at</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TIMESTAMPTZ</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reviewed_at</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TIMESTAMPTZ</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r>
    </w:tbl>
    <w:p>
      <w:pPr>
        <w:spacing w:before="60" w:after="60"/>
      </w:pPr>
      <w:r>
        <w:t xml:space="preserve"/>
      </w:r>
    </w:p>
    <w:p>
      <w:pPr>
        <w:pStyle w:val="Heading2"/>
        <w:spacing w:before="360" w:after="160"/>
      </w:pPr>
      <w:r>
        <w:rPr>
          <w:rFonts w:ascii="Arial" w:cs="Arial" w:eastAsia="Arial" w:hAnsi="Arial"/>
          <w:b/>
          <w:bCs/>
          <w:color w:val="2E5FA3"/>
          <w:sz w:val="26"/>
          <w:szCs w:val="26"/>
        </w:rPr>
        <w:t xml:space="preserve">4.16 AuditLog</w:t>
      </w:r>
    </w:p>
    <w:p>
      <w:pPr>
        <w:spacing w:before="80" w:after="80"/>
      </w:pPr>
      <w:r>
        <w:rPr>
          <w:rFonts w:ascii="Arial" w:cs="Arial" w:eastAsia="Arial" w:hAnsi="Arial"/>
          <w:color w:val="1A1A2E"/>
          <w:sz w:val="20"/>
          <w:szCs w:val="20"/>
        </w:rPr>
        <w:t xml:space="preserve">An immutable, append-only audit trail of every action taken on every synoptic. Required for CAP, CLIA, and regulatory compliance. Retention minimum: 7 years. Records are never updated or deleted.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800"/>
        <w:gridCol w:w="800"/>
        <w:gridCol w:w="3760"/>
      </w:tblGrid>
      <w:tr>
        <w:trPr>
          <w:tblHeader/>
        </w:trPr>
        <w:tc>
          <w:tcPr>
            <w:tcW w:type="dxa" w:w="220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80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80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PK</w:t>
            </w:r>
          </w:p>
        </w:tc>
        <w:tc>
          <w:tcPr>
            <w:tcW w:type="dxa" w:w="80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FK</w:t>
            </w:r>
          </w:p>
        </w:tc>
        <w:tc>
          <w:tcPr>
            <w:tcW w:type="dxa" w:w="376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Notes / Description</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id</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institution_id</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w:t>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FK → Institution</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case_id</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w:t>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FK → Case</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synoptic_report_id</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w:t>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FK → SynopticReport</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synoptic_version_id</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w:t>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FK → SynopticVersion</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user_id</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w:t>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FK → User. Null for system-generated events.</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user_role</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VARCHAR(50)</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Denormalized role snapshot at time of action</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action_type</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ENUM</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generate | edit | finalize | view | override | approve | amend</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trigger_type</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ENUM</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Gross | Microscopic | Manual | System</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template_id</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w:t>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FK → SynopticTemplate</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template_version</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VARCHAR(20)</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Denormalized protocol version at time of action</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protocol_changes</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JSONB</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Array of {action: "added"|"removed", protocol_id} for Phase 2 protocol changes</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field_changes</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JSONB</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Array of {field_id, before, after, provenance} — full before/after for all changed fields</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ai_confidence_snapshot</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JSONB</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Copy of AIConfidenceSnapshot at time of generation event</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ip_address</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VARCHAR(50)</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Client IP address</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device_info</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TEXT</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User agent string</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session_id</w:t>
            </w:r>
          </w:p>
        </w:tc>
        <w:tc>
          <w:tcPr>
            <w:tcW w:type="dxa" w:w="1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VARCHAR(100)</w:t>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Session identifier</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created_at</w:t>
            </w:r>
          </w:p>
        </w:tc>
        <w:tc>
          <w:tcPr>
            <w:tcW w:type="dxa" w:w="1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TIMESTAMPTZ</w:t>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
            </w:r>
          </w:p>
        </w:tc>
        <w:tc>
          <w:tcPr>
            <w:tcW w:type="dxa" w:w="37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Immutable. NEVER updated.</w:t>
            </w:r>
          </w:p>
        </w:tc>
      </w:tr>
    </w:tbl>
    <w:p>
      <w:pPr>
        <w:spacing w:before="60" w:after="60"/>
      </w:pPr>
      <w:r>
        <w:t xml:space="preserve"/>
      </w:r>
    </w:p>
    <w:p>
      <w:pPr>
        <w:pBdr>
          <w:left w:val="single" w:color="1A6B3A" w:sz="12"/>
        </w:pBdr>
        <w:shd w:fill="D6F0E0" w:val="clear"/>
        <w:spacing w:before="80" w:after="120"/>
        <w:ind w:left="200" w:right="200"/>
      </w:pPr>
      <w:r>
        <w:rPr>
          <w:rFonts w:ascii="Arial" w:cs="Arial" w:eastAsia="Arial" w:hAnsi="Arial"/>
          <w:b/>
          <w:bCs/>
          <w:color w:val="1A6B3A"/>
          <w:sz w:val="18"/>
          <w:szCs w:val="18"/>
        </w:rPr>
        <w:t xml:space="preserve">✅ Design Decision: </w:t>
      </w:r>
      <w:r>
        <w:rPr>
          <w:rFonts w:ascii="Arial" w:cs="Arial" w:eastAsia="Arial" w:hAnsi="Arial"/>
          <w:color w:val="1A6B3A"/>
          <w:sz w:val="18"/>
          <w:szCs w:val="18"/>
        </w:rPr>
        <w:t xml:space="preserve">AuditLog rows are NEVER updated or deleted. The table should have no UPDATE or DELETE permissions granted to the application role. Archive to cold storage after 2 years, retain pointer for 7+ years.</w:t>
      </w:r>
    </w:p>
    <w:p>
      <w:pPr>
        <w:pStyle w:val="Heading1"/>
        <w:pBdr>
          <w:bottom w:val="single" w:color="2E5FA3" w:sz="6" w:space="4"/>
        </w:pBdr>
        <w:spacing w:before="480" w:after="200"/>
      </w:pPr>
      <w:r>
        <w:rPr>
          <w:rFonts w:ascii="Arial" w:cs="Arial" w:eastAsia="Arial" w:hAnsi="Arial"/>
          <w:b/>
          <w:bCs/>
          <w:color w:val="1B3A6B"/>
          <w:sz w:val="36"/>
          <w:szCs w:val="36"/>
        </w:rPr>
        <w:t xml:space="preserve">5. Key Relationships &amp; Cardinalities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Relationship</w:t>
            </w:r>
          </w:p>
        </w:tc>
        <w:tc>
          <w:tcPr>
            <w:tcW w:type="dxa" w:w="61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Cardinality &amp; Notes</w:t>
            </w:r>
          </w:p>
        </w:tc>
      </w:tr>
      <w:tr>
        <w:tc>
          <w:tcPr>
            <w:tcW w:type="dxa" w:w="3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Institution → Case</w:t>
            </w:r>
          </w:p>
        </w:tc>
        <w:tc>
          <w:tcPr>
            <w:tcW w:type="dxa" w:w="61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One-to-many. A lab has many cases.</w:t>
            </w:r>
          </w:p>
        </w:tc>
      </w:tr>
      <w:tr>
        <w:tc>
          <w:tcPr>
            <w:tcW w:type="dxa" w:w="3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Case → Specimen</w:t>
            </w:r>
          </w:p>
        </w:tc>
        <w:tc>
          <w:tcPr>
            <w:tcW w:type="dxa" w:w="61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One-to-many. Confirmed: a case can have multiple specimens, each with its own synoptic.</w:t>
            </w:r>
          </w:p>
        </w:tc>
      </w:tr>
      <w:tr>
        <w:tc>
          <w:tcPr>
            <w:tcW w:type="dxa" w:w="3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Specimen → SynopticReport</w:t>
            </w:r>
          </w:p>
        </w:tc>
        <w:tc>
          <w:tcPr>
            <w:tcW w:type="dxa" w:w="61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One-to-one. Each specimen has exactly one synoptic report record.</w:t>
            </w:r>
          </w:p>
        </w:tc>
      </w:tr>
      <w:tr>
        <w:tc>
          <w:tcPr>
            <w:tcW w:type="dxa" w:w="3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SynopticReport → SynopticVersion</w:t>
            </w:r>
          </w:p>
        </w:tc>
        <w:tc>
          <w:tcPr>
            <w:tcW w:type="dxa" w:w="61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One-to-many. One report, many versions. Only one version is "Active" at any time.</w:t>
            </w:r>
          </w:p>
        </w:tc>
      </w:tr>
      <w:tr>
        <w:tc>
          <w:tcPr>
            <w:tcW w:type="dxa" w:w="3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SynopticVersion → SynopticFieldValue</w:t>
            </w:r>
          </w:p>
        </w:tc>
        <w:tc>
          <w:tcPr>
            <w:tcW w:type="dxa" w:w="61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One-to-many. One version row per field in the template.</w:t>
            </w:r>
          </w:p>
        </w:tc>
      </w:tr>
      <w:tr>
        <w:tc>
          <w:tcPr>
            <w:tcW w:type="dxa" w:w="3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SynopticTemplate → SynopticTemplate</w:t>
            </w:r>
          </w:p>
        </w:tc>
        <w:tc>
          <w:tcPr>
            <w:tcW w:type="dxa" w:w="61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Self-referential via superseded_by_id. Creates version chain, e.g. v4.2 → v4.3.</w:t>
            </w:r>
          </w:p>
        </w:tc>
      </w:tr>
      <w:tr>
        <w:tc>
          <w:tcPr>
            <w:tcW w:type="dxa" w:w="3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Specimen → ProtocolPreselection</w:t>
            </w:r>
          </w:p>
        </w:tc>
        <w:tc>
          <w:tcPr>
            <w:tcW w:type="dxa" w:w="61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One-to-many. A specimen may have multiple preselection records as AI refines its prediction across phases.</w:t>
            </w:r>
          </w:p>
        </w:tc>
      </w:tr>
      <w:tr>
        <w:tc>
          <w:tcPr>
            <w:tcW w:type="dxa" w:w="3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LisEvent → SynopticVersion</w:t>
            </w:r>
          </w:p>
        </w:tc>
        <w:tc>
          <w:tcPr>
            <w:tcW w:type="dxa" w:w="61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One LisEvent can trigger Phase 1 (gross_lis_event_id) or Phase 2 (micro_lis_event_id) on a version.</w:t>
            </w:r>
          </w:p>
        </w:tc>
      </w:tr>
    </w:tbl>
    <w:p>
      <w:pPr>
        <w:pStyle w:val="Heading1"/>
        <w:pBdr>
          <w:bottom w:val="single" w:color="2E5FA3" w:sz="6" w:space="4"/>
        </w:pBdr>
        <w:spacing w:before="480" w:after="200"/>
      </w:pPr>
      <w:r>
        <w:rPr>
          <w:rFonts w:ascii="Arial" w:cs="Arial" w:eastAsia="Arial" w:hAnsi="Arial"/>
          <w:b/>
          <w:bCs/>
          <w:color w:val="1B3A6B"/>
          <w:sz w:val="36"/>
          <w:szCs w:val="36"/>
        </w:rPr>
        <w:t xml:space="preserve">6. Lifecycle State Machines</w:t>
      </w:r>
    </w:p>
    <w:p>
      <w:pPr>
        <w:pStyle w:val="Heading2"/>
        <w:spacing w:before="360" w:after="160"/>
      </w:pPr>
      <w:r>
        <w:rPr>
          <w:rFonts w:ascii="Arial" w:cs="Arial" w:eastAsia="Arial" w:hAnsi="Arial"/>
          <w:b/>
          <w:bCs/>
          <w:color w:val="2E5FA3"/>
          <w:sz w:val="26"/>
          <w:szCs w:val="26"/>
        </w:rPr>
        <w:t xml:space="preserve">6.1 SynopticTemplate Lifecycle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State</w:t>
            </w:r>
          </w:p>
        </w:tc>
        <w:tc>
          <w:tcPr>
            <w:tcW w:type="dxa" w:w="73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Description &amp; Transitions</w:t>
            </w:r>
          </w:p>
        </w:tc>
      </w:tr>
      <w:tr>
        <w:tc>
          <w:tcPr>
            <w:tcW w:type="dxa" w:w="20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Draft</w:t>
            </w:r>
          </w:p>
        </w:tc>
        <w:tc>
          <w:tcPr>
            <w:tcW w:type="dxa" w:w="73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Template created by Lab Admin. Not visible to pathologists. → Active (on admin approval)</w:t>
            </w:r>
          </w:p>
        </w:tc>
      </w:tr>
      <w:tr>
        <w:tc>
          <w:tcPr>
            <w:tcW w:type="dxa" w:w="20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Active</w:t>
            </w:r>
          </w:p>
        </w:tc>
        <w:tc>
          <w:tcPr>
            <w:tcW w:type="dxa" w:w="73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Live template available for synoptic generation. → Deprecated (when new version released)</w:t>
            </w:r>
          </w:p>
        </w:tc>
      </w:tr>
      <w:tr>
        <w:tc>
          <w:tcPr>
            <w:tcW w:type="dxa" w:w="20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Deprecated</w:t>
            </w:r>
          </w:p>
        </w:tc>
        <w:tc>
          <w:tcPr>
            <w:tcW w:type="dxa" w:w="73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Superseded by newer version. Existing cases using this version continue unaffected. New cases use Active version. → Retired</w:t>
            </w:r>
          </w:p>
        </w:tc>
      </w:tr>
      <w:tr>
        <w:tc>
          <w:tcPr>
            <w:tcW w:type="dxa" w:w="20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Retired</w:t>
            </w:r>
          </w:p>
        </w:tc>
        <w:tc>
          <w:tcPr>
            <w:tcW w:type="dxa" w:w="73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No longer in use. Read-only. Cases finalized on this version can still be viewed.</w:t>
            </w:r>
          </w:p>
        </w:tc>
      </w:tr>
    </w:tbl>
    <w:p>
      <w:pPr>
        <w:spacing w:before="60" w:after="60"/>
      </w:pPr>
      <w:r>
        <w:t xml:space="preserve"/>
      </w:r>
    </w:p>
    <w:p>
      <w:pPr>
        <w:pStyle w:val="Heading2"/>
        <w:spacing w:before="360" w:after="160"/>
      </w:pPr>
      <w:r>
        <w:rPr>
          <w:rFonts w:ascii="Arial" w:cs="Arial" w:eastAsia="Arial" w:hAnsi="Arial"/>
          <w:b/>
          <w:bCs/>
          <w:color w:val="2E5FA3"/>
          <w:sz w:val="26"/>
          <w:szCs w:val="26"/>
        </w:rPr>
        <w:t xml:space="preserve">6.2 SynopticReport Lifecycle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State</w:t>
            </w:r>
          </w:p>
        </w:tc>
        <w:tc>
          <w:tcPr>
            <w:tcW w:type="dxa" w:w="73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Description &amp; Transitions</w:t>
            </w:r>
          </w:p>
        </w:tc>
      </w:tr>
      <w:tr>
        <w:tc>
          <w:tcPr>
            <w:tcW w:type="dxa" w:w="20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Draft</w:t>
            </w:r>
          </w:p>
        </w:tc>
        <w:tc>
          <w:tcPr>
            <w:tcW w:type="dxa" w:w="73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Initial state after AI generation. Pathologist can freely edit. → Under Review (if teaching institution) or → Finalized directly.</w:t>
            </w:r>
          </w:p>
        </w:tc>
      </w:tr>
      <w:tr>
        <w:tc>
          <w:tcPr>
            <w:tcW w:type="dxa" w:w="20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Under Review</w:t>
            </w:r>
          </w:p>
        </w:tc>
        <w:tc>
          <w:tcPr>
            <w:tcW w:type="dxa" w:w="73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Teaching institution flow: submitted to attending for approval. → Approved or → Returned to Draft.</w:t>
            </w:r>
          </w:p>
        </w:tc>
      </w:tr>
      <w:tr>
        <w:tc>
          <w:tcPr>
            <w:tcW w:type="dxa" w:w="20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Approved</w:t>
            </w:r>
          </w:p>
        </w:tc>
        <w:tc>
          <w:tcPr>
            <w:tcW w:type="dxa" w:w="73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Attending has approved. → Finalized at sign-out.</w:t>
            </w:r>
          </w:p>
        </w:tc>
      </w:tr>
      <w:tr>
        <w:tc>
          <w:tcPr>
            <w:tcW w:type="dxa" w:w="20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Finalized</w:t>
            </w:r>
          </w:p>
        </w:tc>
        <w:tc>
          <w:tcPr>
            <w:tcW w:type="dxa" w:w="73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Case signed out. SynopticVersion is locked. → Amended (if amendment initiated in LIS).</w:t>
            </w:r>
          </w:p>
        </w:tc>
      </w:tr>
      <w:tr>
        <w:tc>
          <w:tcPr>
            <w:tcW w:type="dxa" w:w="20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Amended</w:t>
            </w:r>
          </w:p>
        </w:tc>
        <w:tc>
          <w:tcPr>
            <w:tcW w:type="dxa" w:w="73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Amendment in progress. New version created. Previous version locked and watermarked. → Finalized.</w:t>
            </w:r>
          </w:p>
        </w:tc>
      </w:tr>
      <w:tr>
        <w:tc>
          <w:tcPr>
            <w:tcW w:type="dxa" w:w="20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Archived</w:t>
            </w:r>
          </w:p>
        </w:tc>
        <w:tc>
          <w:tcPr>
            <w:tcW w:type="dxa" w:w="73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Superseded by amendment. Read-only. Watermarked "AMENDED — See vN".</w:t>
            </w:r>
          </w:p>
        </w:tc>
      </w:tr>
    </w:tbl>
    <w:p>
      <w:pPr>
        <w:spacing w:before="60" w:after="60"/>
      </w:pPr>
      <w:r>
        <w:t xml:space="preserve"/>
      </w:r>
    </w:p>
    <w:p>
      <w:pPr>
        <w:pStyle w:val="Heading2"/>
        <w:spacing w:before="360" w:after="160"/>
      </w:pPr>
      <w:r>
        <w:rPr>
          <w:rFonts w:ascii="Arial" w:cs="Arial" w:eastAsia="Arial" w:hAnsi="Arial"/>
          <w:b/>
          <w:bCs/>
          <w:color w:val="2E5FA3"/>
          <w:sz w:val="26"/>
          <w:szCs w:val="26"/>
        </w:rPr>
        <w:t xml:space="preserve">6.3 SynopticVersion Lifecycle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State</w:t>
            </w:r>
          </w:p>
        </w:tc>
        <w:tc>
          <w:tcPr>
            <w:tcW w:type="dxa" w:w="73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Description</w:t>
            </w:r>
          </w:p>
        </w:tc>
      </w:tr>
      <w:tr>
        <w:tc>
          <w:tcPr>
            <w:tcW w:type="dxa" w:w="20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Draft</w:t>
            </w:r>
          </w:p>
        </w:tc>
        <w:tc>
          <w:tcPr>
            <w:tcW w:type="dxa" w:w="73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Being edited. Not yet the active version.</w:t>
            </w:r>
          </w:p>
        </w:tc>
      </w:tr>
      <w:tr>
        <w:tc>
          <w:tcPr>
            <w:tcW w:type="dxa" w:w="20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Active</w:t>
            </w:r>
          </w:p>
        </w:tc>
        <w:tc>
          <w:tcPr>
            <w:tcW w:type="dxa" w:w="73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Current version. Only one per SynopticReport at any time.</w:t>
            </w:r>
          </w:p>
        </w:tc>
      </w:tr>
      <w:tr>
        <w:tc>
          <w:tcPr>
            <w:tcW w:type="dxa" w:w="20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Superseded</w:t>
            </w:r>
          </w:p>
        </w:tc>
        <w:tc>
          <w:tcPr>
            <w:tcW w:type="dxa" w:w="73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A newer version has been made Active. Read-only.</w:t>
            </w:r>
          </w:p>
        </w:tc>
      </w:tr>
      <w:tr>
        <w:tc>
          <w:tcPr>
            <w:tcW w:type="dxa" w:w="20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Archived</w:t>
            </w:r>
          </w:p>
        </w:tc>
        <w:tc>
          <w:tcPr>
            <w:tcW w:type="dxa" w:w="73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Associated with an amended/archived report. Read-only.</w:t>
            </w:r>
          </w:p>
        </w:tc>
      </w:tr>
    </w:tbl>
    <w:p>
      <w:pPr>
        <w:pStyle w:val="Heading1"/>
        <w:pBdr>
          <w:bottom w:val="single" w:color="2E5FA3" w:sz="6" w:space="4"/>
        </w:pBdr>
        <w:spacing w:before="480" w:after="200"/>
      </w:pPr>
      <w:r>
        <w:rPr>
          <w:rFonts w:ascii="Arial" w:cs="Arial" w:eastAsia="Arial" w:hAnsi="Arial"/>
          <w:b/>
          <w:bCs/>
          <w:color w:val="1B3A6B"/>
          <w:sz w:val="36"/>
          <w:szCs w:val="36"/>
        </w:rPr>
        <w:t xml:space="preserve">7. Version Naming Convention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Version Label</w:t>
            </w:r>
          </w:p>
        </w:tc>
        <w:tc>
          <w:tcPr>
            <w:tcW w:type="dxa" w:w="65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When Created</w:t>
            </w:r>
          </w:p>
        </w:tc>
      </w:tr>
      <w:tr>
        <w:tc>
          <w:tcPr>
            <w:tcW w:type="dxa" w:w="2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v1-Manual</w:t>
            </w:r>
          </w:p>
        </w:tc>
        <w:tc>
          <w:tcPr>
            <w:tcW w:type="dxa" w:w="65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Pathologist clicks Generate Synoptic for the first time</w:t>
            </w:r>
          </w:p>
        </w:tc>
      </w:tr>
      <w:tr>
        <w:tc>
          <w:tcPr>
            <w:tcW w:type="dxa" w:w="2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v2-AIUpdate</w:t>
            </w:r>
          </w:p>
        </w:tc>
        <w:tc>
          <w:tcPr>
            <w:tcW w:type="dxa" w:w="65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Phase 2 AI receives microscopic text from LIS and updates fields/protocols</w:t>
            </w:r>
          </w:p>
        </w:tc>
      </w:tr>
      <w:tr>
        <w:tc>
          <w:tcPr>
            <w:tcW w:type="dxa" w:w="2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v3-UserEdit</w:t>
            </w:r>
          </w:p>
        </w:tc>
        <w:tc>
          <w:tcPr>
            <w:tcW w:type="dxa" w:w="65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Pathologist edits any field value after Phase 1 or Phase 2 generation</w:t>
            </w:r>
          </w:p>
        </w:tc>
      </w:tr>
      <w:tr>
        <w:tc>
          <w:tcPr>
            <w:tcW w:type="dxa" w:w="28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v4-TemplateUpgrade</w:t>
            </w:r>
          </w:p>
        </w:tc>
        <w:tc>
          <w:tcPr>
            <w:tcW w:type="dxa" w:w="65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Pathologist accepts offer to upgrade to a new template version</w:t>
            </w:r>
          </w:p>
        </w:tc>
      </w:tr>
      <w:tr>
        <w:tc>
          <w:tcPr>
            <w:tcW w:type="dxa" w:w="28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vN-Amendment</w:t>
            </w:r>
          </w:p>
        </w:tc>
        <w:tc>
          <w:tcPr>
            <w:tcW w:type="dxa" w:w="65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Formal amendment initiated in LIS after case sign-out</w:t>
            </w:r>
          </w:p>
        </w:tc>
      </w:tr>
    </w:tbl>
    <w:p>
      <w:pPr>
        <w:spacing w:before="60" w:after="60"/>
      </w:pPr>
      <w:r>
        <w:t xml:space="preserve"/>
      </w:r>
    </w:p>
    <w:p>
      <w:pPr>
        <w:pBdr>
          <w:left w:val="single" w:color="8B5E00" w:sz="12"/>
        </w:pBdr>
        <w:shd w:fill="FFF3CD" w:val="clear"/>
        <w:spacing w:before="80" w:after="120"/>
        <w:ind w:left="200" w:right="200"/>
      </w:pPr>
      <w:r>
        <w:rPr>
          <w:rFonts w:ascii="Arial" w:cs="Arial" w:eastAsia="Arial" w:hAnsi="Arial"/>
          <w:b/>
          <w:bCs/>
          <w:color w:val="8B5E00"/>
          <w:sz w:val="18"/>
          <w:szCs w:val="18"/>
        </w:rPr>
        <w:t xml:space="preserve">📌 Note: </w:t>
      </w:r>
      <w:r>
        <w:rPr>
          <w:rFonts w:ascii="Arial" w:cs="Arial" w:eastAsia="Arial" w:hAnsi="Arial"/>
          <w:color w:val="8B5E00"/>
          <w:sz w:val="18"/>
          <w:szCs w:val="18"/>
        </w:rPr>
        <w:t xml:space="preserve">Version labels are human-readable and display-only. The version_number integer is the stable sort key. The generator ENUM is the authoritative record of what created each version.</w:t>
      </w:r>
    </w:p>
    <w:p>
      <w:pPr>
        <w:pStyle w:val="Heading1"/>
        <w:pBdr>
          <w:bottom w:val="single" w:color="2E5FA3" w:sz="6" w:space="4"/>
        </w:pBdr>
        <w:spacing w:before="480" w:after="200"/>
      </w:pPr>
      <w:r>
        <w:rPr>
          <w:rFonts w:ascii="Arial" w:cs="Arial" w:eastAsia="Arial" w:hAnsi="Arial"/>
          <w:b/>
          <w:bCs/>
          <w:color w:val="1B3A6B"/>
          <w:sz w:val="36"/>
          <w:szCs w:val="36"/>
        </w:rPr>
        <w:t xml:space="preserve">8. Open Questions for Engineering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w:t>
            </w:r>
          </w:p>
        </w:tc>
        <w:tc>
          <w:tcPr>
            <w:tcW w:type="dxa" w:w="83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Question</w:t>
            </w:r>
          </w:p>
        </w:tc>
      </w:tr>
      <w:tr>
        <w:tc>
          <w:tcPr>
            <w:tcW w:type="dxa" w:w="10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OQ-01</w:t>
            </w:r>
          </w:p>
        </w:tc>
        <w:tc>
          <w:tcPr>
            <w:tcW w:type="dxa" w:w="83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Version pinning for existing cases: confirmed as "Not sure yet" — needs a policy decision before implementation. Recommended: pin to version at generation time, offer upgrade prompt when a newer Active template exists.</w:t>
            </w:r>
          </w:p>
        </w:tc>
      </w:tr>
      <w:tr>
        <w:tc>
          <w:tcPr>
            <w:tcW w:type="dxa" w:w="10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OQ-02</w:t>
            </w:r>
          </w:p>
        </w:tc>
        <w:tc>
          <w:tcPr>
            <w:tcW w:type="dxa" w:w="83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InstitutionCustomRule storage: currently on a separate table. Alternative: embed in TemplateValidationRule with institution_id. Decision depends on whether custom rules need to be template-agnostic (cross-template institutional policies).</w:t>
            </w:r>
          </w:p>
        </w:tc>
      </w:tr>
      <w:tr>
        <w:tc>
          <w:tcPr>
            <w:tcW w:type="dxa" w:w="10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OQ-03</w:t>
            </w:r>
          </w:p>
        </w:tc>
        <w:tc>
          <w:tcPr>
            <w:tcW w:type="dxa" w:w="83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ProtocolPreselection history: currently storing one row per prediction event. If AI refines predictions multiple times before generation, the table grows. Consider whether to keep all predictions or only the most recent per specimen.</w:t>
            </w:r>
          </w:p>
        </w:tc>
      </w:tr>
      <w:tr>
        <w:tc>
          <w:tcPr>
            <w:tcW w:type="dxa" w:w="10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OQ-04</w:t>
            </w:r>
          </w:p>
        </w:tc>
        <w:tc>
          <w:tcPr>
            <w:tcW w:type="dxa" w:w="83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SynopticFieldValue immutability: current design creates a new SynopticVersion for every edit. This may be expensive for incremental field-by-field editing. Consider a "working draft" concept before version commit.</w:t>
            </w:r>
          </w:p>
        </w:tc>
      </w:tr>
      <w:tr>
        <w:tc>
          <w:tcPr>
            <w:tcW w:type="dxa" w:w="10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OQ-05</w:t>
            </w:r>
          </w:p>
        </w:tc>
        <w:tc>
          <w:tcPr>
            <w:tcW w:type="dxa" w:w="83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Audit log archival: 7-year retention required. Recommend partitioned table by year with automated archive-to-cold-storage policy after 2 years.</w:t>
            </w:r>
          </w:p>
        </w:tc>
      </w:tr>
    </w:tbl>
    <w:p>
      <w:pPr>
        <w:pStyle w:val="Heading1"/>
        <w:pBdr>
          <w:bottom w:val="single" w:color="2E5FA3" w:sz="6" w:space="4"/>
        </w:pBdr>
        <w:spacing w:before="480" w:after="200"/>
      </w:pPr>
      <w:r>
        <w:rPr>
          <w:rFonts w:ascii="Arial" w:cs="Arial" w:eastAsia="Arial" w:hAnsi="Arial"/>
          <w:b/>
          <w:bCs/>
          <w:color w:val="1B3A6B"/>
          <w:sz w:val="36"/>
          <w:szCs w:val="36"/>
        </w:rPr>
        <w:t xml:space="preserve">9. Recommended Indexes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Table</w:t>
            </w:r>
          </w:p>
        </w:tc>
        <w:tc>
          <w:tcPr>
            <w:tcW w:type="dxa" w:w="63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Index</w:t>
            </w:r>
          </w:p>
        </w:tc>
      </w:tr>
      <w:tr>
        <w:tc>
          <w:tcPr>
            <w:tcW w:type="dxa" w:w="30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Case</w:t>
            </w:r>
          </w:p>
        </w:tc>
        <w:tc>
          <w:tcPr>
            <w:tcW w:type="dxa" w:w="63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UNIQUE on (institution_id, accession_number)</w:t>
            </w:r>
          </w:p>
        </w:tc>
      </w:tr>
      <w:tr>
        <w:tc>
          <w:tcPr>
            <w:tcW w:type="dxa" w:w="30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Case</w:t>
            </w:r>
          </w:p>
        </w:tc>
        <w:tc>
          <w:tcPr>
            <w:tcW w:type="dxa" w:w="63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INDEX on case_status, has_frozen_section</w:t>
            </w:r>
          </w:p>
        </w:tc>
      </w:tr>
      <w:tr>
        <w:tc>
          <w:tcPr>
            <w:tcW w:type="dxa" w:w="30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SynopticReport</w:t>
            </w:r>
          </w:p>
        </w:tc>
        <w:tc>
          <w:tcPr>
            <w:tcW w:type="dxa" w:w="63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INDEX on (case_id, specimen_id)</w:t>
            </w:r>
          </w:p>
        </w:tc>
      </w:tr>
      <w:tr>
        <w:tc>
          <w:tcPr>
            <w:tcW w:type="dxa" w:w="30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SynopticReport</w:t>
            </w:r>
          </w:p>
        </w:tc>
        <w:tc>
          <w:tcPr>
            <w:tcW w:type="dxa" w:w="63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INDEX on active_version_id</w:t>
            </w:r>
          </w:p>
        </w:tc>
      </w:tr>
      <w:tr>
        <w:tc>
          <w:tcPr>
            <w:tcW w:type="dxa" w:w="30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SynopticVersion</w:t>
            </w:r>
          </w:p>
        </w:tc>
        <w:tc>
          <w:tcPr>
            <w:tcW w:type="dxa" w:w="63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INDEX on (synoptic_report_id, version_number)</w:t>
            </w:r>
          </w:p>
        </w:tc>
      </w:tr>
      <w:tr>
        <w:tc>
          <w:tcPr>
            <w:tcW w:type="dxa" w:w="30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SynopticVersion</w:t>
            </w:r>
          </w:p>
        </w:tc>
        <w:tc>
          <w:tcPr>
            <w:tcW w:type="dxa" w:w="63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INDEX on status WHERE status = 'Active'</w:t>
            </w:r>
          </w:p>
        </w:tc>
      </w:tr>
      <w:tr>
        <w:tc>
          <w:tcPr>
            <w:tcW w:type="dxa" w:w="30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SynopticFieldValue</w:t>
            </w:r>
          </w:p>
        </w:tc>
        <w:tc>
          <w:tcPr>
            <w:tcW w:type="dxa" w:w="63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INDEX on (synoptic_version_id, field_id)</w:t>
            </w:r>
          </w:p>
        </w:tc>
      </w:tr>
      <w:tr>
        <w:tc>
          <w:tcPr>
            <w:tcW w:type="dxa" w:w="30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AuditLog</w:t>
            </w:r>
          </w:p>
        </w:tc>
        <w:tc>
          <w:tcPr>
            <w:tcW w:type="dxa" w:w="63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INDEX on (case_id, created_at)</w:t>
            </w:r>
          </w:p>
        </w:tc>
      </w:tr>
      <w:tr>
        <w:tc>
          <w:tcPr>
            <w:tcW w:type="dxa" w:w="30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AuditLog</w:t>
            </w:r>
          </w:p>
        </w:tc>
        <w:tc>
          <w:tcPr>
            <w:tcW w:type="dxa" w:w="63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INDEX on (user_id, created_at)</w:t>
            </w:r>
          </w:p>
        </w:tc>
      </w:tr>
      <w:tr>
        <w:tc>
          <w:tcPr>
            <w:tcW w:type="dxa" w:w="30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SynopticTemplate</w:t>
            </w:r>
          </w:p>
        </w:tc>
        <w:tc>
          <w:tcPr>
            <w:tcW w:type="dxa" w:w="63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INDEX on (standard, organ_site, lifecycle_state)</w:t>
            </w:r>
          </w:p>
        </w:tc>
      </w:tr>
      <w:tr>
        <w:tc>
          <w:tcPr>
            <w:tcW w:type="dxa" w:w="30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ProtocolPreselection</w:t>
            </w:r>
          </w:p>
        </w:tc>
        <w:tc>
          <w:tcPr>
            <w:tcW w:type="dxa" w:w="63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INDEX on (specimen_id, created_at DESC)</w:t>
            </w:r>
          </w:p>
        </w:tc>
      </w:tr>
    </w:tbl>
    <w:p>
      <w:pPr>
        <w:pStyle w:val="Heading1"/>
        <w:pBdr>
          <w:bottom w:val="single" w:color="2E5FA3" w:sz="6" w:space="4"/>
        </w:pBdr>
        <w:spacing w:before="480" w:after="200"/>
      </w:pPr>
      <w:r>
        <w:rPr>
          <w:rFonts w:ascii="Arial" w:cs="Arial" w:eastAsia="Arial" w:hAnsi="Arial"/>
          <w:b/>
          <w:bCs/>
          <w:color w:val="1B3A6B"/>
          <w:sz w:val="36"/>
          <w:szCs w:val="36"/>
        </w:rPr>
        <w:t xml:space="preserve">10. Next Steps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Priority</w:t>
            </w:r>
          </w:p>
        </w:tc>
        <w:tc>
          <w:tcPr>
            <w:tcW w:type="dxa" w:w="71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Item</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1 — Now</w:t>
            </w:r>
          </w:p>
        </w:tc>
        <w:tc>
          <w:tcPr>
            <w:tcW w:type="dxa" w:w="71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Resolve OQ-01 (version pinning policy) before writing migration scripts</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2 — Now</w:t>
            </w:r>
          </w:p>
        </w:tc>
        <w:tc>
          <w:tcPr>
            <w:tcW w:type="dxa" w:w="71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Engineering review of this document — validate entity design against existing codebase patterns</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3 — Next</w:t>
            </w:r>
          </w:p>
        </w:tc>
        <w:tc>
          <w:tcPr>
            <w:tcW w:type="dxa" w:w="71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Write PostgreSQL DDL based on this model</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4 — Next</w:t>
            </w:r>
          </w:p>
        </w:tc>
        <w:tc>
          <w:tcPr>
            <w:tcW w:type="dxa" w:w="71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Design QC Module UI (confirmed as next priority after Synoptic Library)</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5 — Next</w:t>
            </w:r>
          </w:p>
        </w:tc>
        <w:tc>
          <w:tcPr>
            <w:tcW w:type="dxa" w:w="71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Build usePermission hook — runtime permission guards needed before any role-based UI gating</w:t>
            </w:r>
          </w:p>
        </w:tc>
      </w:tr>
      <w:tr>
        <w:tc>
          <w:tcPr>
            <w:tcW w:type="dxa" w:w="220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bCs/>
                <w:color w:val="1A1A2E"/>
                <w:sz w:val="18"/>
                <w:szCs w:val="18"/>
              </w:rPr>
              <w:t xml:space="preserve">6 — Later</w:t>
            </w:r>
          </w:p>
        </w:tc>
        <w:tc>
          <w:tcPr>
            <w:tcW w:type="dxa" w:w="7160"/>
            <w:tcBorders>
              <w:top w:val="single" w:color="C5D3E8" w:sz="1"/>
              <w:left w:val="single" w:color="C5D3E8" w:sz="1"/>
              <w:bottom w:val="single" w:color="C5D3E8" w:sz="1"/>
              <w:right w:val="single" w:color="C5D3E8"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Shortcut Actions Registry</w:t>
            </w:r>
          </w:p>
        </w:tc>
      </w:tr>
      <w:tr>
        <w:tc>
          <w:tcPr>
            <w:tcW w:type="dxa" w:w="220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bCs/>
                <w:color w:val="1A1A2E"/>
                <w:sz w:val="18"/>
                <w:szCs w:val="18"/>
              </w:rPr>
              <w:t xml:space="preserve">7 — Later</w:t>
            </w:r>
          </w:p>
        </w:tc>
        <w:tc>
          <w:tcPr>
            <w:tcW w:type="dxa" w:w="7160"/>
            <w:tcBorders>
              <w:top w:val="single" w:color="C5D3E8" w:sz="1"/>
              <w:left w:val="single" w:color="C5D3E8" w:sz="1"/>
              <w:bottom w:val="single" w:color="C5D3E8" w:sz="1"/>
              <w:right w:val="single" w:color="C5D3E8" w:sz="1"/>
            </w:tcBorders>
            <w:shd w:fill="F0F4FB" w:val="clear"/>
            <w:tcMar>
              <w:top w:type="dxa" w:w="60"/>
              <w:left w:type="dxa" w:w="120"/>
              <w:bottom w:type="dxa" w:w="60"/>
              <w:right w:type="dxa" w:w="120"/>
            </w:tcMar>
          </w:tcPr>
          <w:p>
            <w:r>
              <w:rPr>
                <w:rFonts w:ascii="Arial" w:cs="Arial" w:eastAsia="Arial" w:hAnsi="Arial"/>
                <w:b w:val="false"/>
                <w:bCs w:val="false"/>
                <w:color w:val="1A1A2E"/>
                <w:sz w:val="18"/>
                <w:szCs w:val="18"/>
              </w:rPr>
              <w:t xml:space="preserve">Auth wiring</w:t>
            </w:r>
          </w:p>
        </w:tc>
      </w:tr>
    </w:tbl>
    <w:p>
      <w:pPr>
        <w:spacing w:before="60" w:after="60"/>
      </w:pPr>
      <w:r>
        <w:t xml:space="preserve"/>
      </w:r>
    </w:p>
    <w:p>
      <w:pPr>
        <w:spacing w:before="480"/>
        <w:jc w:val="center"/>
      </w:pPr>
      <w:r>
        <w:rPr>
          <w:rFonts w:ascii="Arial" w:cs="Arial" w:eastAsia="Arial" w:hAnsi="Arial"/>
          <w:i/>
          <w:iCs/>
          <w:color w:val="5A6A84"/>
          <w:sz w:val="18"/>
          <w:szCs w:val="18"/>
        </w:rPr>
        <w:t xml:space="preserve">End of Document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3E8" w:sz="2"/>
      </w:pBdr>
      <w:tabs>
        <w:tab w:val="right" w:pos="9026"/>
      </w:tabs>
      <w:spacing w:before="60"/>
    </w:pPr>
    <w:r>
      <w:rPr>
        <w:rFonts w:ascii="Arial" w:cs="Arial" w:eastAsia="Arial" w:hAnsi="Arial"/>
        <w:color w:val="5A6A84"/>
        <w:sz w:val="16"/>
        <w:szCs w:val="16"/>
      </w:rPr>
      <w:t xml:space="preserve">Draft — For Engineering Review</w:t>
    </w:r>
    <w:r>
      <w:rPr>
        <w:rFonts w:ascii="Arial" w:cs="Arial" w:eastAsia="Arial" w:hAnsi="Arial"/>
        <w:sz w:val="16"/>
        <w:szCs w:val="16"/>
      </w:rPr>
      <w:t xml:space="preserve">	</w:t>
    </w:r>
    <w:r>
      <w:rPr>
        <w:rFonts w:ascii="Arial" w:cs="Arial" w:eastAsia="Arial" w:hAnsi="Arial"/>
        <w:color w:val="5A6A8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3E8" w:sz="2"/>
      </w:pBdr>
      <w:tabs>
        <w:tab w:val="right" w:pos="9026"/>
      </w:tabs>
      <w:spacing w:after="60"/>
    </w:pPr>
    <w:r>
      <w:rPr>
        <w:rFonts w:ascii="Arial" w:cs="Arial" w:eastAsia="Arial" w:hAnsi="Arial"/>
        <w:color w:val="5A6A84"/>
        <w:sz w:val="16"/>
        <w:szCs w:val="16"/>
      </w:rPr>
      <w:t xml:space="preserve">PathScribe AI — Synoptic Library Data Model</w:t>
    </w:r>
    <w:r>
      <w:rPr>
        <w:rFonts w:ascii="Arial" w:cs="Arial" w:eastAsia="Arial" w:hAnsi="Arial"/>
        <w:sz w:val="16"/>
        <w:szCs w:val="16"/>
      </w:rPr>
      <w:t xml:space="preserve">	</w:t>
    </w:r>
    <w:r>
      <w:rPr>
        <w:rFonts w:ascii="Arial" w:cs="Arial" w:eastAsia="Arial" w:hAnsi="Arial"/>
        <w:color w:val="5A6A84"/>
        <w:sz w:val="16"/>
        <w:szCs w:val="16"/>
      </w:rPr>
      <w:t xml:space="preserve">CONFIDENTIAL  |  Engineering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lvl w:ilvl="1" w15:tentative="1">
      <w:start w:val="1"/>
      <w:numFmt w:val="bullet"/>
      <w:lvlText w:val="◦"/>
      <w:lvlJc w:val="left"/>
      <w:pPr>
        <w:ind w:left="8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B3A6B"/>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2E5FA3"/>
      <w:sz w:val="26"/>
      <w:szCs w:val="26"/>
    </w:rPr>
  </w:style>
  <w:style w:type="paragraph" w:styleId="Heading3">
    <w:name w:val="Heading 3"/>
    <w:basedOn w:val="Normal"/>
    <w:next w:val="Normal"/>
    <w:qFormat/>
    <w:pPr>
      <w:spacing w:before="280" w:after="120"/>
      <w:outlineLvl w:val="2"/>
    </w:pPr>
    <w:rPr>
      <w:rFonts w:ascii="Arial" w:cs="Arial" w:eastAsia="Arial" w:hAnsi="Arial"/>
      <w:b/>
      <w:bCs/>
      <w:color w:val="4A7CC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2026-03-05T15:53:29.212Z</dcterms:created>
  <dcterms:modified xsi:type="dcterms:W3CDTF">2026-03-05T15:53:29.213Z</dcterms:modified>
</cp:coreProperties>
</file>

<file path=docProps/custom.xml><?xml version="1.0" encoding="utf-8"?>
<Properties xmlns="http://schemas.openxmlformats.org/officeDocument/2006/custom-properties" xmlns:vt="http://schemas.openxmlformats.org/officeDocument/2006/docPropsVTypes"/>
</file>