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CA929" w14:textId="58AAC82D" w:rsidR="00B076C9" w:rsidRPr="008E7E5A" w:rsidRDefault="00B076C9" w:rsidP="3557C0DB">
      <w:pPr>
        <w:ind w:firstLine="720"/>
        <w:jc w:val="center"/>
        <w:rPr>
          <w:rFonts w:ascii="Arial" w:hAnsi="Arial" w:cs="Arial"/>
        </w:rPr>
      </w:pPr>
      <w:r w:rsidRPr="008E7E5A">
        <w:rPr>
          <w:rFonts w:ascii="Arial" w:hAnsi="Arial" w:cs="Arial"/>
          <w:noProof/>
        </w:rPr>
        <w:drawing>
          <wp:inline distT="0" distB="0" distL="0" distR="0" wp14:anchorId="2ACE5AA3" wp14:editId="5DF90278">
            <wp:extent cx="2838450" cy="3241367"/>
            <wp:effectExtent l="0" t="0" r="0" b="0"/>
            <wp:docPr id="4" name="Picture 3" descr="A logo for a university&#10;&#10;AI-generated content may be incorrect.">
              <a:extLst xmlns:a="http://schemas.openxmlformats.org/drawingml/2006/main">
                <a:ext uri="{FF2B5EF4-FFF2-40B4-BE49-F238E27FC236}">
                  <a16:creationId xmlns:a16="http://schemas.microsoft.com/office/drawing/2014/main" id="{5FD192C3-0F08-F3A4-E30B-EC46F9C8DA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for a university&#10;&#10;AI-generated content may be incorrect.">
                      <a:extLst>
                        <a:ext uri="{FF2B5EF4-FFF2-40B4-BE49-F238E27FC236}">
                          <a16:creationId xmlns:a16="http://schemas.microsoft.com/office/drawing/2014/main" id="{5FD192C3-0F08-F3A4-E30B-EC46F9C8DAE4}"/>
                        </a:ext>
                      </a:extLst>
                    </pic:cNvPr>
                    <pic:cNvPicPr>
                      <a:picLocks noChangeAspect="1"/>
                    </pic:cNvPicPr>
                  </pic:nvPicPr>
                  <pic:blipFill>
                    <a:blip r:embed="rId9"/>
                    <a:srcRect r="-1" b="649"/>
                    <a:stretch>
                      <a:fillRect/>
                    </a:stretch>
                  </pic:blipFill>
                  <pic:spPr>
                    <a:xfrm>
                      <a:off x="0" y="0"/>
                      <a:ext cx="2845445" cy="3249355"/>
                    </a:xfrm>
                    <a:prstGeom prst="rect">
                      <a:avLst/>
                    </a:prstGeom>
                  </pic:spPr>
                </pic:pic>
              </a:graphicData>
            </a:graphic>
          </wp:inline>
        </w:drawing>
      </w:r>
    </w:p>
    <w:p w14:paraId="294D4511" w14:textId="77777777" w:rsidR="00B076C9" w:rsidRPr="008E7E5A" w:rsidRDefault="00B076C9" w:rsidP="00B076C9">
      <w:pPr>
        <w:jc w:val="center"/>
        <w:rPr>
          <w:rFonts w:ascii="Arial" w:hAnsi="Arial" w:cs="Arial"/>
          <w:sz w:val="72"/>
          <w:szCs w:val="72"/>
        </w:rPr>
      </w:pPr>
      <w:r w:rsidRPr="008E7E5A">
        <w:rPr>
          <w:rFonts w:ascii="Arial" w:hAnsi="Arial" w:cs="Arial"/>
          <w:sz w:val="72"/>
          <w:szCs w:val="72"/>
        </w:rPr>
        <w:t xml:space="preserve">IS 602 </w:t>
      </w:r>
    </w:p>
    <w:p w14:paraId="7C2DEDB9" w14:textId="119CF571" w:rsidR="00B076C9" w:rsidRPr="008E7E5A" w:rsidRDefault="00B076C9" w:rsidP="00B076C9">
      <w:pPr>
        <w:jc w:val="center"/>
        <w:rPr>
          <w:rFonts w:ascii="Arial" w:hAnsi="Arial" w:cs="Arial"/>
          <w:sz w:val="48"/>
          <w:szCs w:val="48"/>
        </w:rPr>
      </w:pPr>
      <w:r w:rsidRPr="008E7E5A">
        <w:rPr>
          <w:rFonts w:ascii="Arial" w:hAnsi="Arial" w:cs="Arial"/>
          <w:sz w:val="48"/>
          <w:szCs w:val="48"/>
        </w:rPr>
        <w:t>Spreadsheet Modelling for Decision-Making</w:t>
      </w:r>
    </w:p>
    <w:p w14:paraId="5B8F9DE5" w14:textId="7760503B" w:rsidR="00B076C9" w:rsidRPr="008E7E5A" w:rsidRDefault="00B076C9" w:rsidP="00B076C9">
      <w:pPr>
        <w:jc w:val="center"/>
        <w:rPr>
          <w:rFonts w:ascii="Arial" w:hAnsi="Arial" w:cs="Arial"/>
          <w:sz w:val="48"/>
          <w:szCs w:val="48"/>
        </w:rPr>
      </w:pPr>
      <w:r w:rsidRPr="008E7E5A">
        <w:rPr>
          <w:rFonts w:ascii="Arial" w:hAnsi="Arial" w:cs="Arial"/>
          <w:sz w:val="48"/>
          <w:szCs w:val="48"/>
        </w:rPr>
        <w:t>G2-Group 6</w:t>
      </w:r>
    </w:p>
    <w:p w14:paraId="0A7651CC" w14:textId="77777777" w:rsidR="00B076C9" w:rsidRPr="008E7E5A" w:rsidRDefault="00B076C9" w:rsidP="00B076C9">
      <w:pPr>
        <w:jc w:val="center"/>
        <w:rPr>
          <w:rFonts w:ascii="Arial" w:hAnsi="Arial" w:cs="Arial"/>
          <w:sz w:val="28"/>
          <w:szCs w:val="28"/>
        </w:rPr>
      </w:pPr>
      <w:r w:rsidRPr="008E7E5A">
        <w:rPr>
          <w:rFonts w:ascii="Arial" w:hAnsi="Arial" w:cs="Arial"/>
          <w:sz w:val="28"/>
          <w:szCs w:val="28"/>
        </w:rPr>
        <w:t>Akshaya Vijayakumar Sivakami</w:t>
      </w:r>
    </w:p>
    <w:p w14:paraId="782CB102" w14:textId="77777777" w:rsidR="00B076C9" w:rsidRPr="008E7E5A" w:rsidRDefault="00B076C9" w:rsidP="00B076C9">
      <w:pPr>
        <w:jc w:val="center"/>
        <w:rPr>
          <w:rFonts w:ascii="Arial" w:hAnsi="Arial" w:cs="Arial"/>
          <w:sz w:val="28"/>
          <w:szCs w:val="28"/>
        </w:rPr>
      </w:pPr>
      <w:r w:rsidRPr="008E7E5A">
        <w:rPr>
          <w:rFonts w:ascii="Arial" w:hAnsi="Arial" w:cs="Arial"/>
          <w:sz w:val="28"/>
          <w:szCs w:val="28"/>
        </w:rPr>
        <w:t>Carina Faith Peh Xin Yi</w:t>
      </w:r>
    </w:p>
    <w:p w14:paraId="658F98E1" w14:textId="77777777" w:rsidR="00B076C9" w:rsidRPr="008E7E5A" w:rsidRDefault="00B076C9" w:rsidP="00B076C9">
      <w:pPr>
        <w:jc w:val="center"/>
        <w:rPr>
          <w:rFonts w:ascii="Arial" w:hAnsi="Arial" w:cs="Arial"/>
          <w:sz w:val="28"/>
          <w:szCs w:val="28"/>
        </w:rPr>
      </w:pPr>
      <w:r w:rsidRPr="008E7E5A">
        <w:rPr>
          <w:rFonts w:ascii="Arial" w:hAnsi="Arial" w:cs="Arial"/>
          <w:sz w:val="28"/>
          <w:szCs w:val="28"/>
        </w:rPr>
        <w:t>Cher In Teo </w:t>
      </w:r>
    </w:p>
    <w:p w14:paraId="50E8D304" w14:textId="77777777" w:rsidR="00B076C9" w:rsidRPr="008E7E5A" w:rsidRDefault="00B076C9" w:rsidP="00B076C9">
      <w:pPr>
        <w:jc w:val="center"/>
        <w:rPr>
          <w:rFonts w:ascii="Arial" w:hAnsi="Arial" w:cs="Arial"/>
          <w:sz w:val="28"/>
          <w:szCs w:val="28"/>
        </w:rPr>
      </w:pPr>
      <w:r w:rsidRPr="008E7E5A">
        <w:rPr>
          <w:rFonts w:ascii="Arial" w:hAnsi="Arial" w:cs="Arial"/>
          <w:sz w:val="28"/>
          <w:szCs w:val="28"/>
        </w:rPr>
        <w:t>Serene Cheng </w:t>
      </w:r>
    </w:p>
    <w:p w14:paraId="0EF43425" w14:textId="77777777" w:rsidR="00B076C9" w:rsidRPr="008E7E5A" w:rsidRDefault="00B076C9" w:rsidP="00B076C9">
      <w:pPr>
        <w:jc w:val="center"/>
        <w:rPr>
          <w:rFonts w:ascii="Arial" w:hAnsi="Arial" w:cs="Arial"/>
          <w:sz w:val="28"/>
          <w:szCs w:val="28"/>
        </w:rPr>
      </w:pPr>
      <w:r w:rsidRPr="008E7E5A">
        <w:rPr>
          <w:rFonts w:ascii="Arial" w:hAnsi="Arial" w:cs="Arial"/>
          <w:sz w:val="28"/>
          <w:szCs w:val="28"/>
        </w:rPr>
        <w:t>Xiong Yu</w:t>
      </w:r>
    </w:p>
    <w:p w14:paraId="2226C17B" w14:textId="77777777" w:rsidR="00B076C9" w:rsidRPr="008E7E5A" w:rsidRDefault="00B076C9" w:rsidP="00B076C9">
      <w:pPr>
        <w:jc w:val="center"/>
        <w:rPr>
          <w:rFonts w:ascii="Arial" w:hAnsi="Arial" w:cs="Arial"/>
          <w:sz w:val="28"/>
          <w:szCs w:val="28"/>
        </w:rPr>
      </w:pPr>
    </w:p>
    <w:p w14:paraId="016CCD28" w14:textId="77777777" w:rsidR="00B076C9" w:rsidRPr="008E7E5A" w:rsidRDefault="00B076C9" w:rsidP="00B076C9">
      <w:pPr>
        <w:jc w:val="center"/>
        <w:rPr>
          <w:rFonts w:ascii="Arial" w:hAnsi="Arial" w:cs="Arial"/>
          <w:sz w:val="28"/>
          <w:szCs w:val="28"/>
        </w:rPr>
      </w:pPr>
    </w:p>
    <w:p w14:paraId="1A2C92DF" w14:textId="77777777" w:rsidR="00B076C9" w:rsidRPr="008E7E5A" w:rsidRDefault="00B076C9" w:rsidP="00B076C9">
      <w:pPr>
        <w:jc w:val="center"/>
        <w:rPr>
          <w:rFonts w:ascii="Arial" w:hAnsi="Arial" w:cs="Arial"/>
          <w:sz w:val="28"/>
          <w:szCs w:val="28"/>
        </w:rPr>
      </w:pPr>
    </w:p>
    <w:p w14:paraId="36CC6D32" w14:textId="77777777" w:rsidR="00B076C9" w:rsidRPr="008E7E5A" w:rsidRDefault="00B076C9" w:rsidP="00B076C9">
      <w:pPr>
        <w:jc w:val="center"/>
        <w:rPr>
          <w:rFonts w:ascii="Arial" w:hAnsi="Arial" w:cs="Arial"/>
          <w:sz w:val="28"/>
          <w:szCs w:val="28"/>
        </w:rPr>
      </w:pPr>
    </w:p>
    <w:p w14:paraId="60C60C33" w14:textId="77777777" w:rsidR="00B076C9" w:rsidRPr="008E7E5A" w:rsidRDefault="00B076C9" w:rsidP="00B076C9">
      <w:pPr>
        <w:jc w:val="center"/>
        <w:rPr>
          <w:rFonts w:ascii="Arial" w:hAnsi="Arial" w:cs="Arial"/>
          <w:sz w:val="28"/>
          <w:szCs w:val="28"/>
        </w:rPr>
      </w:pPr>
    </w:p>
    <w:p w14:paraId="393CCA69" w14:textId="77777777" w:rsidR="00B076C9" w:rsidRPr="008E7E5A" w:rsidRDefault="00B076C9" w:rsidP="00B076C9">
      <w:pPr>
        <w:jc w:val="center"/>
        <w:rPr>
          <w:rFonts w:ascii="Arial" w:hAnsi="Arial" w:cs="Arial"/>
          <w:sz w:val="28"/>
          <w:szCs w:val="28"/>
        </w:rPr>
      </w:pPr>
    </w:p>
    <w:sdt>
      <w:sdtPr>
        <w:rPr>
          <w:rFonts w:ascii="Arial" w:eastAsia="SimSun" w:hAnsi="Arial" w:cs="Arial"/>
          <w:color w:val="auto"/>
          <w:kern w:val="2"/>
          <w:sz w:val="22"/>
          <w:szCs w:val="22"/>
          <w:lang w:val="en-SG"/>
          <w14:ligatures w14:val="standardContextual"/>
        </w:rPr>
        <w:id w:val="445187719"/>
        <w:docPartObj>
          <w:docPartGallery w:val="Table of Contents"/>
          <w:docPartUnique/>
        </w:docPartObj>
      </w:sdtPr>
      <w:sdtEndPr/>
      <w:sdtContent>
        <w:p w14:paraId="173A2591" w14:textId="276EFE7D" w:rsidR="007E6771" w:rsidRPr="008E7E5A" w:rsidRDefault="007E6771">
          <w:pPr>
            <w:pStyle w:val="TOCHeading"/>
            <w:rPr>
              <w:rFonts w:ascii="Arial" w:hAnsi="Arial" w:cs="Arial"/>
            </w:rPr>
          </w:pPr>
          <w:r w:rsidRPr="008E7E5A">
            <w:rPr>
              <w:rFonts w:ascii="Arial" w:hAnsi="Arial" w:cs="Arial"/>
            </w:rPr>
            <w:t>Contents</w:t>
          </w:r>
        </w:p>
        <w:p w14:paraId="1D5C62E8" w14:textId="14EFB582" w:rsidR="00E15E33" w:rsidRPr="008E7E5A" w:rsidRDefault="000C125C">
          <w:pPr>
            <w:pStyle w:val="TOC1"/>
            <w:tabs>
              <w:tab w:val="right" w:leader="dot" w:pos="9016"/>
            </w:tabs>
            <w:rPr>
              <w:rFonts w:ascii="Arial" w:eastAsiaTheme="minorEastAsia" w:hAnsi="Arial" w:cs="Arial"/>
              <w:noProof/>
              <w:sz w:val="24"/>
              <w:szCs w:val="24"/>
              <w:lang w:eastAsia="zh-CN"/>
            </w:rPr>
          </w:pPr>
          <w:r w:rsidRPr="008E7E5A">
            <w:rPr>
              <w:rFonts w:ascii="Arial" w:hAnsi="Arial" w:cs="Arial"/>
            </w:rPr>
            <w:fldChar w:fldCharType="begin"/>
          </w:r>
          <w:r w:rsidR="007E6771" w:rsidRPr="008E7E5A">
            <w:rPr>
              <w:rFonts w:ascii="Arial" w:hAnsi="Arial" w:cs="Arial"/>
            </w:rPr>
            <w:instrText>TOC \o "1-3" \z \u \h</w:instrText>
          </w:r>
          <w:r w:rsidRPr="008E7E5A">
            <w:rPr>
              <w:rFonts w:ascii="Arial" w:hAnsi="Arial" w:cs="Arial"/>
            </w:rPr>
            <w:fldChar w:fldCharType="separate"/>
          </w:r>
          <w:hyperlink w:anchor="_Toc225459965" w:history="1">
            <w:r w:rsidR="00E15E33" w:rsidRPr="008E7E5A">
              <w:rPr>
                <w:rStyle w:val="Hyperlink"/>
                <w:rFonts w:ascii="Arial" w:hAnsi="Arial" w:cs="Arial"/>
                <w:noProof/>
              </w:rPr>
              <w:t>Introduction</w:t>
            </w:r>
            <w:r w:rsidR="00E15E33" w:rsidRPr="008E7E5A">
              <w:rPr>
                <w:rFonts w:ascii="Arial" w:hAnsi="Arial" w:cs="Arial"/>
                <w:noProof/>
                <w:webHidden/>
              </w:rPr>
              <w:tab/>
            </w:r>
            <w:r w:rsidR="00E15E33" w:rsidRPr="008E7E5A">
              <w:rPr>
                <w:rFonts w:ascii="Arial" w:hAnsi="Arial" w:cs="Arial"/>
                <w:noProof/>
                <w:webHidden/>
              </w:rPr>
              <w:fldChar w:fldCharType="begin"/>
            </w:r>
            <w:r w:rsidR="00E15E33" w:rsidRPr="008E7E5A">
              <w:rPr>
                <w:rFonts w:ascii="Arial" w:hAnsi="Arial" w:cs="Arial"/>
                <w:noProof/>
                <w:webHidden/>
              </w:rPr>
              <w:instrText xml:space="preserve"> PAGEREF _Toc225459965 \h </w:instrText>
            </w:r>
            <w:r w:rsidR="00E15E33" w:rsidRPr="008E7E5A">
              <w:rPr>
                <w:rFonts w:ascii="Arial" w:hAnsi="Arial" w:cs="Arial"/>
                <w:noProof/>
                <w:webHidden/>
              </w:rPr>
            </w:r>
            <w:r w:rsidR="00E15E33" w:rsidRPr="008E7E5A">
              <w:rPr>
                <w:rFonts w:ascii="Arial" w:hAnsi="Arial" w:cs="Arial"/>
                <w:noProof/>
                <w:webHidden/>
              </w:rPr>
              <w:fldChar w:fldCharType="separate"/>
            </w:r>
            <w:r w:rsidR="00E15E33" w:rsidRPr="008E7E5A">
              <w:rPr>
                <w:rFonts w:ascii="Arial" w:hAnsi="Arial" w:cs="Arial"/>
                <w:noProof/>
                <w:webHidden/>
              </w:rPr>
              <w:t>3</w:t>
            </w:r>
            <w:r w:rsidR="00E15E33" w:rsidRPr="008E7E5A">
              <w:rPr>
                <w:rFonts w:ascii="Arial" w:hAnsi="Arial" w:cs="Arial"/>
                <w:noProof/>
                <w:webHidden/>
              </w:rPr>
              <w:fldChar w:fldCharType="end"/>
            </w:r>
          </w:hyperlink>
        </w:p>
        <w:p w14:paraId="7C4B25FC" w14:textId="31126E9A" w:rsidR="00E15E33" w:rsidRPr="008E7E5A" w:rsidRDefault="00E15E33">
          <w:pPr>
            <w:pStyle w:val="TOC1"/>
            <w:tabs>
              <w:tab w:val="left" w:pos="1200"/>
              <w:tab w:val="right" w:leader="dot" w:pos="9016"/>
            </w:tabs>
            <w:rPr>
              <w:rFonts w:ascii="Arial" w:eastAsiaTheme="minorEastAsia" w:hAnsi="Arial" w:cs="Arial"/>
              <w:noProof/>
              <w:sz w:val="24"/>
              <w:szCs w:val="24"/>
              <w:lang w:eastAsia="zh-CN"/>
            </w:rPr>
          </w:pPr>
          <w:hyperlink w:anchor="_Toc225459966" w:history="1">
            <w:r w:rsidRPr="008E7E5A">
              <w:rPr>
                <w:rStyle w:val="Hyperlink"/>
                <w:rFonts w:ascii="Arial" w:hAnsi="Arial" w:cs="Arial"/>
                <w:noProof/>
              </w:rPr>
              <w:t>Module 1</w:t>
            </w:r>
            <w:r w:rsidRPr="008E7E5A">
              <w:rPr>
                <w:rFonts w:ascii="Arial" w:eastAsiaTheme="minorEastAsia" w:hAnsi="Arial" w:cs="Arial"/>
                <w:noProof/>
                <w:sz w:val="24"/>
                <w:szCs w:val="24"/>
                <w:lang w:eastAsia="zh-CN"/>
              </w:rPr>
              <w:tab/>
            </w:r>
            <w:r w:rsidRPr="008E7E5A">
              <w:rPr>
                <w:rStyle w:val="Hyperlink"/>
                <w:rFonts w:ascii="Arial" w:hAnsi="Arial" w:cs="Arial"/>
                <w:noProof/>
              </w:rPr>
              <w:t>Demographic Projection</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_Toc225459966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3</w:t>
            </w:r>
            <w:r w:rsidRPr="008E7E5A">
              <w:rPr>
                <w:rFonts w:ascii="Arial" w:hAnsi="Arial" w:cs="Arial"/>
                <w:noProof/>
                <w:webHidden/>
              </w:rPr>
              <w:fldChar w:fldCharType="end"/>
            </w:r>
          </w:hyperlink>
        </w:p>
        <w:p w14:paraId="69FD2E3A" w14:textId="7D8530AF"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67" w:history="1">
            <w:r w:rsidRPr="008E7E5A">
              <w:rPr>
                <w:rStyle w:val="Hyperlink"/>
                <w:rFonts w:ascii="Arial" w:hAnsi="Arial" w:cs="Arial"/>
                <w:noProof/>
              </w:rPr>
              <w:t>1.1</w:t>
            </w:r>
            <w:r w:rsidRPr="008E7E5A">
              <w:rPr>
                <w:rFonts w:ascii="Arial" w:eastAsiaTheme="minorEastAsia" w:hAnsi="Arial" w:cs="Arial"/>
                <w:noProof/>
                <w:sz w:val="24"/>
                <w:szCs w:val="24"/>
                <w:lang w:eastAsia="zh-CN"/>
              </w:rPr>
              <w:tab/>
            </w:r>
            <w:r w:rsidRPr="008E7E5A">
              <w:rPr>
                <w:rStyle w:val="Hyperlink"/>
                <w:rFonts w:ascii="Arial" w:hAnsi="Arial" w:cs="Arial"/>
                <w:noProof/>
              </w:rPr>
              <w:t>Mortality &amp; Fertility Rates</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_Toc225459967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4</w:t>
            </w:r>
            <w:r w:rsidRPr="008E7E5A">
              <w:rPr>
                <w:rFonts w:ascii="Arial" w:hAnsi="Arial" w:cs="Arial"/>
                <w:noProof/>
                <w:webHidden/>
              </w:rPr>
              <w:fldChar w:fldCharType="end"/>
            </w:r>
          </w:hyperlink>
        </w:p>
        <w:p w14:paraId="30E366AD" w14:textId="7D1F663F"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68" w:history="1">
            <w:r w:rsidRPr="008E7E5A">
              <w:rPr>
                <w:rStyle w:val="Hyperlink"/>
                <w:rFonts w:ascii="Arial" w:hAnsi="Arial" w:cs="Arial"/>
                <w:noProof/>
              </w:rPr>
              <w:t>1.2</w:t>
            </w:r>
            <w:r w:rsidRPr="008E7E5A">
              <w:rPr>
                <w:rFonts w:ascii="Arial" w:eastAsiaTheme="minorEastAsia" w:hAnsi="Arial" w:cs="Arial"/>
                <w:noProof/>
                <w:sz w:val="24"/>
                <w:szCs w:val="24"/>
                <w:lang w:eastAsia="zh-CN"/>
              </w:rPr>
              <w:tab/>
            </w:r>
            <w:r w:rsidRPr="008E7E5A">
              <w:rPr>
                <w:rStyle w:val="Hyperlink"/>
                <w:rFonts w:ascii="Arial" w:hAnsi="Arial" w:cs="Arial"/>
                <w:noProof/>
              </w:rPr>
              <w:t>Demographic Projection</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_Toc225459968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4</w:t>
            </w:r>
            <w:r w:rsidRPr="008E7E5A">
              <w:rPr>
                <w:rFonts w:ascii="Arial" w:hAnsi="Arial" w:cs="Arial"/>
                <w:noProof/>
                <w:webHidden/>
              </w:rPr>
              <w:fldChar w:fldCharType="end"/>
            </w:r>
          </w:hyperlink>
        </w:p>
        <w:p w14:paraId="1EE6BB23" w14:textId="4B6B78B1"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69" w:history="1">
            <w:r w:rsidRPr="008E7E5A">
              <w:rPr>
                <w:rStyle w:val="Hyperlink"/>
                <w:rFonts w:ascii="Arial" w:hAnsi="Arial" w:cs="Arial"/>
                <w:noProof/>
              </w:rPr>
              <w:t>1.3</w:t>
            </w:r>
            <w:r w:rsidRPr="008E7E5A">
              <w:rPr>
                <w:rFonts w:ascii="Arial" w:eastAsiaTheme="minorEastAsia" w:hAnsi="Arial" w:cs="Arial"/>
                <w:noProof/>
                <w:sz w:val="24"/>
                <w:szCs w:val="24"/>
                <w:lang w:eastAsia="zh-CN"/>
              </w:rPr>
              <w:tab/>
            </w:r>
            <w:r w:rsidRPr="008E7E5A">
              <w:rPr>
                <w:rStyle w:val="Hyperlink"/>
                <w:rFonts w:ascii="Arial" w:hAnsi="Arial" w:cs="Arial"/>
                <w:noProof/>
              </w:rPr>
              <w:t>Conclusion</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_Toc225459969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4</w:t>
            </w:r>
            <w:r w:rsidRPr="008E7E5A">
              <w:rPr>
                <w:rFonts w:ascii="Arial" w:hAnsi="Arial" w:cs="Arial"/>
                <w:noProof/>
                <w:webHidden/>
              </w:rPr>
              <w:fldChar w:fldCharType="end"/>
            </w:r>
          </w:hyperlink>
        </w:p>
        <w:p w14:paraId="14A601B6" w14:textId="66547D5D" w:rsidR="00E15E33" w:rsidRPr="008E7E5A" w:rsidRDefault="00E15E33">
          <w:pPr>
            <w:pStyle w:val="TOC1"/>
            <w:tabs>
              <w:tab w:val="left" w:pos="1200"/>
              <w:tab w:val="right" w:leader="dot" w:pos="9016"/>
            </w:tabs>
            <w:rPr>
              <w:rFonts w:ascii="Arial" w:eastAsiaTheme="minorEastAsia" w:hAnsi="Arial" w:cs="Arial"/>
              <w:noProof/>
              <w:sz w:val="24"/>
              <w:szCs w:val="24"/>
              <w:lang w:eastAsia="zh-CN"/>
            </w:rPr>
          </w:pPr>
          <w:hyperlink w:anchor="_Toc225459970" w:history="1">
            <w:r w:rsidRPr="008E7E5A">
              <w:rPr>
                <w:rStyle w:val="Hyperlink"/>
                <w:rFonts w:ascii="Arial" w:hAnsi="Arial" w:cs="Arial"/>
                <w:noProof/>
              </w:rPr>
              <w:t>Module 2</w:t>
            </w:r>
            <w:r w:rsidRPr="008E7E5A">
              <w:rPr>
                <w:rFonts w:ascii="Arial" w:eastAsiaTheme="minorEastAsia" w:hAnsi="Arial" w:cs="Arial"/>
                <w:noProof/>
                <w:sz w:val="24"/>
                <w:szCs w:val="24"/>
                <w:lang w:eastAsia="zh-CN"/>
              </w:rPr>
              <w:tab/>
            </w:r>
            <w:r w:rsidRPr="008E7E5A">
              <w:rPr>
                <w:rStyle w:val="Hyperlink"/>
                <w:rFonts w:ascii="Arial" w:hAnsi="Arial" w:cs="Arial"/>
                <w:noProof/>
              </w:rPr>
              <w:t>Hospital Demand and Admission Forecasting</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_Toc225459970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5</w:t>
            </w:r>
            <w:r w:rsidRPr="008E7E5A">
              <w:rPr>
                <w:rFonts w:ascii="Arial" w:hAnsi="Arial" w:cs="Arial"/>
                <w:noProof/>
                <w:webHidden/>
              </w:rPr>
              <w:fldChar w:fldCharType="end"/>
            </w:r>
          </w:hyperlink>
        </w:p>
        <w:p w14:paraId="3F9C6E58" w14:textId="6A12AD42"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71" w:history="1">
            <w:r w:rsidRPr="008E7E5A">
              <w:rPr>
                <w:rStyle w:val="Hyperlink"/>
                <w:rFonts w:ascii="Arial" w:hAnsi="Arial" w:cs="Arial"/>
                <w:noProof/>
              </w:rPr>
              <w:t>2.1</w:t>
            </w:r>
            <w:r w:rsidRPr="008E7E5A">
              <w:rPr>
                <w:rFonts w:ascii="Arial" w:eastAsiaTheme="minorEastAsia" w:hAnsi="Arial" w:cs="Arial"/>
                <w:noProof/>
                <w:sz w:val="24"/>
                <w:szCs w:val="24"/>
                <w:lang w:eastAsia="zh-CN"/>
              </w:rPr>
              <w:tab/>
            </w:r>
            <w:r w:rsidRPr="008E7E5A">
              <w:rPr>
                <w:rStyle w:val="Hyperlink"/>
                <w:rFonts w:ascii="Arial" w:hAnsi="Arial" w:cs="Arial"/>
                <w:noProof/>
              </w:rPr>
              <w:t>Projected Bed Occupancy Rate (BOR)</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_Toc225459971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5</w:t>
            </w:r>
            <w:r w:rsidRPr="008E7E5A">
              <w:rPr>
                <w:rFonts w:ascii="Arial" w:hAnsi="Arial" w:cs="Arial"/>
                <w:noProof/>
                <w:webHidden/>
              </w:rPr>
              <w:fldChar w:fldCharType="end"/>
            </w:r>
          </w:hyperlink>
        </w:p>
        <w:p w14:paraId="6F420DE4" w14:textId="7D09E61B"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72" w:history="1">
            <w:r w:rsidRPr="008E7E5A">
              <w:rPr>
                <w:rStyle w:val="Hyperlink"/>
                <w:rFonts w:ascii="Arial" w:hAnsi="Arial" w:cs="Arial"/>
                <w:noProof/>
              </w:rPr>
              <w:t>2.2</w:t>
            </w:r>
            <w:r w:rsidRPr="008E7E5A">
              <w:rPr>
                <w:rFonts w:ascii="Arial" w:eastAsiaTheme="minorEastAsia" w:hAnsi="Arial" w:cs="Arial"/>
                <w:noProof/>
                <w:sz w:val="24"/>
                <w:szCs w:val="24"/>
                <w:lang w:eastAsia="zh-CN"/>
              </w:rPr>
              <w:tab/>
            </w:r>
            <w:r w:rsidRPr="008E7E5A">
              <w:rPr>
                <w:rStyle w:val="Hyperlink"/>
                <w:rFonts w:ascii="Arial" w:hAnsi="Arial" w:cs="Arial"/>
                <w:noProof/>
              </w:rPr>
              <w:t>Sensitivity Analysis</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_Toc225459972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6</w:t>
            </w:r>
            <w:r w:rsidRPr="008E7E5A">
              <w:rPr>
                <w:rFonts w:ascii="Arial" w:hAnsi="Arial" w:cs="Arial"/>
                <w:noProof/>
                <w:webHidden/>
              </w:rPr>
              <w:fldChar w:fldCharType="end"/>
            </w:r>
          </w:hyperlink>
        </w:p>
        <w:p w14:paraId="541BE18F" w14:textId="0B279309"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73" w:history="1">
            <w:r w:rsidRPr="008E7E5A">
              <w:rPr>
                <w:rStyle w:val="Hyperlink"/>
                <w:rFonts w:ascii="Arial" w:hAnsi="Arial" w:cs="Arial"/>
                <w:noProof/>
              </w:rPr>
              <w:t>2.3</w:t>
            </w:r>
            <w:r w:rsidRPr="008E7E5A">
              <w:rPr>
                <w:rFonts w:ascii="Arial" w:eastAsiaTheme="minorEastAsia" w:hAnsi="Arial" w:cs="Arial"/>
                <w:noProof/>
                <w:sz w:val="24"/>
                <w:szCs w:val="24"/>
                <w:lang w:eastAsia="zh-CN"/>
              </w:rPr>
              <w:tab/>
            </w:r>
            <w:r w:rsidRPr="008E7E5A">
              <w:rPr>
                <w:rStyle w:val="Hyperlink"/>
                <w:rFonts w:ascii="Arial" w:hAnsi="Arial" w:cs="Arial"/>
                <w:noProof/>
              </w:rPr>
              <w:t>Trade-Off Analysis: BOR vs. Annual Bed Expansion Rate</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_Toc225459973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6</w:t>
            </w:r>
            <w:r w:rsidRPr="008E7E5A">
              <w:rPr>
                <w:rFonts w:ascii="Arial" w:hAnsi="Arial" w:cs="Arial"/>
                <w:noProof/>
                <w:webHidden/>
              </w:rPr>
              <w:fldChar w:fldCharType="end"/>
            </w:r>
          </w:hyperlink>
        </w:p>
        <w:p w14:paraId="4CA8FCFF" w14:textId="29499338"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74" w:history="1">
            <w:r w:rsidRPr="008E7E5A">
              <w:rPr>
                <w:rStyle w:val="Hyperlink"/>
                <w:rFonts w:ascii="Arial" w:hAnsi="Arial" w:cs="Arial"/>
                <w:noProof/>
              </w:rPr>
              <w:t xml:space="preserve">2.4. </w:t>
            </w:r>
            <w:r w:rsidRPr="008E7E5A">
              <w:rPr>
                <w:rFonts w:ascii="Arial" w:eastAsiaTheme="minorEastAsia" w:hAnsi="Arial" w:cs="Arial"/>
                <w:noProof/>
                <w:sz w:val="24"/>
                <w:szCs w:val="24"/>
                <w:lang w:eastAsia="zh-CN"/>
              </w:rPr>
              <w:tab/>
            </w:r>
            <w:r w:rsidRPr="008E7E5A">
              <w:rPr>
                <w:rStyle w:val="Hyperlink"/>
                <w:rFonts w:ascii="Arial" w:hAnsi="Arial" w:cs="Arial"/>
                <w:noProof/>
              </w:rPr>
              <w:t>Conclusion</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_Toc225459974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6</w:t>
            </w:r>
            <w:r w:rsidRPr="008E7E5A">
              <w:rPr>
                <w:rFonts w:ascii="Arial" w:hAnsi="Arial" w:cs="Arial"/>
                <w:noProof/>
                <w:webHidden/>
              </w:rPr>
              <w:fldChar w:fldCharType="end"/>
            </w:r>
          </w:hyperlink>
        </w:p>
        <w:p w14:paraId="09FE9882" w14:textId="7FAFEBBF" w:rsidR="00E15E33" w:rsidRPr="008E7E5A" w:rsidRDefault="00E15E33">
          <w:pPr>
            <w:pStyle w:val="TOC1"/>
            <w:tabs>
              <w:tab w:val="left" w:pos="1200"/>
              <w:tab w:val="right" w:leader="dot" w:pos="9016"/>
            </w:tabs>
            <w:rPr>
              <w:rFonts w:ascii="Arial" w:eastAsiaTheme="minorEastAsia" w:hAnsi="Arial" w:cs="Arial"/>
              <w:noProof/>
              <w:sz w:val="24"/>
              <w:szCs w:val="24"/>
              <w:lang w:eastAsia="zh-CN"/>
            </w:rPr>
          </w:pPr>
          <w:hyperlink w:anchor="_Toc225459975" w:history="1">
            <w:r w:rsidRPr="008E7E5A">
              <w:rPr>
                <w:rStyle w:val="Hyperlink"/>
                <w:rFonts w:ascii="Arial" w:hAnsi="Arial" w:cs="Arial"/>
                <w:noProof/>
              </w:rPr>
              <w:t>Module 3</w:t>
            </w:r>
            <w:r w:rsidRPr="008E7E5A">
              <w:rPr>
                <w:rFonts w:ascii="Arial" w:eastAsiaTheme="minorEastAsia" w:hAnsi="Arial" w:cs="Arial"/>
                <w:noProof/>
                <w:sz w:val="24"/>
                <w:szCs w:val="24"/>
                <w:lang w:eastAsia="zh-CN"/>
              </w:rPr>
              <w:tab/>
            </w:r>
            <w:r w:rsidRPr="008E7E5A">
              <w:rPr>
                <w:rStyle w:val="Hyperlink"/>
                <w:rFonts w:ascii="Arial" w:hAnsi="Arial" w:cs="Arial"/>
                <w:noProof/>
              </w:rPr>
              <w:t>Government Healthcare Costs Projection</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_Toc225459975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7</w:t>
            </w:r>
            <w:r w:rsidRPr="008E7E5A">
              <w:rPr>
                <w:rFonts w:ascii="Arial" w:hAnsi="Arial" w:cs="Arial"/>
                <w:noProof/>
                <w:webHidden/>
              </w:rPr>
              <w:fldChar w:fldCharType="end"/>
            </w:r>
          </w:hyperlink>
        </w:p>
        <w:p w14:paraId="072D6CDA" w14:textId="1CF67E8E"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76" w:history="1">
            <w:r w:rsidRPr="008E7E5A">
              <w:rPr>
                <w:rStyle w:val="Hyperlink"/>
                <w:rFonts w:ascii="Arial" w:hAnsi="Arial" w:cs="Arial"/>
                <w:noProof/>
              </w:rPr>
              <w:t>3.1</w:t>
            </w:r>
            <w:r w:rsidRPr="008E7E5A">
              <w:rPr>
                <w:rFonts w:ascii="Arial" w:eastAsiaTheme="minorEastAsia" w:hAnsi="Arial" w:cs="Arial"/>
                <w:noProof/>
                <w:sz w:val="24"/>
                <w:szCs w:val="24"/>
                <w:lang w:eastAsia="zh-CN"/>
              </w:rPr>
              <w:tab/>
            </w:r>
            <w:r w:rsidRPr="008E7E5A">
              <w:rPr>
                <w:rStyle w:val="Hyperlink"/>
                <w:rFonts w:ascii="Arial" w:hAnsi="Arial" w:cs="Arial"/>
                <w:noProof/>
              </w:rPr>
              <w:t>Projected Government Healthcare Budget</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_Toc225459976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7</w:t>
            </w:r>
            <w:r w:rsidRPr="008E7E5A">
              <w:rPr>
                <w:rFonts w:ascii="Arial" w:hAnsi="Arial" w:cs="Arial"/>
                <w:noProof/>
                <w:webHidden/>
              </w:rPr>
              <w:fldChar w:fldCharType="end"/>
            </w:r>
          </w:hyperlink>
        </w:p>
        <w:p w14:paraId="74B58E74" w14:textId="3CDC2D1D"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77" w:history="1">
            <w:r w:rsidRPr="008E7E5A">
              <w:rPr>
                <w:rStyle w:val="Hyperlink"/>
                <w:rFonts w:ascii="Arial" w:hAnsi="Arial" w:cs="Arial"/>
                <w:noProof/>
              </w:rPr>
              <w:t>3.2</w:t>
            </w:r>
            <w:r w:rsidRPr="008E7E5A">
              <w:rPr>
                <w:rFonts w:ascii="Arial" w:eastAsiaTheme="minorEastAsia" w:hAnsi="Arial" w:cs="Arial"/>
                <w:noProof/>
                <w:sz w:val="24"/>
                <w:szCs w:val="24"/>
                <w:lang w:eastAsia="zh-CN"/>
              </w:rPr>
              <w:tab/>
            </w:r>
            <w:r w:rsidRPr="008E7E5A">
              <w:rPr>
                <w:rStyle w:val="Hyperlink"/>
                <w:rFonts w:ascii="Arial" w:hAnsi="Arial" w:cs="Arial"/>
                <w:noProof/>
              </w:rPr>
              <w:t>Government Healthcare Costs</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_Toc225459977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8</w:t>
            </w:r>
            <w:r w:rsidRPr="008E7E5A">
              <w:rPr>
                <w:rFonts w:ascii="Arial" w:hAnsi="Arial" w:cs="Arial"/>
                <w:noProof/>
                <w:webHidden/>
              </w:rPr>
              <w:fldChar w:fldCharType="end"/>
            </w:r>
          </w:hyperlink>
        </w:p>
        <w:p w14:paraId="7426FF3C" w14:textId="66185C78"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78" w:history="1">
            <w:r w:rsidRPr="008E7E5A">
              <w:rPr>
                <w:rStyle w:val="Hyperlink"/>
                <w:rFonts w:ascii="Arial" w:hAnsi="Arial" w:cs="Arial"/>
                <w:noProof/>
              </w:rPr>
              <w:t>3.3</w:t>
            </w:r>
            <w:r w:rsidRPr="008E7E5A">
              <w:rPr>
                <w:rFonts w:ascii="Arial" w:eastAsiaTheme="minorEastAsia" w:hAnsi="Arial" w:cs="Arial"/>
                <w:noProof/>
                <w:sz w:val="24"/>
                <w:szCs w:val="24"/>
                <w:lang w:eastAsia="zh-CN"/>
              </w:rPr>
              <w:tab/>
            </w:r>
            <w:r w:rsidRPr="008E7E5A">
              <w:rPr>
                <w:rStyle w:val="Hyperlink"/>
                <w:rFonts w:ascii="Arial" w:hAnsi="Arial" w:cs="Arial"/>
                <w:noProof/>
              </w:rPr>
              <w:t>Sensitivity Analysis</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_Toc225459978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8</w:t>
            </w:r>
            <w:r w:rsidRPr="008E7E5A">
              <w:rPr>
                <w:rFonts w:ascii="Arial" w:hAnsi="Arial" w:cs="Arial"/>
                <w:noProof/>
                <w:webHidden/>
              </w:rPr>
              <w:fldChar w:fldCharType="end"/>
            </w:r>
          </w:hyperlink>
        </w:p>
        <w:p w14:paraId="171A8DD2" w14:textId="5448567C"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79" w:history="1">
            <w:r w:rsidRPr="008E7E5A">
              <w:rPr>
                <w:rStyle w:val="Hyperlink"/>
                <w:rFonts w:ascii="Arial" w:hAnsi="Arial" w:cs="Arial"/>
                <w:noProof/>
              </w:rPr>
              <w:t>3.4</w:t>
            </w:r>
            <w:r w:rsidRPr="008E7E5A">
              <w:rPr>
                <w:rFonts w:ascii="Arial" w:eastAsiaTheme="minorEastAsia" w:hAnsi="Arial" w:cs="Arial"/>
                <w:noProof/>
                <w:sz w:val="24"/>
                <w:szCs w:val="24"/>
                <w:lang w:eastAsia="zh-CN"/>
              </w:rPr>
              <w:tab/>
            </w:r>
            <w:r w:rsidRPr="008E7E5A">
              <w:rPr>
                <w:rStyle w:val="Hyperlink"/>
                <w:rFonts w:ascii="Arial" w:hAnsi="Arial" w:cs="Arial"/>
                <w:noProof/>
              </w:rPr>
              <w:t>Conclusion</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_Toc225459979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9</w:t>
            </w:r>
            <w:r w:rsidRPr="008E7E5A">
              <w:rPr>
                <w:rFonts w:ascii="Arial" w:hAnsi="Arial" w:cs="Arial"/>
                <w:noProof/>
                <w:webHidden/>
              </w:rPr>
              <w:fldChar w:fldCharType="end"/>
            </w:r>
          </w:hyperlink>
        </w:p>
        <w:p w14:paraId="70BF6FDA" w14:textId="5E067455" w:rsidR="00E15E33" w:rsidRPr="008E7E5A" w:rsidRDefault="00E15E33">
          <w:pPr>
            <w:pStyle w:val="TOC1"/>
            <w:tabs>
              <w:tab w:val="left" w:pos="1200"/>
              <w:tab w:val="right" w:leader="dot" w:pos="9016"/>
            </w:tabs>
            <w:rPr>
              <w:rFonts w:ascii="Arial" w:eastAsiaTheme="minorEastAsia" w:hAnsi="Arial" w:cs="Arial"/>
              <w:noProof/>
              <w:sz w:val="24"/>
              <w:szCs w:val="24"/>
              <w:lang w:eastAsia="zh-CN"/>
            </w:rPr>
          </w:pPr>
          <w:hyperlink w:anchor="_Toc225459980" w:history="1">
            <w:r w:rsidRPr="008E7E5A">
              <w:rPr>
                <w:rStyle w:val="Hyperlink"/>
                <w:rFonts w:ascii="Arial" w:hAnsi="Arial" w:cs="Arial"/>
                <w:noProof/>
              </w:rPr>
              <w:t>Module 4</w:t>
            </w:r>
            <w:r w:rsidRPr="008E7E5A">
              <w:rPr>
                <w:rFonts w:ascii="Arial" w:eastAsiaTheme="minorEastAsia" w:hAnsi="Arial" w:cs="Arial"/>
                <w:noProof/>
                <w:sz w:val="24"/>
                <w:szCs w:val="24"/>
                <w:lang w:eastAsia="zh-CN"/>
              </w:rPr>
              <w:tab/>
            </w:r>
            <w:r w:rsidRPr="008E7E5A">
              <w:rPr>
                <w:rStyle w:val="Hyperlink"/>
                <w:rFonts w:ascii="Arial" w:hAnsi="Arial" w:cs="Arial"/>
                <w:noProof/>
              </w:rPr>
              <w:t>Financing and Subsidy Sustainability</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_Toc225459980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9</w:t>
            </w:r>
            <w:r w:rsidRPr="008E7E5A">
              <w:rPr>
                <w:rFonts w:ascii="Arial" w:hAnsi="Arial" w:cs="Arial"/>
                <w:noProof/>
                <w:webHidden/>
              </w:rPr>
              <w:fldChar w:fldCharType="end"/>
            </w:r>
          </w:hyperlink>
        </w:p>
        <w:p w14:paraId="7B32F1BB" w14:textId="671E8075"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81" w:history="1">
            <w:r w:rsidRPr="008E7E5A">
              <w:rPr>
                <w:rStyle w:val="Hyperlink"/>
                <w:rFonts w:ascii="Arial" w:hAnsi="Arial" w:cs="Arial"/>
                <w:noProof/>
              </w:rPr>
              <w:t xml:space="preserve">4.1 </w:t>
            </w:r>
            <w:r w:rsidRPr="008E7E5A">
              <w:rPr>
                <w:rFonts w:ascii="Arial" w:eastAsiaTheme="minorEastAsia" w:hAnsi="Arial" w:cs="Arial"/>
                <w:noProof/>
                <w:sz w:val="24"/>
                <w:szCs w:val="24"/>
                <w:lang w:eastAsia="zh-CN"/>
              </w:rPr>
              <w:tab/>
            </w:r>
            <w:r w:rsidRPr="008E7E5A">
              <w:rPr>
                <w:rStyle w:val="Hyperlink"/>
                <w:rFonts w:ascii="Arial" w:hAnsi="Arial" w:cs="Arial"/>
                <w:noProof/>
              </w:rPr>
              <w:t>Household Data and Income Assumptions</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_Toc225459981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9</w:t>
            </w:r>
            <w:r w:rsidRPr="008E7E5A">
              <w:rPr>
                <w:rFonts w:ascii="Arial" w:hAnsi="Arial" w:cs="Arial"/>
                <w:noProof/>
                <w:webHidden/>
              </w:rPr>
              <w:fldChar w:fldCharType="end"/>
            </w:r>
          </w:hyperlink>
        </w:p>
        <w:p w14:paraId="6C7096BB" w14:textId="73A095F3"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82" w:history="1">
            <w:r w:rsidRPr="008E7E5A">
              <w:rPr>
                <w:rStyle w:val="Hyperlink"/>
                <w:rFonts w:ascii="Arial" w:hAnsi="Arial" w:cs="Arial"/>
                <w:noProof/>
              </w:rPr>
              <w:t>4.2</w:t>
            </w:r>
            <w:r w:rsidRPr="008E7E5A">
              <w:rPr>
                <w:rFonts w:ascii="Arial" w:eastAsiaTheme="minorEastAsia" w:hAnsi="Arial" w:cs="Arial"/>
                <w:noProof/>
                <w:sz w:val="24"/>
                <w:szCs w:val="24"/>
                <w:lang w:eastAsia="zh-CN"/>
              </w:rPr>
              <w:tab/>
            </w:r>
            <w:r w:rsidRPr="008E7E5A">
              <w:rPr>
                <w:rStyle w:val="Hyperlink"/>
                <w:rFonts w:ascii="Arial" w:hAnsi="Arial" w:cs="Arial"/>
                <w:noProof/>
              </w:rPr>
              <w:t>Financing Gap Analysis</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_Toc225459982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10</w:t>
            </w:r>
            <w:r w:rsidRPr="008E7E5A">
              <w:rPr>
                <w:rFonts w:ascii="Arial" w:hAnsi="Arial" w:cs="Arial"/>
                <w:noProof/>
                <w:webHidden/>
              </w:rPr>
              <w:fldChar w:fldCharType="end"/>
            </w:r>
          </w:hyperlink>
        </w:p>
        <w:p w14:paraId="36537141" w14:textId="4FA63051"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83" w:history="1">
            <w:r w:rsidRPr="008E7E5A">
              <w:rPr>
                <w:rStyle w:val="Hyperlink"/>
                <w:rFonts w:ascii="Arial" w:hAnsi="Arial" w:cs="Arial"/>
                <w:noProof/>
              </w:rPr>
              <w:t>4.3</w:t>
            </w:r>
            <w:r w:rsidRPr="008E7E5A">
              <w:rPr>
                <w:rFonts w:ascii="Arial" w:eastAsiaTheme="minorEastAsia" w:hAnsi="Arial" w:cs="Arial"/>
                <w:noProof/>
                <w:sz w:val="24"/>
                <w:szCs w:val="24"/>
                <w:lang w:eastAsia="zh-CN"/>
              </w:rPr>
              <w:tab/>
            </w:r>
            <w:r w:rsidRPr="008E7E5A">
              <w:rPr>
                <w:rStyle w:val="Hyperlink"/>
                <w:rFonts w:ascii="Arial" w:hAnsi="Arial" w:cs="Arial"/>
                <w:noProof/>
              </w:rPr>
              <w:t>Household Out-of-Pocket (OOP) Burden</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_Toc225459983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10</w:t>
            </w:r>
            <w:r w:rsidRPr="008E7E5A">
              <w:rPr>
                <w:rFonts w:ascii="Arial" w:hAnsi="Arial" w:cs="Arial"/>
                <w:noProof/>
                <w:webHidden/>
              </w:rPr>
              <w:fldChar w:fldCharType="end"/>
            </w:r>
          </w:hyperlink>
        </w:p>
        <w:p w14:paraId="3A2CA50D" w14:textId="325CEA1F"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84" w:history="1">
            <w:r w:rsidRPr="008E7E5A">
              <w:rPr>
                <w:rStyle w:val="Hyperlink"/>
                <w:rFonts w:ascii="Arial" w:hAnsi="Arial" w:cs="Arial"/>
                <w:noProof/>
              </w:rPr>
              <w:t>4.4</w:t>
            </w:r>
            <w:r w:rsidRPr="008E7E5A">
              <w:rPr>
                <w:rFonts w:ascii="Arial" w:eastAsiaTheme="minorEastAsia" w:hAnsi="Arial" w:cs="Arial"/>
                <w:noProof/>
                <w:sz w:val="24"/>
                <w:szCs w:val="24"/>
                <w:lang w:eastAsia="zh-CN"/>
              </w:rPr>
              <w:tab/>
            </w:r>
            <w:r w:rsidRPr="008E7E5A">
              <w:rPr>
                <w:rStyle w:val="Hyperlink"/>
                <w:rFonts w:ascii="Arial" w:hAnsi="Arial" w:cs="Arial"/>
                <w:noProof/>
              </w:rPr>
              <w:t>Trade-Off Analysis Subsidy rate vs Fiscal Sustainability</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_Toc225459984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11</w:t>
            </w:r>
            <w:r w:rsidRPr="008E7E5A">
              <w:rPr>
                <w:rFonts w:ascii="Arial" w:hAnsi="Arial" w:cs="Arial"/>
                <w:noProof/>
                <w:webHidden/>
              </w:rPr>
              <w:fldChar w:fldCharType="end"/>
            </w:r>
          </w:hyperlink>
        </w:p>
        <w:p w14:paraId="5DC4C6C7" w14:textId="3E94C6D0" w:rsidR="00E15E33" w:rsidRPr="008E7E5A" w:rsidRDefault="00E15E33">
          <w:pPr>
            <w:pStyle w:val="TOC2"/>
            <w:tabs>
              <w:tab w:val="left" w:pos="960"/>
              <w:tab w:val="right" w:leader="dot" w:pos="9016"/>
            </w:tabs>
            <w:rPr>
              <w:rFonts w:ascii="Arial" w:eastAsiaTheme="minorEastAsia" w:hAnsi="Arial" w:cs="Arial"/>
              <w:noProof/>
              <w:sz w:val="24"/>
              <w:szCs w:val="24"/>
              <w:lang w:eastAsia="zh-CN"/>
            </w:rPr>
          </w:pPr>
          <w:hyperlink w:anchor="_Toc225459985" w:history="1">
            <w:r w:rsidRPr="008E7E5A">
              <w:rPr>
                <w:rStyle w:val="Hyperlink"/>
                <w:rFonts w:ascii="Arial" w:hAnsi="Arial" w:cs="Arial"/>
                <w:noProof/>
              </w:rPr>
              <w:t>4.5</w:t>
            </w:r>
            <w:r w:rsidRPr="008E7E5A">
              <w:rPr>
                <w:rFonts w:ascii="Arial" w:eastAsiaTheme="minorEastAsia" w:hAnsi="Arial" w:cs="Arial"/>
                <w:noProof/>
                <w:sz w:val="24"/>
                <w:szCs w:val="24"/>
                <w:lang w:eastAsia="zh-CN"/>
              </w:rPr>
              <w:tab/>
            </w:r>
            <w:r w:rsidRPr="008E7E5A">
              <w:rPr>
                <w:rStyle w:val="Hyperlink"/>
                <w:rFonts w:ascii="Arial" w:hAnsi="Arial" w:cs="Arial"/>
                <w:noProof/>
              </w:rPr>
              <w:t>Interactive Household Out-of-Pocket Burden Estimator</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_Toc225459985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11</w:t>
            </w:r>
            <w:r w:rsidRPr="008E7E5A">
              <w:rPr>
                <w:rFonts w:ascii="Arial" w:hAnsi="Arial" w:cs="Arial"/>
                <w:noProof/>
                <w:webHidden/>
              </w:rPr>
              <w:fldChar w:fldCharType="end"/>
            </w:r>
          </w:hyperlink>
        </w:p>
        <w:p w14:paraId="610A9F13" w14:textId="366541A0" w:rsidR="00E15E33" w:rsidRPr="008E7E5A" w:rsidRDefault="00E15E33">
          <w:pPr>
            <w:pStyle w:val="TOC1"/>
            <w:tabs>
              <w:tab w:val="right" w:leader="dot" w:pos="9016"/>
            </w:tabs>
            <w:rPr>
              <w:rFonts w:ascii="Arial" w:eastAsiaTheme="minorEastAsia" w:hAnsi="Arial" w:cs="Arial"/>
              <w:noProof/>
              <w:sz w:val="24"/>
              <w:szCs w:val="24"/>
              <w:lang w:eastAsia="zh-CN"/>
            </w:rPr>
          </w:pPr>
          <w:hyperlink w:anchor="_Toc225459986" w:history="1">
            <w:r w:rsidRPr="008E7E5A">
              <w:rPr>
                <w:rStyle w:val="Hyperlink"/>
                <w:rFonts w:ascii="Arial" w:hAnsi="Arial" w:cs="Arial"/>
                <w:noProof/>
              </w:rPr>
              <w:t>Summary</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_Toc225459986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12</w:t>
            </w:r>
            <w:r w:rsidRPr="008E7E5A">
              <w:rPr>
                <w:rFonts w:ascii="Arial" w:hAnsi="Arial" w:cs="Arial"/>
                <w:noProof/>
                <w:webHidden/>
              </w:rPr>
              <w:fldChar w:fldCharType="end"/>
            </w:r>
          </w:hyperlink>
        </w:p>
        <w:p w14:paraId="6F85937C" w14:textId="622E1EC0" w:rsidR="00E15E33" w:rsidRPr="008E7E5A" w:rsidRDefault="00E15E33">
          <w:pPr>
            <w:pStyle w:val="TOC1"/>
            <w:tabs>
              <w:tab w:val="right" w:leader="dot" w:pos="9016"/>
            </w:tabs>
            <w:rPr>
              <w:rFonts w:ascii="Arial" w:eastAsiaTheme="minorEastAsia" w:hAnsi="Arial" w:cs="Arial"/>
              <w:noProof/>
              <w:sz w:val="24"/>
              <w:szCs w:val="24"/>
              <w:lang w:eastAsia="zh-CN"/>
            </w:rPr>
          </w:pPr>
          <w:hyperlink w:anchor="_Toc225459987" w:history="1">
            <w:r w:rsidRPr="008E7E5A">
              <w:rPr>
                <w:rStyle w:val="Hyperlink"/>
                <w:rFonts w:ascii="Arial" w:hAnsi="Arial" w:cs="Arial"/>
                <w:noProof/>
              </w:rPr>
              <w:t>Appendix</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_Toc225459987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13</w:t>
            </w:r>
            <w:r w:rsidRPr="008E7E5A">
              <w:rPr>
                <w:rFonts w:ascii="Arial" w:hAnsi="Arial" w:cs="Arial"/>
                <w:noProof/>
                <w:webHidden/>
              </w:rPr>
              <w:fldChar w:fldCharType="end"/>
            </w:r>
          </w:hyperlink>
        </w:p>
        <w:p w14:paraId="7277F85A" w14:textId="2B7700AF" w:rsidR="00E15E33" w:rsidRPr="008E7E5A" w:rsidRDefault="00E15E33">
          <w:pPr>
            <w:pStyle w:val="TOC1"/>
            <w:tabs>
              <w:tab w:val="right" w:leader="dot" w:pos="9016"/>
            </w:tabs>
            <w:rPr>
              <w:rFonts w:ascii="Arial" w:eastAsiaTheme="minorEastAsia" w:hAnsi="Arial" w:cs="Arial"/>
              <w:noProof/>
              <w:sz w:val="24"/>
              <w:szCs w:val="24"/>
              <w:lang w:eastAsia="zh-CN"/>
            </w:rPr>
          </w:pPr>
          <w:hyperlink w:anchor="_Toc225459988" w:history="1">
            <w:r w:rsidRPr="008E7E5A">
              <w:rPr>
                <w:rStyle w:val="Hyperlink"/>
                <w:rFonts w:ascii="Arial" w:hAnsi="Arial" w:cs="Arial"/>
                <w:noProof/>
              </w:rPr>
              <w:t>References</w:t>
            </w:r>
            <w:r w:rsidRPr="008E7E5A">
              <w:rPr>
                <w:rFonts w:ascii="Arial" w:hAnsi="Arial" w:cs="Arial"/>
                <w:noProof/>
                <w:webHidden/>
              </w:rPr>
              <w:tab/>
            </w:r>
            <w:r w:rsidRPr="008E7E5A">
              <w:rPr>
                <w:rFonts w:ascii="Arial" w:hAnsi="Arial" w:cs="Arial"/>
                <w:noProof/>
                <w:webHidden/>
              </w:rPr>
              <w:fldChar w:fldCharType="begin"/>
            </w:r>
            <w:r w:rsidRPr="008E7E5A">
              <w:rPr>
                <w:rFonts w:ascii="Arial" w:hAnsi="Arial" w:cs="Arial"/>
                <w:noProof/>
                <w:webHidden/>
              </w:rPr>
              <w:instrText xml:space="preserve"> PAGEREF _Toc225459988 \h </w:instrText>
            </w:r>
            <w:r w:rsidRPr="008E7E5A">
              <w:rPr>
                <w:rFonts w:ascii="Arial" w:hAnsi="Arial" w:cs="Arial"/>
                <w:noProof/>
                <w:webHidden/>
              </w:rPr>
            </w:r>
            <w:r w:rsidRPr="008E7E5A">
              <w:rPr>
                <w:rFonts w:ascii="Arial" w:hAnsi="Arial" w:cs="Arial"/>
                <w:noProof/>
                <w:webHidden/>
              </w:rPr>
              <w:fldChar w:fldCharType="separate"/>
            </w:r>
            <w:r w:rsidRPr="008E7E5A">
              <w:rPr>
                <w:rFonts w:ascii="Arial" w:hAnsi="Arial" w:cs="Arial"/>
                <w:noProof/>
                <w:webHidden/>
              </w:rPr>
              <w:t>14</w:t>
            </w:r>
            <w:r w:rsidRPr="008E7E5A">
              <w:rPr>
                <w:rFonts w:ascii="Arial" w:hAnsi="Arial" w:cs="Arial"/>
                <w:noProof/>
                <w:webHidden/>
              </w:rPr>
              <w:fldChar w:fldCharType="end"/>
            </w:r>
          </w:hyperlink>
        </w:p>
        <w:p w14:paraId="2AD25FA4" w14:textId="7F7F7BB8" w:rsidR="000C125C" w:rsidRPr="008E7E5A" w:rsidRDefault="000C125C" w:rsidP="4674BCE2">
          <w:pPr>
            <w:pStyle w:val="TOC1"/>
            <w:tabs>
              <w:tab w:val="right" w:leader="dot" w:pos="9015"/>
            </w:tabs>
            <w:rPr>
              <w:rStyle w:val="Hyperlink"/>
              <w:rFonts w:ascii="Arial" w:hAnsi="Arial" w:cs="Arial"/>
              <w:noProof/>
              <w:lang w:eastAsia="en-SG"/>
            </w:rPr>
          </w:pPr>
          <w:r w:rsidRPr="008E7E5A">
            <w:rPr>
              <w:rFonts w:ascii="Arial" w:hAnsi="Arial" w:cs="Arial"/>
            </w:rPr>
            <w:fldChar w:fldCharType="end"/>
          </w:r>
        </w:p>
      </w:sdtContent>
    </w:sdt>
    <w:p w14:paraId="2CBFFBED" w14:textId="5837EE2F" w:rsidR="007E6771" w:rsidRPr="008E7E5A" w:rsidRDefault="007E6771">
      <w:pPr>
        <w:rPr>
          <w:rFonts w:ascii="Arial" w:hAnsi="Arial" w:cs="Arial"/>
        </w:rPr>
      </w:pPr>
    </w:p>
    <w:p w14:paraId="2E22EA16" w14:textId="77777777" w:rsidR="007E6771" w:rsidRPr="008E7E5A" w:rsidRDefault="007E6771" w:rsidP="00863BDD">
      <w:pPr>
        <w:rPr>
          <w:rFonts w:ascii="Arial" w:hAnsi="Arial" w:cs="Arial"/>
          <w:b/>
          <w:bCs/>
        </w:rPr>
      </w:pPr>
    </w:p>
    <w:p w14:paraId="6BC24767" w14:textId="77777777" w:rsidR="007E6771" w:rsidRPr="008E7E5A" w:rsidRDefault="007E6771">
      <w:pPr>
        <w:rPr>
          <w:rFonts w:ascii="Arial" w:hAnsi="Arial" w:cs="Arial"/>
          <w:b/>
          <w:bCs/>
        </w:rPr>
      </w:pPr>
      <w:r w:rsidRPr="008E7E5A">
        <w:rPr>
          <w:rFonts w:ascii="Arial" w:hAnsi="Arial" w:cs="Arial"/>
          <w:b/>
          <w:bCs/>
        </w:rPr>
        <w:br w:type="page"/>
      </w:r>
    </w:p>
    <w:p w14:paraId="2A9A6369" w14:textId="0C7B2836" w:rsidR="00863BDD" w:rsidRPr="008E7E5A" w:rsidRDefault="00863BDD" w:rsidP="007E6771">
      <w:pPr>
        <w:pStyle w:val="Heading1"/>
        <w:rPr>
          <w:rFonts w:ascii="Arial" w:hAnsi="Arial" w:cs="Arial"/>
          <w:sz w:val="36"/>
          <w:szCs w:val="36"/>
        </w:rPr>
      </w:pPr>
      <w:bookmarkStart w:id="0" w:name="_Toc225459965"/>
      <w:r w:rsidRPr="008E7E5A">
        <w:rPr>
          <w:rFonts w:ascii="Arial" w:hAnsi="Arial" w:cs="Arial"/>
          <w:sz w:val="36"/>
          <w:szCs w:val="36"/>
        </w:rPr>
        <w:lastRenderedPageBreak/>
        <w:t>Introduction</w:t>
      </w:r>
      <w:bookmarkEnd w:id="0"/>
    </w:p>
    <w:p w14:paraId="3E990A72" w14:textId="3042FD17" w:rsidR="009737D6" w:rsidRPr="008E7E5A" w:rsidRDefault="00B23EC6" w:rsidP="00B23EC6">
      <w:pPr>
        <w:jc w:val="both"/>
        <w:rPr>
          <w:rFonts w:ascii="Arial" w:hAnsi="Arial" w:cs="Arial"/>
          <w:color w:val="0E2841" w:themeColor="text2"/>
        </w:rPr>
      </w:pPr>
      <w:r w:rsidRPr="008E7E5A">
        <w:rPr>
          <w:rFonts w:ascii="Arial" w:hAnsi="Arial" w:cs="Arial"/>
        </w:rPr>
        <w:t>Singapore is facing an unprecedented demographic shift. The country is set to become "super-aged" in 2026, with over 21% of residents aged 65 and above</w:t>
      </w:r>
      <w:r w:rsidR="00C16E3F" w:rsidRPr="008E7E5A">
        <w:rPr>
          <w:rFonts w:ascii="Arial" w:hAnsi="Arial" w:cs="Arial"/>
        </w:rPr>
        <w:t xml:space="preserve"> </w:t>
      </w:r>
      <w:r w:rsidRPr="008E7E5A">
        <w:rPr>
          <w:rFonts w:ascii="Arial" w:hAnsi="Arial" w:cs="Arial"/>
        </w:rPr>
        <w:t>— rising to 1 in 4 by 2030</w:t>
      </w:r>
      <w:r w:rsidR="00426040" w:rsidRPr="008E7E5A">
        <w:rPr>
          <w:rFonts w:ascii="Arial" w:hAnsi="Arial" w:cs="Arial"/>
        </w:rPr>
        <w:t xml:space="preserve"> (Ministry of Health</w:t>
      </w:r>
      <w:r w:rsidR="003556C6" w:rsidRPr="008E7E5A">
        <w:rPr>
          <w:rFonts w:ascii="Arial" w:hAnsi="Arial" w:cs="Arial"/>
        </w:rPr>
        <w:t xml:space="preserve"> [MOH}</w:t>
      </w:r>
      <w:r w:rsidR="00426040" w:rsidRPr="008E7E5A">
        <w:rPr>
          <w:rFonts w:ascii="Arial" w:hAnsi="Arial" w:cs="Arial"/>
        </w:rPr>
        <w:t>, 2026a)</w:t>
      </w:r>
      <w:r w:rsidRPr="008E7E5A">
        <w:rPr>
          <w:rFonts w:ascii="Arial" w:hAnsi="Arial" w:cs="Arial"/>
        </w:rPr>
        <w:t xml:space="preserve">. The </w:t>
      </w:r>
      <w:r w:rsidR="009737D6" w:rsidRPr="008E7E5A">
        <w:rPr>
          <w:rFonts w:ascii="Arial" w:hAnsi="Arial" w:cs="Arial"/>
        </w:rPr>
        <w:t xml:space="preserve">economic and societal </w:t>
      </w:r>
      <w:r w:rsidRPr="008E7E5A">
        <w:rPr>
          <w:rFonts w:ascii="Arial" w:hAnsi="Arial" w:cs="Arial"/>
        </w:rPr>
        <w:t xml:space="preserve">consequences are far-reaching. An ageing population strains economic growth, labour supply, and social security systems. </w:t>
      </w:r>
    </w:p>
    <w:p w14:paraId="265745C6" w14:textId="565F7D7C" w:rsidR="00E949C6" w:rsidRPr="008E7E5A" w:rsidRDefault="009737D6" w:rsidP="00B23EC6">
      <w:pPr>
        <w:jc w:val="both"/>
        <w:rPr>
          <w:rFonts w:ascii="Arial" w:hAnsi="Arial" w:cs="Arial"/>
        </w:rPr>
      </w:pPr>
      <w:r w:rsidRPr="008E7E5A">
        <w:rPr>
          <w:rFonts w:ascii="Arial" w:hAnsi="Arial" w:cs="Arial"/>
        </w:rPr>
        <w:t xml:space="preserve">Specific to healthcare, </w:t>
      </w:r>
      <w:r w:rsidR="00B23EC6" w:rsidRPr="008E7E5A">
        <w:rPr>
          <w:rFonts w:ascii="Arial" w:hAnsi="Arial" w:cs="Arial"/>
        </w:rPr>
        <w:t xml:space="preserve">the rise in chronic </w:t>
      </w:r>
      <w:r w:rsidRPr="008E7E5A">
        <w:rPr>
          <w:rFonts w:ascii="Arial" w:hAnsi="Arial" w:cs="Arial"/>
        </w:rPr>
        <w:t xml:space="preserve">age-related </w:t>
      </w:r>
      <w:r w:rsidR="00B23EC6" w:rsidRPr="008E7E5A">
        <w:rPr>
          <w:rFonts w:ascii="Arial" w:hAnsi="Arial" w:cs="Arial"/>
        </w:rPr>
        <w:t xml:space="preserve">illnesses such as cancer, diabetes, and dementia is </w:t>
      </w:r>
      <w:r w:rsidRPr="008E7E5A">
        <w:rPr>
          <w:rFonts w:ascii="Arial" w:hAnsi="Arial" w:cs="Arial"/>
        </w:rPr>
        <w:t xml:space="preserve">expected to drive </w:t>
      </w:r>
      <w:r w:rsidR="00B23EC6" w:rsidRPr="008E7E5A">
        <w:rPr>
          <w:rFonts w:ascii="Arial" w:hAnsi="Arial" w:cs="Arial"/>
        </w:rPr>
        <w:t>demand sharply upward</w:t>
      </w:r>
      <w:r w:rsidRPr="008E7E5A">
        <w:rPr>
          <w:rFonts w:ascii="Arial" w:hAnsi="Arial" w:cs="Arial"/>
        </w:rPr>
        <w:t xml:space="preserve">. </w:t>
      </w:r>
      <w:r w:rsidR="000C543F" w:rsidRPr="008E7E5A">
        <w:rPr>
          <w:rFonts w:ascii="Arial" w:hAnsi="Arial" w:cs="Arial"/>
        </w:rPr>
        <w:t xml:space="preserve">According to WHO, life expectancy for Singapore had increased from 78.6 years in 2001 to 83.9 in 2021 but healthy life expectancy had only increased from 69.4 years to 73.7 years </w:t>
      </w:r>
      <w:r w:rsidR="00457062" w:rsidRPr="008E7E5A">
        <w:rPr>
          <w:rFonts w:ascii="Arial" w:hAnsi="Arial" w:cs="Arial"/>
        </w:rPr>
        <w:t>(World Health Organization, 2023)</w:t>
      </w:r>
      <w:r w:rsidR="000C543F" w:rsidRPr="008E7E5A">
        <w:rPr>
          <w:rFonts w:ascii="Arial" w:hAnsi="Arial" w:cs="Arial"/>
        </w:rPr>
        <w:t>.</w:t>
      </w:r>
      <w:r w:rsidR="001C2B61" w:rsidRPr="008E7E5A">
        <w:rPr>
          <w:rFonts w:ascii="Arial" w:hAnsi="Arial" w:cs="Arial"/>
        </w:rPr>
        <w:t xml:space="preserve"> </w:t>
      </w:r>
    </w:p>
    <w:p w14:paraId="771CCA7A" w14:textId="5CDD5DE9" w:rsidR="009737D6" w:rsidRPr="008E7E5A" w:rsidRDefault="001A5E9B" w:rsidP="00B23EC6">
      <w:pPr>
        <w:jc w:val="both"/>
        <w:rPr>
          <w:rFonts w:ascii="Arial" w:hAnsi="Arial" w:cs="Arial"/>
          <w:color w:val="0E2841" w:themeColor="text2"/>
        </w:rPr>
      </w:pPr>
      <w:r w:rsidRPr="008E7E5A">
        <w:rPr>
          <w:rFonts w:ascii="Arial" w:hAnsi="Arial" w:cs="Arial"/>
        </w:rPr>
        <w:t>Driven by both ageing population and disease prevalence</w:t>
      </w:r>
      <w:r w:rsidR="001C2B61" w:rsidRPr="008E7E5A">
        <w:rPr>
          <w:rFonts w:ascii="Arial" w:hAnsi="Arial" w:cs="Arial"/>
        </w:rPr>
        <w:t xml:space="preserve"> </w:t>
      </w:r>
      <w:r w:rsidR="00BC57D9" w:rsidRPr="008E7E5A">
        <w:rPr>
          <w:rFonts w:ascii="Arial" w:hAnsi="Arial" w:cs="Arial"/>
        </w:rPr>
        <w:t>(MOH, 2023)</w:t>
      </w:r>
      <w:r w:rsidRPr="008E7E5A">
        <w:rPr>
          <w:rFonts w:ascii="Arial" w:hAnsi="Arial" w:cs="Arial"/>
        </w:rPr>
        <w:t>, government healthcare expenditure has been on an upward trend. Government budget allocation for healthcare is projected to reach SGD 30 billion in 2030</w:t>
      </w:r>
      <w:r w:rsidR="00745A6D" w:rsidRPr="008E7E5A">
        <w:rPr>
          <w:rFonts w:ascii="Arial" w:hAnsi="Arial" w:cs="Arial"/>
        </w:rPr>
        <w:t xml:space="preserve"> </w:t>
      </w:r>
      <w:r w:rsidR="00253338" w:rsidRPr="008E7E5A">
        <w:rPr>
          <w:rFonts w:ascii="Arial" w:hAnsi="Arial" w:cs="Arial"/>
        </w:rPr>
        <w:t>(MOH, 2025</w:t>
      </w:r>
      <w:r w:rsidR="007531E5" w:rsidRPr="008E7E5A">
        <w:rPr>
          <w:rFonts w:ascii="Arial" w:hAnsi="Arial" w:cs="Arial"/>
        </w:rPr>
        <w:t>a</w:t>
      </w:r>
      <w:r w:rsidR="00253338" w:rsidRPr="008E7E5A">
        <w:rPr>
          <w:rFonts w:ascii="Arial" w:hAnsi="Arial" w:cs="Arial"/>
        </w:rPr>
        <w:t xml:space="preserve">). </w:t>
      </w:r>
    </w:p>
    <w:p w14:paraId="3017DFA4" w14:textId="1E0B4197" w:rsidR="00B076C9" w:rsidRPr="008E7E5A" w:rsidRDefault="00B076C9" w:rsidP="00B23EC6">
      <w:pPr>
        <w:jc w:val="both"/>
        <w:rPr>
          <w:rFonts w:ascii="Arial" w:hAnsi="Arial" w:cs="Arial"/>
          <w:color w:val="0E2841" w:themeColor="text2"/>
        </w:rPr>
      </w:pPr>
      <w:r w:rsidRPr="008E7E5A">
        <w:rPr>
          <w:rFonts w:ascii="Arial" w:hAnsi="Arial" w:cs="Arial"/>
        </w:rPr>
        <w:t xml:space="preserve">Against this backdrop, this report presents a spreadsheet modelling approach to assess the long-term sustainability of Singapore's public healthcare system through to 2035. The model is structured across four interconnecting modules: </w:t>
      </w:r>
      <w:r w:rsidR="008E146F" w:rsidRPr="008E7E5A">
        <w:rPr>
          <w:rFonts w:ascii="Arial" w:hAnsi="Arial" w:cs="Arial"/>
        </w:rPr>
        <w:t>demographic projection</w:t>
      </w:r>
      <w:r w:rsidRPr="008E7E5A">
        <w:rPr>
          <w:rFonts w:ascii="Arial" w:hAnsi="Arial" w:cs="Arial"/>
        </w:rPr>
        <w:t xml:space="preserve"> (Module 1); hospital admission and bed occupancy forecasts (Module 2); healthcare expenditure estimation (Module 3); and financing sustainability assessment (Module 4). Through scenario-based analysis of key policy levers, the model provides data-driven insights into the system's long-term viability.</w:t>
      </w:r>
    </w:p>
    <w:p w14:paraId="12BFFD07" w14:textId="33A77708" w:rsidR="00386C51" w:rsidRPr="008E7E5A" w:rsidRDefault="007E6771" w:rsidP="007E6771">
      <w:pPr>
        <w:pStyle w:val="Heading1"/>
        <w:rPr>
          <w:rFonts w:ascii="Arial" w:hAnsi="Arial" w:cs="Arial"/>
          <w:sz w:val="36"/>
          <w:szCs w:val="36"/>
        </w:rPr>
      </w:pPr>
      <w:bookmarkStart w:id="1" w:name="_Toc225459966"/>
      <w:r w:rsidRPr="008E7E5A">
        <w:rPr>
          <w:rFonts w:ascii="Arial" w:hAnsi="Arial" w:cs="Arial"/>
          <w:sz w:val="36"/>
          <w:szCs w:val="36"/>
        </w:rPr>
        <w:t xml:space="preserve">Module </w:t>
      </w:r>
      <w:r w:rsidR="00386C51" w:rsidRPr="008E7E5A">
        <w:rPr>
          <w:rFonts w:ascii="Arial" w:hAnsi="Arial" w:cs="Arial"/>
          <w:sz w:val="36"/>
          <w:szCs w:val="36"/>
        </w:rPr>
        <w:t>1</w:t>
      </w:r>
      <w:r w:rsidR="00386C51" w:rsidRPr="008E7E5A">
        <w:rPr>
          <w:rFonts w:ascii="Arial" w:hAnsi="Arial" w:cs="Arial"/>
        </w:rPr>
        <w:tab/>
      </w:r>
      <w:r w:rsidR="00386C51" w:rsidRPr="008E7E5A">
        <w:rPr>
          <w:rFonts w:ascii="Arial" w:hAnsi="Arial" w:cs="Arial"/>
          <w:sz w:val="36"/>
          <w:szCs w:val="36"/>
        </w:rPr>
        <w:t>Demographic Projection</w:t>
      </w:r>
      <w:bookmarkEnd w:id="1"/>
    </w:p>
    <w:p w14:paraId="41938C20" w14:textId="756AC4B1" w:rsidR="008E146F" w:rsidRPr="008E7E5A" w:rsidRDefault="008E146F" w:rsidP="008E146F">
      <w:pPr>
        <w:jc w:val="both"/>
        <w:rPr>
          <w:rFonts w:ascii="Arial" w:hAnsi="Arial" w:cs="Arial"/>
        </w:rPr>
      </w:pPr>
      <w:r w:rsidRPr="008E7E5A">
        <w:rPr>
          <w:rFonts w:ascii="Arial" w:hAnsi="Arial" w:cs="Arial"/>
        </w:rPr>
        <w:t xml:space="preserve">This module projects Singapore's resident population structure from 2026 to 2035 using historical data, incorporating mortality/survival rates and age-specific fertility rates. Elderly </w:t>
      </w:r>
      <w:r w:rsidR="00861613" w:rsidRPr="008E7E5A">
        <w:rPr>
          <w:rFonts w:ascii="Arial" w:hAnsi="Arial" w:cs="Arial"/>
        </w:rPr>
        <w:t xml:space="preserve">age </w:t>
      </w:r>
      <w:r w:rsidRPr="008E7E5A">
        <w:rPr>
          <w:rFonts w:ascii="Arial" w:hAnsi="Arial" w:cs="Arial"/>
        </w:rPr>
        <w:t>bands (e.g., 65-69 to 90+) are segmented to reflect rising healthcare utilization intensity, serving as the primary demand driver for hospital modelling and enabling sensitivity analyses.</w:t>
      </w:r>
    </w:p>
    <w:p w14:paraId="0AF164FC" w14:textId="52510B2A" w:rsidR="00B076C9" w:rsidRPr="008E7E5A" w:rsidRDefault="00B076C9" w:rsidP="00B076C9">
      <w:pPr>
        <w:rPr>
          <w:rFonts w:ascii="Arial" w:hAnsi="Arial" w:cs="Arial"/>
        </w:rPr>
      </w:pPr>
      <w:r w:rsidRPr="008E7E5A">
        <w:rPr>
          <w:rFonts w:ascii="Arial" w:hAnsi="Arial" w:cs="Arial"/>
        </w:rPr>
        <w:t>Assumptions:</w:t>
      </w:r>
    </w:p>
    <w:p w14:paraId="33C27820" w14:textId="09736B85" w:rsidR="008E146F" w:rsidRPr="008E7E5A" w:rsidRDefault="008E146F" w:rsidP="008E146F">
      <w:pPr>
        <w:pStyle w:val="ListParagraph"/>
        <w:numPr>
          <w:ilvl w:val="0"/>
          <w:numId w:val="4"/>
        </w:numPr>
        <w:rPr>
          <w:rFonts w:ascii="Arial" w:hAnsi="Arial" w:cs="Arial"/>
        </w:rPr>
      </w:pPr>
      <w:r w:rsidRPr="008E7E5A">
        <w:rPr>
          <w:rFonts w:ascii="Arial" w:hAnsi="Arial" w:cs="Arial"/>
        </w:rPr>
        <w:t>Population refers to resident population (Singapore citizens and permanent residents</w:t>
      </w:r>
      <w:r w:rsidR="2E1166D9" w:rsidRPr="008E7E5A">
        <w:rPr>
          <w:rFonts w:ascii="Arial" w:hAnsi="Arial" w:cs="Arial"/>
        </w:rPr>
        <w:t>)</w:t>
      </w:r>
      <w:r w:rsidR="43051C07" w:rsidRPr="008E7E5A">
        <w:rPr>
          <w:rFonts w:ascii="Arial" w:hAnsi="Arial" w:cs="Arial"/>
        </w:rPr>
        <w:t>, as they are the primary users of subsidies.</w:t>
      </w:r>
    </w:p>
    <w:p w14:paraId="379B87C1" w14:textId="19225F05" w:rsidR="008E146F" w:rsidRPr="008E7E5A" w:rsidRDefault="008E146F" w:rsidP="008E146F">
      <w:pPr>
        <w:pStyle w:val="ListParagraph"/>
        <w:numPr>
          <w:ilvl w:val="0"/>
          <w:numId w:val="4"/>
        </w:numPr>
        <w:rPr>
          <w:rFonts w:ascii="Arial" w:hAnsi="Arial" w:cs="Arial"/>
        </w:rPr>
      </w:pPr>
      <w:r w:rsidRPr="008E7E5A">
        <w:rPr>
          <w:rFonts w:ascii="Arial" w:hAnsi="Arial" w:cs="Arial"/>
        </w:rPr>
        <w:t>Population change is driven by natural change (births and deaths).</w:t>
      </w:r>
    </w:p>
    <w:p w14:paraId="3D28B0DF" w14:textId="636A064B" w:rsidR="008E146F" w:rsidRPr="008E7E5A" w:rsidRDefault="008E146F" w:rsidP="008E146F">
      <w:pPr>
        <w:pStyle w:val="ListParagraph"/>
        <w:numPr>
          <w:ilvl w:val="0"/>
          <w:numId w:val="4"/>
        </w:numPr>
        <w:rPr>
          <w:rFonts w:ascii="Arial" w:hAnsi="Arial" w:cs="Arial"/>
        </w:rPr>
      </w:pPr>
      <w:r w:rsidRPr="008E7E5A">
        <w:rPr>
          <w:rFonts w:ascii="Arial" w:hAnsi="Arial" w:cs="Arial"/>
        </w:rPr>
        <w:t xml:space="preserve">Male to female ratio is held constant at 50% for projection period. </w:t>
      </w:r>
      <w:r w:rsidR="614FC627" w:rsidRPr="008E7E5A">
        <w:rPr>
          <w:rFonts w:ascii="Arial" w:hAnsi="Arial" w:cs="Arial"/>
        </w:rPr>
        <w:t>This assumption is for simplicity</w:t>
      </w:r>
      <w:r w:rsidR="686D2655" w:rsidRPr="008E7E5A">
        <w:rPr>
          <w:rFonts w:ascii="Arial" w:hAnsi="Arial" w:cs="Arial"/>
        </w:rPr>
        <w:t>;</w:t>
      </w:r>
      <w:r w:rsidR="614FC627" w:rsidRPr="008E7E5A">
        <w:rPr>
          <w:rFonts w:ascii="Arial" w:hAnsi="Arial" w:cs="Arial"/>
        </w:rPr>
        <w:t xml:space="preserve"> the global average is closer to 1.05 males for every 1 female</w:t>
      </w:r>
    </w:p>
    <w:p w14:paraId="1EA9C35D" w14:textId="23A68A58" w:rsidR="008E146F" w:rsidRPr="008E7E5A" w:rsidRDefault="008E146F" w:rsidP="008E146F">
      <w:pPr>
        <w:pStyle w:val="ListParagraph"/>
        <w:numPr>
          <w:ilvl w:val="0"/>
          <w:numId w:val="4"/>
        </w:numPr>
        <w:rPr>
          <w:rFonts w:ascii="Arial" w:hAnsi="Arial" w:cs="Arial"/>
        </w:rPr>
      </w:pPr>
      <w:r w:rsidRPr="008E7E5A">
        <w:rPr>
          <w:rFonts w:ascii="Arial" w:hAnsi="Arial" w:cs="Arial"/>
        </w:rPr>
        <w:t xml:space="preserve">Each year, 20% of each age group transitions to the next age </w:t>
      </w:r>
      <w:r w:rsidR="00861613" w:rsidRPr="008E7E5A">
        <w:rPr>
          <w:rFonts w:ascii="Arial" w:hAnsi="Arial" w:cs="Arial"/>
        </w:rPr>
        <w:t>band</w:t>
      </w:r>
      <w:r w:rsidRPr="008E7E5A">
        <w:rPr>
          <w:rFonts w:ascii="Arial" w:hAnsi="Arial" w:cs="Arial"/>
        </w:rPr>
        <w:t xml:space="preserve">. </w:t>
      </w:r>
      <w:r w:rsidR="1F524723" w:rsidRPr="008E7E5A">
        <w:rPr>
          <w:rFonts w:ascii="Arial" w:hAnsi="Arial" w:cs="Arial"/>
        </w:rPr>
        <w:t xml:space="preserve"> </w:t>
      </w:r>
      <w:r w:rsidR="77196142" w:rsidRPr="008E7E5A">
        <w:rPr>
          <w:rFonts w:ascii="Arial" w:hAnsi="Arial" w:cs="Arial"/>
        </w:rPr>
        <w:t>Since an age band covers 5 years, approximately (or 20%) of the people in that group are in their final year of that band (e.g., age 4 in the 0–4 group) and will move to the next band (age 5 in the 5–9 group) in the next time step.</w:t>
      </w:r>
    </w:p>
    <w:p w14:paraId="006CFC2E" w14:textId="736866DF" w:rsidR="008E146F" w:rsidRPr="008E7E5A" w:rsidRDefault="00861613" w:rsidP="008E146F">
      <w:pPr>
        <w:pStyle w:val="ListParagraph"/>
        <w:numPr>
          <w:ilvl w:val="0"/>
          <w:numId w:val="4"/>
        </w:numPr>
        <w:rPr>
          <w:rFonts w:ascii="Arial" w:hAnsi="Arial" w:cs="Arial"/>
        </w:rPr>
      </w:pPr>
      <w:r w:rsidRPr="008E7E5A">
        <w:rPr>
          <w:rFonts w:ascii="Arial" w:hAnsi="Arial" w:cs="Arial"/>
        </w:rPr>
        <w:t>F</w:t>
      </w:r>
      <w:r w:rsidR="008E146F" w:rsidRPr="008E7E5A">
        <w:rPr>
          <w:rFonts w:ascii="Arial" w:hAnsi="Arial" w:cs="Arial"/>
        </w:rPr>
        <w:t xml:space="preserve">ertility is modelled </w:t>
      </w:r>
      <w:r w:rsidRPr="008E7E5A">
        <w:rPr>
          <w:rFonts w:ascii="Arial" w:hAnsi="Arial" w:cs="Arial"/>
        </w:rPr>
        <w:t xml:space="preserve">for women </w:t>
      </w:r>
      <w:r w:rsidR="008E146F" w:rsidRPr="008E7E5A">
        <w:rPr>
          <w:rFonts w:ascii="Arial" w:hAnsi="Arial" w:cs="Arial"/>
        </w:rPr>
        <w:t xml:space="preserve">aged </w:t>
      </w:r>
      <w:r w:rsidRPr="008E7E5A">
        <w:rPr>
          <w:rFonts w:ascii="Arial" w:hAnsi="Arial" w:cs="Arial"/>
        </w:rPr>
        <w:t xml:space="preserve">between </w:t>
      </w:r>
      <w:r w:rsidR="008E146F" w:rsidRPr="008E7E5A">
        <w:rPr>
          <w:rFonts w:ascii="Arial" w:hAnsi="Arial" w:cs="Arial"/>
        </w:rPr>
        <w:t>15 to 49</w:t>
      </w:r>
      <w:r w:rsidRPr="008E7E5A">
        <w:rPr>
          <w:rFonts w:ascii="Arial" w:hAnsi="Arial" w:cs="Arial"/>
        </w:rPr>
        <w:t xml:space="preserve"> (</w:t>
      </w:r>
      <w:r w:rsidR="008E146F" w:rsidRPr="008E7E5A">
        <w:rPr>
          <w:rFonts w:ascii="Arial" w:hAnsi="Arial" w:cs="Arial"/>
        </w:rPr>
        <w:t>consistent with the dataset</w:t>
      </w:r>
      <w:r w:rsidRPr="008E7E5A">
        <w:rPr>
          <w:rFonts w:ascii="Arial" w:hAnsi="Arial" w:cs="Arial"/>
        </w:rPr>
        <w:t>)</w:t>
      </w:r>
      <w:r w:rsidR="008E146F" w:rsidRPr="008E7E5A">
        <w:rPr>
          <w:rFonts w:ascii="Arial" w:hAnsi="Arial" w:cs="Arial"/>
        </w:rPr>
        <w:t>.</w:t>
      </w:r>
    </w:p>
    <w:p w14:paraId="4291A273" w14:textId="21C32628" w:rsidR="00863BDD" w:rsidRPr="008E7E5A" w:rsidRDefault="00861613" w:rsidP="00DF30A7">
      <w:pPr>
        <w:pStyle w:val="Heading2"/>
        <w:numPr>
          <w:ilvl w:val="1"/>
          <w:numId w:val="14"/>
        </w:numPr>
        <w:rPr>
          <w:rFonts w:ascii="Arial" w:hAnsi="Arial" w:cs="Arial"/>
          <w:sz w:val="28"/>
          <w:szCs w:val="28"/>
        </w:rPr>
      </w:pPr>
      <w:bookmarkStart w:id="2" w:name="_Toc225459967"/>
      <w:r w:rsidRPr="008E7E5A">
        <w:rPr>
          <w:rFonts w:ascii="Arial" w:hAnsi="Arial" w:cs="Arial"/>
          <w:sz w:val="28"/>
          <w:szCs w:val="28"/>
        </w:rPr>
        <w:lastRenderedPageBreak/>
        <w:t>Mortality &amp; Fertility Rates</w:t>
      </w:r>
      <w:bookmarkEnd w:id="2"/>
    </w:p>
    <w:p w14:paraId="31C493E7" w14:textId="5B3EAC4C" w:rsidR="0013663B" w:rsidRPr="008E7E5A" w:rsidRDefault="00863BDD" w:rsidP="0013663B">
      <w:pPr>
        <w:jc w:val="center"/>
        <w:rPr>
          <w:rFonts w:ascii="Arial" w:hAnsi="Arial" w:cs="Arial"/>
        </w:rPr>
      </w:pPr>
      <w:r w:rsidRPr="008E7E5A">
        <w:rPr>
          <w:rFonts w:ascii="Arial" w:hAnsi="Arial" w:cs="Arial"/>
          <w:noProof/>
        </w:rPr>
        <w:drawing>
          <wp:inline distT="0" distB="0" distL="0" distR="0" wp14:anchorId="134222C8" wp14:editId="204CDDD3">
            <wp:extent cx="2857086" cy="1709224"/>
            <wp:effectExtent l="0" t="0" r="635" b="5715"/>
            <wp:docPr id="7847881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0696" cy="1717366"/>
                    </a:xfrm>
                    <a:prstGeom prst="rect">
                      <a:avLst/>
                    </a:prstGeom>
                    <a:noFill/>
                    <a:ln>
                      <a:noFill/>
                    </a:ln>
                  </pic:spPr>
                </pic:pic>
              </a:graphicData>
            </a:graphic>
          </wp:inline>
        </w:drawing>
      </w:r>
      <w:r w:rsidR="00EE6B38" w:rsidRPr="008E7E5A">
        <w:rPr>
          <w:rFonts w:ascii="Arial" w:hAnsi="Arial" w:cs="Arial"/>
          <w:noProof/>
        </w:rPr>
        <w:t xml:space="preserve"> </w:t>
      </w:r>
      <w:r w:rsidR="00EE6B38" w:rsidRPr="008E7E5A">
        <w:rPr>
          <w:rFonts w:ascii="Arial" w:hAnsi="Arial" w:cs="Arial"/>
          <w:noProof/>
        </w:rPr>
        <w:drawing>
          <wp:inline distT="0" distB="0" distL="0" distR="0" wp14:anchorId="47FB3EBD" wp14:editId="5CEFBB49">
            <wp:extent cx="2785403" cy="1708792"/>
            <wp:effectExtent l="0" t="0" r="0" b="5715"/>
            <wp:docPr id="1326475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1341" cy="1724704"/>
                    </a:xfrm>
                    <a:prstGeom prst="rect">
                      <a:avLst/>
                    </a:prstGeom>
                    <a:noFill/>
                    <a:ln>
                      <a:noFill/>
                    </a:ln>
                  </pic:spPr>
                </pic:pic>
              </a:graphicData>
            </a:graphic>
          </wp:inline>
        </w:drawing>
      </w:r>
    </w:p>
    <w:p w14:paraId="759BA569" w14:textId="67B99042" w:rsidR="00EE6B38" w:rsidRPr="008E7E5A" w:rsidRDefault="00F5063F" w:rsidP="00484C2F">
      <w:pPr>
        <w:jc w:val="center"/>
        <w:rPr>
          <w:rFonts w:ascii="Arial" w:hAnsi="Arial" w:cs="Arial"/>
          <w:sz w:val="16"/>
          <w:szCs w:val="16"/>
        </w:rPr>
      </w:pPr>
      <w:r w:rsidRPr="008E7E5A">
        <w:rPr>
          <w:rFonts w:ascii="Arial" w:hAnsi="Arial" w:cs="Arial"/>
          <w:sz w:val="16"/>
          <w:szCs w:val="16"/>
        </w:rPr>
        <w:t xml:space="preserve">Figure </w:t>
      </w:r>
      <w:r w:rsidR="00484C2F" w:rsidRPr="008E7E5A">
        <w:rPr>
          <w:rFonts w:ascii="Arial" w:hAnsi="Arial" w:cs="Arial"/>
          <w:sz w:val="16"/>
          <w:szCs w:val="16"/>
        </w:rPr>
        <w:t>1 Mortality Rates</w:t>
      </w:r>
      <w:r w:rsidR="00484C2F" w:rsidRPr="008E7E5A">
        <w:rPr>
          <w:rFonts w:ascii="Arial" w:hAnsi="Arial" w:cs="Arial"/>
        </w:rPr>
        <w:tab/>
      </w:r>
      <w:r w:rsidR="00484C2F" w:rsidRPr="008E7E5A">
        <w:rPr>
          <w:rFonts w:ascii="Arial" w:hAnsi="Arial" w:cs="Arial"/>
        </w:rPr>
        <w:tab/>
      </w:r>
      <w:r w:rsidR="00484C2F" w:rsidRPr="008E7E5A">
        <w:rPr>
          <w:rFonts w:ascii="Arial" w:hAnsi="Arial" w:cs="Arial"/>
        </w:rPr>
        <w:tab/>
      </w:r>
      <w:r w:rsidR="00484C2F" w:rsidRPr="008E7E5A">
        <w:rPr>
          <w:rFonts w:ascii="Arial" w:hAnsi="Arial" w:cs="Arial"/>
        </w:rPr>
        <w:tab/>
      </w:r>
      <w:r w:rsidR="00484C2F" w:rsidRPr="008E7E5A">
        <w:rPr>
          <w:rFonts w:ascii="Arial" w:hAnsi="Arial" w:cs="Arial"/>
          <w:sz w:val="16"/>
          <w:szCs w:val="16"/>
        </w:rPr>
        <w:t xml:space="preserve">        </w:t>
      </w:r>
      <w:r w:rsidR="00EE6B38" w:rsidRPr="008E7E5A">
        <w:rPr>
          <w:rFonts w:ascii="Arial" w:hAnsi="Arial" w:cs="Arial"/>
          <w:sz w:val="16"/>
          <w:szCs w:val="16"/>
        </w:rPr>
        <w:t xml:space="preserve">Figure </w:t>
      </w:r>
      <w:r w:rsidR="00484C2F" w:rsidRPr="008E7E5A">
        <w:rPr>
          <w:rFonts w:ascii="Arial" w:hAnsi="Arial" w:cs="Arial"/>
          <w:sz w:val="16"/>
          <w:szCs w:val="16"/>
        </w:rPr>
        <w:t>2 Fertility Rates</w:t>
      </w:r>
    </w:p>
    <w:p w14:paraId="23453903" w14:textId="3FBE4726" w:rsidR="3C096F3F" w:rsidRPr="008E7E5A" w:rsidRDefault="00EE7AB7" w:rsidP="004731AF">
      <w:pPr>
        <w:jc w:val="both"/>
        <w:rPr>
          <w:rFonts w:ascii="Arial" w:hAnsi="Arial" w:cs="Arial"/>
        </w:rPr>
      </w:pPr>
      <w:r w:rsidRPr="008E7E5A">
        <w:rPr>
          <w:rFonts w:ascii="Arial" w:hAnsi="Arial" w:cs="Arial"/>
        </w:rPr>
        <w:t>A</w:t>
      </w:r>
      <w:r w:rsidR="3C096F3F" w:rsidRPr="008E7E5A">
        <w:rPr>
          <w:rFonts w:ascii="Arial" w:hAnsi="Arial" w:cs="Arial"/>
        </w:rPr>
        <w:t>ge-specific mortality rates have remained relatively stable across the 20-year period</w:t>
      </w:r>
      <w:r w:rsidR="001E4E58" w:rsidRPr="008E7E5A">
        <w:rPr>
          <w:rFonts w:ascii="Arial" w:hAnsi="Arial" w:cs="Arial"/>
        </w:rPr>
        <w:t xml:space="preserve"> so </w:t>
      </w:r>
      <w:r w:rsidR="00C51CAC" w:rsidRPr="008E7E5A">
        <w:rPr>
          <w:rFonts w:ascii="Arial" w:hAnsi="Arial" w:cs="Arial"/>
        </w:rPr>
        <w:t xml:space="preserve">a </w:t>
      </w:r>
      <w:r w:rsidR="3C096F3F" w:rsidRPr="008E7E5A">
        <w:rPr>
          <w:rFonts w:ascii="Arial" w:hAnsi="Arial" w:cs="Arial"/>
        </w:rPr>
        <w:t xml:space="preserve">5-year average (2021–2025) </w:t>
      </w:r>
      <w:r w:rsidR="001028A7" w:rsidRPr="008E7E5A">
        <w:rPr>
          <w:rFonts w:ascii="Arial" w:hAnsi="Arial" w:cs="Arial"/>
        </w:rPr>
        <w:t>was</w:t>
      </w:r>
      <w:r w:rsidR="00E9558B" w:rsidRPr="008E7E5A">
        <w:rPr>
          <w:rFonts w:ascii="Arial" w:hAnsi="Arial" w:cs="Arial"/>
        </w:rPr>
        <w:t xml:space="preserve"> app</w:t>
      </w:r>
      <w:r w:rsidR="00E25EDB" w:rsidRPr="008E7E5A">
        <w:rPr>
          <w:rFonts w:ascii="Arial" w:hAnsi="Arial" w:cs="Arial"/>
        </w:rPr>
        <w:t xml:space="preserve">lied across all </w:t>
      </w:r>
      <w:r w:rsidR="3C096F3F" w:rsidRPr="008E7E5A">
        <w:rPr>
          <w:rFonts w:ascii="Arial" w:hAnsi="Arial" w:cs="Arial"/>
        </w:rPr>
        <w:t>age cohorts</w:t>
      </w:r>
      <w:r w:rsidR="00C0384A" w:rsidRPr="008E7E5A">
        <w:rPr>
          <w:rFonts w:ascii="Arial" w:hAnsi="Arial" w:cs="Arial"/>
        </w:rPr>
        <w:t xml:space="preserve"> for projections </w:t>
      </w:r>
      <w:r w:rsidR="3C096F3F" w:rsidRPr="008E7E5A">
        <w:rPr>
          <w:rFonts w:ascii="Arial" w:hAnsi="Arial" w:cs="Arial"/>
        </w:rPr>
        <w:t>up to 2035.</w:t>
      </w:r>
    </w:p>
    <w:p w14:paraId="7ADF4222" w14:textId="33ADCC4A" w:rsidR="28D17C2B" w:rsidRPr="008E7E5A" w:rsidRDefault="006E52C3" w:rsidP="004731AF">
      <w:pPr>
        <w:jc w:val="both"/>
        <w:rPr>
          <w:rFonts w:ascii="Arial" w:hAnsi="Arial" w:cs="Arial"/>
        </w:rPr>
      </w:pPr>
      <w:r w:rsidRPr="008E7E5A">
        <w:rPr>
          <w:rFonts w:ascii="Arial" w:hAnsi="Arial" w:cs="Arial"/>
        </w:rPr>
        <w:t>F</w:t>
      </w:r>
      <w:r w:rsidR="28D17C2B" w:rsidRPr="008E7E5A">
        <w:rPr>
          <w:rFonts w:ascii="Arial" w:hAnsi="Arial" w:cs="Arial"/>
        </w:rPr>
        <w:t xml:space="preserve">ertility rates, particularly in the </w:t>
      </w:r>
      <w:r w:rsidR="00AB4B07" w:rsidRPr="008E7E5A">
        <w:rPr>
          <w:rFonts w:ascii="Arial" w:hAnsi="Arial" w:cs="Arial"/>
        </w:rPr>
        <w:t xml:space="preserve">peak fertility </w:t>
      </w:r>
      <w:r w:rsidR="00C93F5A" w:rsidRPr="008E7E5A">
        <w:rPr>
          <w:rFonts w:ascii="Arial" w:hAnsi="Arial" w:cs="Arial"/>
        </w:rPr>
        <w:t xml:space="preserve">age </w:t>
      </w:r>
      <w:r w:rsidR="00AE0C73" w:rsidRPr="008E7E5A">
        <w:rPr>
          <w:rFonts w:ascii="Arial" w:hAnsi="Arial" w:cs="Arial"/>
        </w:rPr>
        <w:t xml:space="preserve">cohorts </w:t>
      </w:r>
      <w:r w:rsidR="28D17C2B" w:rsidRPr="008E7E5A">
        <w:rPr>
          <w:rFonts w:ascii="Arial" w:hAnsi="Arial" w:cs="Arial"/>
        </w:rPr>
        <w:t>(25–29 and 30–34), show</w:t>
      </w:r>
      <w:r w:rsidR="00466772" w:rsidRPr="008E7E5A">
        <w:rPr>
          <w:rFonts w:ascii="Arial" w:hAnsi="Arial" w:cs="Arial"/>
        </w:rPr>
        <w:t xml:space="preserve">ed </w:t>
      </w:r>
      <w:r w:rsidR="28D17C2B" w:rsidRPr="008E7E5A">
        <w:rPr>
          <w:rFonts w:ascii="Arial" w:hAnsi="Arial" w:cs="Arial"/>
        </w:rPr>
        <w:t xml:space="preserve">a significant and consistent downward trend. </w:t>
      </w:r>
      <w:r w:rsidR="00006E0E" w:rsidRPr="008E7E5A">
        <w:rPr>
          <w:rFonts w:ascii="Arial" w:hAnsi="Arial" w:cs="Arial"/>
        </w:rPr>
        <w:t>T</w:t>
      </w:r>
      <w:r w:rsidR="28D17C2B" w:rsidRPr="008E7E5A">
        <w:rPr>
          <w:rFonts w:ascii="Arial" w:hAnsi="Arial" w:cs="Arial"/>
        </w:rPr>
        <w:t xml:space="preserve">he Excel </w:t>
      </w:r>
      <w:bookmarkStart w:id="3" w:name="_Int_hT6Da0Jp"/>
      <w:r w:rsidR="28D17C2B" w:rsidRPr="008E7E5A">
        <w:rPr>
          <w:rFonts w:ascii="Arial" w:hAnsi="Arial" w:cs="Arial"/>
        </w:rPr>
        <w:t>GROWTH(</w:t>
      </w:r>
      <w:bookmarkEnd w:id="3"/>
      <w:r w:rsidR="28D17C2B" w:rsidRPr="008E7E5A">
        <w:rPr>
          <w:rFonts w:ascii="Arial" w:hAnsi="Arial" w:cs="Arial"/>
        </w:rPr>
        <w:t>) function is used to project these rates through 2035, reflecting an exponential decay model that better represents th</w:t>
      </w:r>
      <w:r w:rsidR="000138D3" w:rsidRPr="008E7E5A">
        <w:rPr>
          <w:rFonts w:ascii="Arial" w:hAnsi="Arial" w:cs="Arial"/>
        </w:rPr>
        <w:t>is</w:t>
      </w:r>
      <w:r w:rsidR="28D17C2B" w:rsidRPr="008E7E5A">
        <w:rPr>
          <w:rFonts w:ascii="Arial" w:hAnsi="Arial" w:cs="Arial"/>
        </w:rPr>
        <w:t xml:space="preserve"> accelerating decline compared to </w:t>
      </w:r>
      <w:r w:rsidR="23A41D35" w:rsidRPr="008E7E5A">
        <w:rPr>
          <w:rFonts w:ascii="Arial" w:hAnsi="Arial" w:cs="Arial"/>
        </w:rPr>
        <w:t>a simple</w:t>
      </w:r>
      <w:r w:rsidR="00EC083D" w:rsidRPr="008E7E5A">
        <w:rPr>
          <w:rFonts w:ascii="Arial" w:hAnsi="Arial" w:cs="Arial"/>
        </w:rPr>
        <w:t xml:space="preserve"> </w:t>
      </w:r>
      <w:r w:rsidR="28D17C2B" w:rsidRPr="008E7E5A">
        <w:rPr>
          <w:rFonts w:ascii="Arial" w:hAnsi="Arial" w:cs="Arial"/>
        </w:rPr>
        <w:t>linear average.</w:t>
      </w:r>
    </w:p>
    <w:p w14:paraId="36B61B6C" w14:textId="77A29C8B" w:rsidR="00863BDD" w:rsidRPr="008E7E5A" w:rsidRDefault="00386C51" w:rsidP="007E6771">
      <w:pPr>
        <w:pStyle w:val="Heading2"/>
        <w:rPr>
          <w:rFonts w:ascii="Arial" w:hAnsi="Arial" w:cs="Arial"/>
          <w:sz w:val="28"/>
          <w:szCs w:val="28"/>
        </w:rPr>
      </w:pPr>
      <w:bookmarkStart w:id="4" w:name="_Toc225459968"/>
      <w:r w:rsidRPr="008E7E5A">
        <w:rPr>
          <w:rFonts w:ascii="Arial" w:hAnsi="Arial" w:cs="Arial"/>
          <w:sz w:val="28"/>
          <w:szCs w:val="28"/>
        </w:rPr>
        <w:t>1.2</w:t>
      </w:r>
      <w:r w:rsidRPr="008E7E5A">
        <w:rPr>
          <w:rFonts w:ascii="Arial" w:hAnsi="Arial" w:cs="Arial"/>
        </w:rPr>
        <w:tab/>
      </w:r>
      <w:r w:rsidR="00D15F51" w:rsidRPr="008E7E5A">
        <w:rPr>
          <w:rFonts w:ascii="Arial" w:hAnsi="Arial" w:cs="Arial"/>
          <w:sz w:val="28"/>
          <w:szCs w:val="28"/>
        </w:rPr>
        <w:t>Demographic Projection</w:t>
      </w:r>
      <w:bookmarkEnd w:id="4"/>
    </w:p>
    <w:p w14:paraId="2C55131A" w14:textId="6787FCE2" w:rsidR="006E3DF2" w:rsidRPr="008E7E5A" w:rsidRDefault="006E3DF2" w:rsidP="006E3DF2">
      <w:pPr>
        <w:rPr>
          <w:rFonts w:ascii="Arial" w:hAnsi="Arial" w:cs="Arial"/>
        </w:rPr>
      </w:pPr>
      <w:r w:rsidRPr="008E7E5A">
        <w:rPr>
          <w:rFonts w:ascii="Arial" w:hAnsi="Arial" w:cs="Arial"/>
        </w:rPr>
        <w:t>2025 serves as the base year for the projection, with the following</w:t>
      </w:r>
      <w:r w:rsidR="3515B9B9" w:rsidRPr="008E7E5A">
        <w:rPr>
          <w:rFonts w:ascii="Arial" w:hAnsi="Arial" w:cs="Arial"/>
        </w:rPr>
        <w:t xml:space="preserve"> methodology </w:t>
      </w:r>
      <w:r w:rsidRPr="008E7E5A">
        <w:rPr>
          <w:rFonts w:ascii="Arial" w:hAnsi="Arial" w:cs="Arial"/>
        </w:rPr>
        <w:t>applied across each age band:</w:t>
      </w:r>
    </w:p>
    <w:p w14:paraId="7423FA5D" w14:textId="70EF78BE" w:rsidR="5FBC5D49" w:rsidRPr="008E7E5A" w:rsidRDefault="5601671E" w:rsidP="1CB962C8">
      <w:pPr>
        <w:rPr>
          <w:rFonts w:ascii="Arial" w:hAnsi="Arial" w:cs="Arial"/>
        </w:rPr>
      </w:pPr>
      <w:r w:rsidRPr="008E7E5A">
        <w:rPr>
          <w:rFonts w:ascii="Arial" w:hAnsi="Arial" w:cs="Arial"/>
          <w:noProof/>
        </w:rPr>
        <w:drawing>
          <wp:inline distT="0" distB="0" distL="0" distR="0" wp14:anchorId="4B9B0610" wp14:editId="6D1E0FED">
            <wp:extent cx="6098345" cy="842200"/>
            <wp:effectExtent l="0" t="0" r="0" b="0"/>
            <wp:docPr id="5466239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23957" name="Picture 546623957"/>
                    <pic:cNvPicPr/>
                  </pic:nvPicPr>
                  <pic:blipFill>
                    <a:blip r:embed="rId12">
                      <a:extLst>
                        <a:ext uri="{28A0092B-C50C-407E-A947-70E740481C1C}">
                          <a14:useLocalDpi xmlns:a14="http://schemas.microsoft.com/office/drawing/2010/main"/>
                        </a:ext>
                      </a:extLst>
                    </a:blip>
                    <a:stretch>
                      <a:fillRect/>
                    </a:stretch>
                  </pic:blipFill>
                  <pic:spPr>
                    <a:xfrm>
                      <a:off x="0" y="0"/>
                      <a:ext cx="6120891" cy="845314"/>
                    </a:xfrm>
                    <a:prstGeom prst="rect">
                      <a:avLst/>
                    </a:prstGeom>
                  </pic:spPr>
                </pic:pic>
              </a:graphicData>
            </a:graphic>
          </wp:inline>
        </w:drawing>
      </w:r>
    </w:p>
    <w:p w14:paraId="274CDA64" w14:textId="4DF8FAF7" w:rsidR="00863BDD" w:rsidRPr="008E7E5A" w:rsidRDefault="00386C51" w:rsidP="007E6771">
      <w:pPr>
        <w:pStyle w:val="Heading2"/>
        <w:rPr>
          <w:rFonts w:ascii="Arial" w:hAnsi="Arial" w:cs="Arial"/>
          <w:sz w:val="28"/>
          <w:szCs w:val="28"/>
        </w:rPr>
      </w:pPr>
      <w:bookmarkStart w:id="5" w:name="_Toc225459969"/>
      <w:r w:rsidRPr="008E7E5A">
        <w:rPr>
          <w:rFonts w:ascii="Arial" w:hAnsi="Arial" w:cs="Arial"/>
          <w:sz w:val="28"/>
          <w:szCs w:val="28"/>
        </w:rPr>
        <w:t>1.3</w:t>
      </w:r>
      <w:r w:rsidRPr="008E7E5A">
        <w:rPr>
          <w:rFonts w:ascii="Arial" w:hAnsi="Arial" w:cs="Arial"/>
        </w:rPr>
        <w:tab/>
      </w:r>
      <w:r w:rsidR="0001198C" w:rsidRPr="008E7E5A">
        <w:rPr>
          <w:rFonts w:ascii="Arial" w:hAnsi="Arial" w:cs="Arial"/>
          <w:sz w:val="28"/>
          <w:szCs w:val="28"/>
        </w:rPr>
        <w:t>Conclusion</w:t>
      </w:r>
      <w:bookmarkEnd w:id="5"/>
    </w:p>
    <w:p w14:paraId="4040C7B0" w14:textId="5063519C" w:rsidR="00863BDD" w:rsidRPr="008E7E5A" w:rsidRDefault="47B82EBB" w:rsidP="3557C0DB">
      <w:pPr>
        <w:spacing w:after="0"/>
        <w:jc w:val="center"/>
        <w:rPr>
          <w:rFonts w:ascii="Arial" w:hAnsi="Arial" w:cs="Arial"/>
        </w:rPr>
      </w:pPr>
      <w:r w:rsidRPr="008E7E5A">
        <w:rPr>
          <w:rFonts w:ascii="Arial" w:hAnsi="Arial" w:cs="Arial"/>
          <w:noProof/>
        </w:rPr>
        <w:drawing>
          <wp:inline distT="0" distB="0" distL="0" distR="0" wp14:anchorId="0E3226E7" wp14:editId="1BADFA57">
            <wp:extent cx="4297680" cy="2252530"/>
            <wp:effectExtent l="0" t="0" r="0" b="0"/>
            <wp:docPr id="1990044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44435" name="Picture 1990044435"/>
                    <pic:cNvPicPr/>
                  </pic:nvPicPr>
                  <pic:blipFill>
                    <a:blip r:embed="rId13">
                      <a:extLst>
                        <a:ext uri="{28A0092B-C50C-407E-A947-70E740481C1C}">
                          <a14:useLocalDpi xmlns:a14="http://schemas.microsoft.com/office/drawing/2010/main"/>
                        </a:ext>
                      </a:extLst>
                    </a:blip>
                    <a:stretch>
                      <a:fillRect/>
                    </a:stretch>
                  </pic:blipFill>
                  <pic:spPr>
                    <a:xfrm>
                      <a:off x="0" y="0"/>
                      <a:ext cx="4297680" cy="2252530"/>
                    </a:xfrm>
                    <a:prstGeom prst="rect">
                      <a:avLst/>
                    </a:prstGeom>
                  </pic:spPr>
                </pic:pic>
              </a:graphicData>
            </a:graphic>
          </wp:inline>
        </w:drawing>
      </w:r>
    </w:p>
    <w:p w14:paraId="57277F33" w14:textId="6C088F0E" w:rsidR="00F5063F" w:rsidRPr="008E7E5A" w:rsidRDefault="00484C2F" w:rsidP="0013663B">
      <w:pPr>
        <w:jc w:val="center"/>
        <w:rPr>
          <w:rFonts w:ascii="Arial" w:hAnsi="Arial" w:cs="Arial"/>
          <w:sz w:val="16"/>
          <w:szCs w:val="16"/>
        </w:rPr>
      </w:pPr>
      <w:r w:rsidRPr="008E7E5A">
        <w:rPr>
          <w:rFonts w:ascii="Arial" w:hAnsi="Arial" w:cs="Arial"/>
          <w:sz w:val="16"/>
          <w:szCs w:val="16"/>
        </w:rPr>
        <w:t xml:space="preserve">Figure 3 </w:t>
      </w:r>
      <w:r w:rsidR="00A23139" w:rsidRPr="008E7E5A">
        <w:rPr>
          <w:rFonts w:ascii="Arial" w:hAnsi="Arial" w:cs="Arial"/>
          <w:sz w:val="16"/>
          <w:szCs w:val="16"/>
        </w:rPr>
        <w:t>Population Projection</w:t>
      </w:r>
    </w:p>
    <w:p w14:paraId="42A80357" w14:textId="487CB5DD" w:rsidR="7BCBBDE1" w:rsidRPr="008E7E5A" w:rsidRDefault="7BCBBDE1" w:rsidP="004731AF">
      <w:pPr>
        <w:jc w:val="both"/>
        <w:rPr>
          <w:rFonts w:ascii="Arial" w:eastAsia="Aptos" w:hAnsi="Arial" w:cs="Arial"/>
        </w:rPr>
      </w:pPr>
      <w:r w:rsidRPr="008E7E5A">
        <w:rPr>
          <w:rFonts w:ascii="Arial" w:eastAsia="Aptos" w:hAnsi="Arial" w:cs="Arial"/>
        </w:rPr>
        <w:t xml:space="preserve">The "bulge" is moving upward. By 2035 (red), the population is no longer a pyramid but an inverted vase. The </w:t>
      </w:r>
      <w:r w:rsidR="00B13E22" w:rsidRPr="008E7E5A">
        <w:rPr>
          <w:rFonts w:ascii="Arial" w:eastAsia="Aptos" w:hAnsi="Arial" w:cs="Arial"/>
        </w:rPr>
        <w:t xml:space="preserve">elderly </w:t>
      </w:r>
      <w:r w:rsidR="00225B26" w:rsidRPr="008E7E5A">
        <w:rPr>
          <w:rFonts w:ascii="Arial" w:eastAsia="Aptos" w:hAnsi="Arial" w:cs="Arial"/>
        </w:rPr>
        <w:t xml:space="preserve">age </w:t>
      </w:r>
      <w:r w:rsidRPr="008E7E5A">
        <w:rPr>
          <w:rFonts w:ascii="Arial" w:eastAsia="Aptos" w:hAnsi="Arial" w:cs="Arial"/>
        </w:rPr>
        <w:t xml:space="preserve">cohorts </w:t>
      </w:r>
      <w:commentRangeStart w:id="6"/>
      <w:commentRangeStart w:id="7"/>
      <w:r w:rsidRPr="008E7E5A">
        <w:rPr>
          <w:rFonts w:ascii="Arial" w:eastAsia="Aptos" w:hAnsi="Arial" w:cs="Arial"/>
        </w:rPr>
        <w:t>(</w:t>
      </w:r>
      <w:r w:rsidR="5A6C6309" w:rsidRPr="008E7E5A">
        <w:rPr>
          <w:rFonts w:ascii="Arial" w:eastAsia="Aptos" w:hAnsi="Arial" w:cs="Arial"/>
        </w:rPr>
        <w:t xml:space="preserve">65 </w:t>
      </w:r>
      <w:r w:rsidRPr="008E7E5A">
        <w:rPr>
          <w:rFonts w:ascii="Arial" w:eastAsia="Aptos" w:hAnsi="Arial" w:cs="Arial"/>
        </w:rPr>
        <w:t xml:space="preserve">to 90+) </w:t>
      </w:r>
      <w:commentRangeEnd w:id="6"/>
      <w:r w:rsidR="00C16400" w:rsidRPr="008E7E5A">
        <w:rPr>
          <w:rStyle w:val="CommentReference"/>
          <w:rFonts w:ascii="Arial" w:eastAsia="Aptos" w:hAnsi="Arial" w:cs="Arial"/>
          <w:sz w:val="22"/>
          <w:szCs w:val="22"/>
        </w:rPr>
        <w:commentReference w:id="6"/>
      </w:r>
      <w:commentRangeEnd w:id="7"/>
      <w:r w:rsidRPr="008E7E5A">
        <w:rPr>
          <w:rStyle w:val="CommentReference"/>
          <w:rFonts w:ascii="Arial" w:eastAsia="Aptos" w:hAnsi="Arial" w:cs="Arial"/>
          <w:sz w:val="22"/>
          <w:szCs w:val="22"/>
        </w:rPr>
        <w:commentReference w:id="7"/>
      </w:r>
      <w:r w:rsidRPr="008E7E5A">
        <w:rPr>
          <w:rFonts w:ascii="Arial" w:eastAsia="Aptos" w:hAnsi="Arial" w:cs="Arial"/>
        </w:rPr>
        <w:t>are expanding drastically</w:t>
      </w:r>
      <w:r w:rsidR="6CC3076C" w:rsidRPr="008E7E5A">
        <w:rPr>
          <w:rFonts w:ascii="Arial" w:eastAsia="Aptos" w:hAnsi="Arial" w:cs="Arial"/>
        </w:rPr>
        <w:t xml:space="preserve">, indicating </w:t>
      </w:r>
      <w:r w:rsidRPr="008E7E5A">
        <w:rPr>
          <w:rFonts w:ascii="Arial" w:eastAsia="Aptos" w:hAnsi="Arial" w:cs="Arial"/>
        </w:rPr>
        <w:t>exponential increase in hospital bed demand and chronic disease management costs.</w:t>
      </w:r>
    </w:p>
    <w:p w14:paraId="6ED72CB3" w14:textId="65A451DF" w:rsidR="00863BDD" w:rsidRPr="008E7E5A" w:rsidRDefault="007E6771" w:rsidP="007E6771">
      <w:pPr>
        <w:pStyle w:val="Heading1"/>
        <w:rPr>
          <w:rFonts w:ascii="Arial" w:hAnsi="Arial" w:cs="Arial"/>
          <w:sz w:val="36"/>
          <w:szCs w:val="36"/>
        </w:rPr>
      </w:pPr>
      <w:bookmarkStart w:id="8" w:name="_Toc225459970"/>
      <w:r w:rsidRPr="008E7E5A">
        <w:rPr>
          <w:rFonts w:ascii="Arial" w:hAnsi="Arial" w:cs="Arial"/>
          <w:sz w:val="36"/>
          <w:szCs w:val="36"/>
        </w:rPr>
        <w:lastRenderedPageBreak/>
        <w:t xml:space="preserve">Module </w:t>
      </w:r>
      <w:r w:rsidR="00863BDD" w:rsidRPr="008E7E5A">
        <w:rPr>
          <w:rFonts w:ascii="Arial" w:hAnsi="Arial" w:cs="Arial"/>
          <w:sz w:val="36"/>
          <w:szCs w:val="36"/>
        </w:rPr>
        <w:t>2</w:t>
      </w:r>
      <w:r w:rsidR="008E7E5A">
        <w:rPr>
          <w:rFonts w:ascii="Arial" w:hAnsi="Arial" w:cs="Arial"/>
        </w:rPr>
        <w:t xml:space="preserve"> </w:t>
      </w:r>
      <w:r w:rsidR="00863BDD" w:rsidRPr="008E7E5A">
        <w:rPr>
          <w:rFonts w:ascii="Arial" w:hAnsi="Arial" w:cs="Arial"/>
          <w:sz w:val="36"/>
          <w:szCs w:val="36"/>
        </w:rPr>
        <w:t>Hospital Demand and Admission Forecasting</w:t>
      </w:r>
      <w:bookmarkEnd w:id="8"/>
      <w:r w:rsidR="00863BDD" w:rsidRPr="008E7E5A">
        <w:rPr>
          <w:rFonts w:ascii="Arial" w:hAnsi="Arial" w:cs="Arial"/>
          <w:sz w:val="36"/>
          <w:szCs w:val="36"/>
        </w:rPr>
        <w:t> </w:t>
      </w:r>
    </w:p>
    <w:p w14:paraId="4FDAD260" w14:textId="151FBB4C" w:rsidR="00863BDD" w:rsidRPr="008E7E5A" w:rsidRDefault="00863BDD" w:rsidP="00386C51">
      <w:pPr>
        <w:jc w:val="both"/>
        <w:rPr>
          <w:rFonts w:ascii="Arial" w:hAnsi="Arial" w:cs="Arial"/>
        </w:rPr>
      </w:pPr>
      <w:r w:rsidRPr="008E7E5A">
        <w:rPr>
          <w:rFonts w:ascii="Arial" w:hAnsi="Arial" w:cs="Arial"/>
        </w:rPr>
        <w:t xml:space="preserve">This module evaluates whether Singapore’s public acute hospital bed capacity </w:t>
      </w:r>
      <w:r w:rsidR="006D5A43" w:rsidRPr="008E7E5A">
        <w:rPr>
          <w:rFonts w:ascii="Arial" w:hAnsi="Arial" w:cs="Arial"/>
        </w:rPr>
        <w:t>can</w:t>
      </w:r>
      <w:r w:rsidR="001C2B61" w:rsidRPr="008E7E5A">
        <w:rPr>
          <w:rFonts w:ascii="Arial" w:hAnsi="Arial" w:cs="Arial"/>
        </w:rPr>
        <w:t xml:space="preserve"> meet </w:t>
      </w:r>
      <w:r w:rsidRPr="008E7E5A">
        <w:rPr>
          <w:rFonts w:ascii="Arial" w:hAnsi="Arial" w:cs="Arial"/>
        </w:rPr>
        <w:t xml:space="preserve">projected admission demand from 2025 to 2035. The analysis uses </w:t>
      </w:r>
      <w:r w:rsidR="33CDDA44" w:rsidRPr="008E7E5A">
        <w:rPr>
          <w:rFonts w:ascii="Arial" w:hAnsi="Arial" w:cs="Arial"/>
        </w:rPr>
        <w:t xml:space="preserve">the demographic projection from Module 1, </w:t>
      </w:r>
      <w:r w:rsidR="385CFF0E" w:rsidRPr="008E7E5A">
        <w:rPr>
          <w:rFonts w:ascii="Arial" w:hAnsi="Arial" w:cs="Arial"/>
        </w:rPr>
        <w:t>official</w:t>
      </w:r>
      <w:r w:rsidRPr="008E7E5A">
        <w:rPr>
          <w:rFonts w:ascii="Arial" w:hAnsi="Arial" w:cs="Arial"/>
        </w:rPr>
        <w:t xml:space="preserve"> age-specific admission rates, average length of stay (ALOS), and Ministry of Health (MOH) bed expansion policies to forecast Bed Occupancy Rate (BOR) and conduct </w:t>
      </w:r>
      <w:r w:rsidR="385CFF0E" w:rsidRPr="008E7E5A">
        <w:rPr>
          <w:rFonts w:ascii="Arial" w:hAnsi="Arial" w:cs="Arial"/>
        </w:rPr>
        <w:t>trade</w:t>
      </w:r>
      <w:r w:rsidR="00696205" w:rsidRPr="008E7E5A">
        <w:rPr>
          <w:rFonts w:ascii="Arial" w:hAnsi="Arial" w:cs="Arial"/>
        </w:rPr>
        <w:t>-</w:t>
      </w:r>
      <w:r w:rsidR="385CFF0E" w:rsidRPr="008E7E5A">
        <w:rPr>
          <w:rFonts w:ascii="Arial" w:hAnsi="Arial" w:cs="Arial"/>
        </w:rPr>
        <w:t>off</w:t>
      </w:r>
      <w:r w:rsidRPr="008E7E5A">
        <w:rPr>
          <w:rFonts w:ascii="Arial" w:hAnsi="Arial" w:cs="Arial"/>
        </w:rPr>
        <w:t xml:space="preserve"> analysis between bed supply and occupancy risk.</w:t>
      </w:r>
    </w:p>
    <w:p w14:paraId="0A00A02D" w14:textId="6A7E9DB2" w:rsidR="00863BDD" w:rsidRPr="008E7E5A" w:rsidRDefault="00863BDD" w:rsidP="007E6771">
      <w:pPr>
        <w:pStyle w:val="Heading2"/>
        <w:rPr>
          <w:rFonts w:ascii="Arial" w:hAnsi="Arial" w:cs="Arial"/>
          <w:sz w:val="28"/>
          <w:szCs w:val="28"/>
        </w:rPr>
      </w:pPr>
      <w:bookmarkStart w:id="9" w:name="_Toc225459971"/>
      <w:r w:rsidRPr="008E7E5A">
        <w:rPr>
          <w:rFonts w:ascii="Arial" w:hAnsi="Arial" w:cs="Arial"/>
          <w:sz w:val="28"/>
          <w:szCs w:val="28"/>
        </w:rPr>
        <w:t>2.1</w:t>
      </w:r>
      <w:r w:rsidR="00386C51" w:rsidRPr="008E7E5A">
        <w:rPr>
          <w:rFonts w:ascii="Arial" w:hAnsi="Arial" w:cs="Arial"/>
        </w:rPr>
        <w:tab/>
      </w:r>
      <w:r w:rsidR="107C47CE" w:rsidRPr="008E7E5A">
        <w:rPr>
          <w:rFonts w:ascii="Arial" w:hAnsi="Arial" w:cs="Arial"/>
          <w:sz w:val="28"/>
          <w:szCs w:val="28"/>
        </w:rPr>
        <w:t>Projected</w:t>
      </w:r>
      <w:r w:rsidRPr="008E7E5A">
        <w:rPr>
          <w:rFonts w:ascii="Arial" w:hAnsi="Arial" w:cs="Arial"/>
          <w:sz w:val="28"/>
          <w:szCs w:val="28"/>
        </w:rPr>
        <w:t xml:space="preserve"> Bed Occupancy Rate (BOR)</w:t>
      </w:r>
      <w:bookmarkEnd w:id="9"/>
    </w:p>
    <w:p w14:paraId="0208D773" w14:textId="747D58F3" w:rsidR="009B4CA4" w:rsidRPr="008E7E5A" w:rsidRDefault="002013F2" w:rsidP="008B0FDC">
      <w:pPr>
        <w:pStyle w:val="p1"/>
        <w:jc w:val="both"/>
        <w:rPr>
          <w:rFonts w:ascii="Arial" w:hAnsi="Arial" w:cs="Arial"/>
          <w:sz w:val="22"/>
          <w:szCs w:val="22"/>
        </w:rPr>
      </w:pPr>
      <w:r w:rsidRPr="008E7E5A">
        <w:rPr>
          <w:rFonts w:ascii="Arial" w:hAnsi="Arial" w:cs="Arial"/>
          <w:sz w:val="22"/>
          <w:szCs w:val="22"/>
        </w:rPr>
        <w:t>The analysis evaluates whether existing and planned bed capacity is sufficient to meet projected hospital admission demand, incorporating age-specific population, admission rate</w:t>
      </w:r>
      <w:r w:rsidR="00EF45B1" w:rsidRPr="008E7E5A">
        <w:rPr>
          <w:rFonts w:ascii="Arial" w:hAnsi="Arial" w:cs="Arial"/>
          <w:sz w:val="22"/>
          <w:szCs w:val="22"/>
        </w:rPr>
        <w:t xml:space="preserve"> (AR)</w:t>
      </w:r>
      <w:r w:rsidRPr="008E7E5A">
        <w:rPr>
          <w:rFonts w:ascii="Arial" w:hAnsi="Arial" w:cs="Arial"/>
          <w:sz w:val="22"/>
          <w:szCs w:val="22"/>
        </w:rPr>
        <w:t xml:space="preserve">, average length of stay (ALOS), </w:t>
      </w:r>
      <w:r w:rsidR="00D84725" w:rsidRPr="008E7E5A">
        <w:rPr>
          <w:rFonts w:ascii="Arial" w:hAnsi="Arial" w:cs="Arial"/>
          <w:sz w:val="22"/>
          <w:szCs w:val="22"/>
        </w:rPr>
        <w:t>and</w:t>
      </w:r>
      <w:r w:rsidRPr="008E7E5A">
        <w:rPr>
          <w:rFonts w:ascii="Arial" w:hAnsi="Arial" w:cs="Arial"/>
          <w:sz w:val="22"/>
          <w:szCs w:val="22"/>
        </w:rPr>
        <w:t xml:space="preserve"> the bed expansion rate for 2031–2035</w:t>
      </w:r>
      <w:r w:rsidR="00751938" w:rsidRPr="008E7E5A">
        <w:rPr>
          <w:rFonts w:ascii="Arial" w:hAnsi="Arial" w:cs="Arial"/>
          <w:sz w:val="22"/>
          <w:szCs w:val="22"/>
        </w:rPr>
        <w:t>.</w:t>
      </w:r>
    </w:p>
    <w:p w14:paraId="423DE159" w14:textId="336506EA" w:rsidR="00515F63" w:rsidRPr="008E7E5A" w:rsidRDefault="00F448D8" w:rsidP="65ECA4FB">
      <w:pPr>
        <w:spacing w:before="240" w:after="240"/>
        <w:rPr>
          <w:rFonts w:ascii="Arial" w:eastAsia="Times New Roman" w:hAnsi="Arial" w:cs="Arial"/>
          <w:i/>
          <w:sz w:val="19"/>
          <w:szCs w:val="19"/>
          <w:lang w:eastAsia="zh-CN"/>
        </w:rPr>
      </w:pPr>
      <m:oMathPara>
        <m:oMathParaPr>
          <m:jc m:val="left"/>
        </m:oMathParaPr>
        <m:oMath>
          <m:sSub>
            <m:sSubPr>
              <m:ctrlPr>
                <w:rPr>
                  <w:rFonts w:ascii="Cambria Math" w:hAnsi="Cambria Math" w:cs="Arial"/>
                  <w:i/>
                  <w:sz w:val="19"/>
                  <w:szCs w:val="19"/>
                </w:rPr>
              </m:ctrlPr>
            </m:sSubPr>
            <m:e>
              <m:r>
                <m:rPr>
                  <m:nor/>
                </m:rPr>
                <w:rPr>
                  <w:rFonts w:ascii="Arial" w:hAnsi="Arial" w:cs="Arial"/>
                  <w:i/>
                  <w:sz w:val="19"/>
                  <w:szCs w:val="19"/>
                </w:rPr>
                <m:t>AR</m:t>
              </m:r>
            </m:e>
            <m:sub>
              <m:r>
                <w:rPr>
                  <w:rFonts w:ascii="Cambria Math" w:hAnsi="Cambria Math" w:cs="Arial"/>
                  <w:sz w:val="19"/>
                  <w:szCs w:val="19"/>
                  <w:lang w:eastAsia="zh-CN"/>
                </w:rPr>
                <m:t>adj</m:t>
              </m:r>
            </m:sub>
          </m:sSub>
          <m:r>
            <w:rPr>
              <w:rFonts w:ascii="Cambria Math" w:hAnsi="Cambria Math" w:cs="Arial"/>
              <w:sz w:val="19"/>
              <w:szCs w:val="19"/>
            </w:rPr>
            <m:t>=</m:t>
          </m:r>
          <m:sSub>
            <m:sSubPr>
              <m:ctrlPr>
                <w:rPr>
                  <w:rFonts w:ascii="Cambria Math" w:eastAsia="Aptos" w:hAnsi="Cambria Math" w:cs="Arial"/>
                  <w:i/>
                  <w:sz w:val="19"/>
                  <w:szCs w:val="19"/>
                </w:rPr>
              </m:ctrlPr>
            </m:sSubPr>
            <m:e>
              <m:r>
                <m:rPr>
                  <m:nor/>
                </m:rPr>
                <w:rPr>
                  <w:rFonts w:ascii="Arial" w:eastAsia="Aptos" w:hAnsi="Arial" w:cs="Arial"/>
                  <w:i/>
                  <w:sz w:val="19"/>
                  <w:szCs w:val="19"/>
                  <w:lang w:eastAsia="zh-CN"/>
                </w:rPr>
                <m:t>AR</m:t>
              </m:r>
            </m:e>
            <m:sub>
              <m:r>
                <w:rPr>
                  <w:rFonts w:ascii="Cambria Math" w:eastAsia="Aptos" w:hAnsi="Cambria Math" w:cs="Arial"/>
                  <w:sz w:val="19"/>
                  <w:szCs w:val="19"/>
                </w:rPr>
                <m:t>l</m:t>
              </m:r>
              <m:r>
                <w:rPr>
                  <w:rFonts w:ascii="Cambria Math" w:eastAsia="Aptos" w:hAnsi="Cambria Math" w:cs="Arial"/>
                  <w:sz w:val="19"/>
                  <w:szCs w:val="19"/>
                  <w:lang w:eastAsia="zh-CN"/>
                </w:rPr>
                <m:t>inear,</m:t>
              </m:r>
              <m:r>
                <w:rPr>
                  <w:rFonts w:ascii="Cambria Math" w:eastAsia="Aptos" w:hAnsi="Cambria Math" w:cs="Arial"/>
                  <w:sz w:val="19"/>
                  <w:szCs w:val="19"/>
                </w:rPr>
                <m:t>t</m:t>
              </m:r>
            </m:sub>
          </m:sSub>
          <m:r>
            <w:rPr>
              <w:rFonts w:ascii="Cambria Math" w:hAnsi="Cambria Math" w:cs="Arial"/>
              <w:sz w:val="19"/>
              <w:szCs w:val="19"/>
              <w:lang w:eastAsia="zh-CN"/>
            </w:rPr>
            <m:t>⋅</m:t>
          </m:r>
          <m:sSup>
            <m:sSupPr>
              <m:ctrlPr>
                <w:rPr>
                  <w:rFonts w:ascii="Cambria Math" w:hAnsi="Cambria Math" w:cs="Arial"/>
                  <w:i/>
                  <w:sz w:val="19"/>
                  <w:szCs w:val="19"/>
                  <w:lang w:eastAsia="zh-CN"/>
                </w:rPr>
              </m:ctrlPr>
            </m:sSupPr>
            <m:e>
              <m:d>
                <m:dPr>
                  <m:ctrlPr>
                    <w:rPr>
                      <w:rFonts w:ascii="Cambria Math" w:eastAsia="Aptos" w:hAnsi="Cambria Math" w:cs="Arial"/>
                      <w:i/>
                      <w:sz w:val="19"/>
                      <w:szCs w:val="19"/>
                    </w:rPr>
                  </m:ctrlPr>
                </m:dPr>
                <m:e>
                  <m:r>
                    <w:rPr>
                      <w:rFonts w:ascii="Cambria Math" w:eastAsia="Aptos" w:hAnsi="Cambria Math" w:cs="Arial"/>
                      <w:sz w:val="19"/>
                      <w:szCs w:val="19"/>
                    </w:rPr>
                    <m:t>1-r</m:t>
                  </m:r>
                </m:e>
              </m:d>
            </m:e>
            <m:sup>
              <m:r>
                <w:rPr>
                  <w:rFonts w:ascii="Cambria Math" w:hAnsi="Cambria Math" w:cs="Arial"/>
                  <w:sz w:val="19"/>
                  <w:szCs w:val="19"/>
                  <w:lang w:eastAsia="zh-CN"/>
                </w:rPr>
                <m:t>t-2024</m:t>
              </m:r>
            </m:sup>
          </m:sSup>
          <m:r>
            <w:rPr>
              <w:rFonts w:ascii="Cambria Math" w:hAnsi="Cambria Math" w:cs="Arial"/>
              <w:sz w:val="19"/>
              <w:szCs w:val="19"/>
              <w:lang w:eastAsia="zh-CN"/>
            </w:rPr>
            <m:t xml:space="preserve">, where </m:t>
          </m:r>
          <m:r>
            <m:rPr>
              <m:nor/>
            </m:rPr>
            <w:rPr>
              <w:rFonts w:ascii="Arial" w:eastAsia="Aptos" w:hAnsi="Arial" w:cs="Arial"/>
              <w:i/>
              <w:sz w:val="20"/>
              <w:szCs w:val="20"/>
              <w:lang w:eastAsia="zh-CN"/>
            </w:rPr>
            <m:t>t</m:t>
          </m:r>
          <m:r>
            <w:rPr>
              <w:rFonts w:ascii="Cambria Math" w:eastAsia="Aptos" w:hAnsi="Cambria Math" w:cs="Arial"/>
              <w:sz w:val="20"/>
              <w:szCs w:val="20"/>
              <w:lang w:eastAsia="zh-CN"/>
            </w:rPr>
            <m:t>=</m:t>
          </m:r>
          <m:r>
            <m:rPr>
              <m:nor/>
            </m:rPr>
            <w:rPr>
              <w:rFonts w:ascii="Arial" w:eastAsia="Aptos" w:hAnsi="Arial" w:cs="Arial"/>
              <w:i/>
              <w:sz w:val="20"/>
              <w:szCs w:val="20"/>
              <w:lang w:eastAsia="zh-CN"/>
            </w:rPr>
            <m:t>year</m:t>
          </m:r>
          <m:r>
            <w:rPr>
              <w:rFonts w:ascii="Cambria Math" w:hAnsi="Cambria Math" w:cs="Arial"/>
              <w:sz w:val="20"/>
              <w:szCs w:val="20"/>
              <w:lang w:eastAsia="zh-CN"/>
            </w:rPr>
            <m:t xml:space="preserve">, </m:t>
          </m:r>
          <m:r>
            <m:rPr>
              <m:nor/>
            </m:rPr>
            <w:rPr>
              <w:rFonts w:ascii="Arial" w:eastAsia="Microsoft YaHei" w:hAnsi="Arial" w:cs="Arial"/>
              <w:i/>
              <w:sz w:val="20"/>
              <w:szCs w:val="20"/>
              <w:lang w:eastAsia="zh-CN"/>
            </w:rPr>
            <m:t xml:space="preserve"> </m:t>
          </m:r>
          <m:r>
            <w:rPr>
              <w:rFonts w:ascii="Cambria Math" w:hAnsi="Cambria Math" w:cs="Arial"/>
              <w:sz w:val="19"/>
              <w:szCs w:val="19"/>
              <w:lang w:eastAsia="zh-CN"/>
            </w:rPr>
            <m:t>r=Govt Policy Factor(e.g., Healthier SG)</m:t>
          </m:r>
        </m:oMath>
      </m:oMathPara>
    </w:p>
    <w:p w14:paraId="20699547" w14:textId="4761490B" w:rsidR="00515F63" w:rsidRPr="008E7E5A" w:rsidRDefault="7492AE2C" w:rsidP="65ECA4FB">
      <w:pPr>
        <w:spacing w:before="240" w:after="240"/>
        <w:rPr>
          <w:rFonts w:ascii="Arial" w:hAnsi="Arial" w:cs="Arial"/>
        </w:rPr>
      </w:pPr>
      <w:r w:rsidRPr="008E7E5A">
        <w:rPr>
          <w:rFonts w:ascii="Arial" w:hAnsi="Arial" w:cs="Arial"/>
        </w:rPr>
        <w:t xml:space="preserve">Age-specific admission rates </w:t>
      </w:r>
      <w:r w:rsidR="393CAB11" w:rsidRPr="008E7E5A">
        <w:rPr>
          <w:rFonts w:ascii="Arial" w:hAnsi="Arial" w:cs="Arial"/>
        </w:rPr>
        <w:t>are</w:t>
      </w:r>
      <w:r w:rsidRPr="008E7E5A">
        <w:rPr>
          <w:rFonts w:ascii="Arial" w:hAnsi="Arial" w:cs="Arial"/>
        </w:rPr>
        <w:t xml:space="preserve"> forecasted using a linear trend based on 2006–2024 historical data. It adjusts the forecast using a policy reduction factor to reflect programmes such as Healthier SG, but this adjustment is applied only to age groups aged 40 and above, since the programme is not assumed to affect those below age 40. Total admissions are finally computed by applying the adjusted age-specific admission rate to the projected population of each age group and summing across all age groups.</w:t>
      </w:r>
    </w:p>
    <w:p w14:paraId="0C9FD65C" w14:textId="7AC3CE90" w:rsidR="007469F8" w:rsidRPr="008E7E5A" w:rsidRDefault="00F448D8" w:rsidP="65ECA4FB">
      <w:pPr>
        <w:spacing w:before="240" w:after="240"/>
        <w:rPr>
          <w:rFonts w:ascii="Arial" w:eastAsia="Times New Roman" w:hAnsi="Arial" w:cs="Arial"/>
          <w:i/>
          <w:sz w:val="20"/>
          <w:szCs w:val="20"/>
          <w:lang w:eastAsia="zh-CN"/>
        </w:rPr>
      </w:pPr>
      <m:oMathPara>
        <m:oMathParaPr>
          <m:jc m:val="left"/>
        </m:oMathParaPr>
        <m:oMath>
          <m:sSub>
            <m:sSubPr>
              <m:ctrlPr>
                <w:rPr>
                  <w:rFonts w:ascii="Cambria Math" w:eastAsia="Aptos" w:hAnsi="Cambria Math" w:cs="Arial"/>
                  <w:i/>
                  <w:sz w:val="20"/>
                  <w:szCs w:val="20"/>
                </w:rPr>
              </m:ctrlPr>
            </m:sSubPr>
            <m:e>
              <m:r>
                <m:rPr>
                  <m:nor/>
                </m:rPr>
                <w:rPr>
                  <w:rFonts w:ascii="Arial" w:eastAsia="Aptos" w:hAnsi="Arial" w:cs="Arial"/>
                  <w:i/>
                  <w:sz w:val="20"/>
                  <w:szCs w:val="20"/>
                </w:rPr>
                <m:t>BedDays</m:t>
              </m:r>
            </m:e>
            <m:sub>
              <m:r>
                <w:rPr>
                  <w:rFonts w:ascii="Cambria Math" w:eastAsia="Aptos" w:hAnsi="Cambria Math" w:cs="Arial"/>
                  <w:sz w:val="20"/>
                  <w:szCs w:val="20"/>
                </w:rPr>
                <m:t>t</m:t>
              </m:r>
            </m:sub>
          </m:sSub>
          <m:r>
            <m:rPr>
              <m:sty m:val="bi"/>
            </m:rPr>
            <w:rPr>
              <w:rFonts w:ascii="Cambria Math" w:eastAsia="Aptos" w:hAnsi="Cambria Math" w:cs="Arial"/>
              <w:sz w:val="20"/>
              <w:szCs w:val="20"/>
            </w:rPr>
            <m:t>=</m:t>
          </m:r>
          <m:sSub>
            <m:sSubPr>
              <m:ctrlPr>
                <w:rPr>
                  <w:rFonts w:ascii="Cambria Math" w:eastAsia="Aptos" w:hAnsi="Cambria Math" w:cs="Arial"/>
                  <w:i/>
                  <w:sz w:val="20"/>
                  <w:szCs w:val="20"/>
                </w:rPr>
              </m:ctrlPr>
            </m:sSubPr>
            <m:e>
              <m:r>
                <m:rPr>
                  <m:nor/>
                </m:rPr>
                <w:rPr>
                  <w:rFonts w:ascii="Arial" w:eastAsia="Aptos" w:hAnsi="Arial" w:cs="Arial"/>
                  <w:i/>
                  <w:sz w:val="20"/>
                  <w:szCs w:val="20"/>
                </w:rPr>
                <m:t>Admissions</m:t>
              </m:r>
            </m:e>
            <m:sub>
              <m:r>
                <w:rPr>
                  <w:rFonts w:ascii="Cambria Math" w:eastAsia="Aptos" w:hAnsi="Cambria Math" w:cs="Arial"/>
                  <w:sz w:val="20"/>
                  <w:szCs w:val="20"/>
                </w:rPr>
                <m:t>t</m:t>
              </m:r>
            </m:sub>
          </m:sSub>
          <m:r>
            <w:rPr>
              <w:rFonts w:ascii="Cambria Math" w:hAnsi="Cambria Math" w:cs="Arial"/>
              <w:sz w:val="20"/>
              <w:szCs w:val="20"/>
              <w:lang w:eastAsia="zh-CN"/>
            </w:rPr>
            <m:t>⋅</m:t>
          </m:r>
          <m:r>
            <m:rPr>
              <m:nor/>
            </m:rPr>
            <w:rPr>
              <w:rFonts w:ascii="Arial" w:eastAsia="Aptos" w:hAnsi="Arial" w:cs="Arial"/>
              <w:i/>
              <w:sz w:val="20"/>
              <w:szCs w:val="20"/>
              <w:lang w:eastAsia="zh-CN"/>
            </w:rPr>
            <m:t xml:space="preserve">ALOS </m:t>
          </m:r>
          <m:r>
            <w:rPr>
              <w:rFonts w:ascii="Cambria Math" w:eastAsia="Aptos" w:hAnsi="Cambria Math" w:cs="Arial"/>
              <w:sz w:val="20"/>
              <w:szCs w:val="20"/>
            </w:rPr>
            <m:t>,</m:t>
          </m:r>
          <m:r>
            <w:rPr>
              <w:rFonts w:ascii="Cambria Math" w:eastAsia="Aptos" w:hAnsi="Cambria Math" w:cs="Arial"/>
              <w:sz w:val="20"/>
              <w:szCs w:val="20"/>
              <w:lang w:eastAsia="zh-CN"/>
            </w:rPr>
            <m:t xml:space="preserve"> Where t=year, ALOS=average length of stay</m:t>
          </m:r>
        </m:oMath>
      </m:oMathPara>
    </w:p>
    <w:p w14:paraId="13D74375" w14:textId="4AFE3589" w:rsidR="65ECA4FB" w:rsidRPr="008E7E5A" w:rsidRDefault="00F448D8" w:rsidP="006E57BD">
      <w:pPr>
        <w:spacing w:before="240" w:after="240"/>
        <w:rPr>
          <w:rFonts w:ascii="Arial" w:hAnsi="Arial" w:cs="Arial"/>
          <w:i/>
          <w:sz w:val="20"/>
          <w:szCs w:val="20"/>
          <w:lang w:eastAsia="zh-CN"/>
        </w:rPr>
      </w:pPr>
      <m:oMathPara>
        <m:oMathParaPr>
          <m:jc m:val="left"/>
        </m:oMathParaPr>
        <m:oMath>
          <m:sSub>
            <m:sSubPr>
              <m:ctrlPr>
                <w:rPr>
                  <w:rFonts w:ascii="Cambria Math" w:eastAsia="Aptos" w:hAnsi="Cambria Math" w:cs="Arial"/>
                  <w:i/>
                  <w:sz w:val="20"/>
                  <w:szCs w:val="20"/>
                </w:rPr>
              </m:ctrlPr>
            </m:sSubPr>
            <m:e>
              <m:r>
                <m:rPr>
                  <m:nor/>
                </m:rPr>
                <w:rPr>
                  <w:rFonts w:ascii="Arial" w:eastAsia="Aptos" w:hAnsi="Arial" w:cs="Arial"/>
                  <w:i/>
                  <w:sz w:val="20"/>
                  <w:szCs w:val="20"/>
                </w:rPr>
                <m:t>Beds</m:t>
              </m:r>
            </m:e>
            <m:sub>
              <m:r>
                <w:rPr>
                  <w:rFonts w:ascii="Cambria Math" w:eastAsia="Aptos" w:hAnsi="Cambria Math" w:cs="Arial"/>
                  <w:sz w:val="20"/>
                  <w:szCs w:val="20"/>
                </w:rPr>
                <m:t>t</m:t>
              </m:r>
            </m:sub>
          </m:sSub>
          <m:r>
            <w:rPr>
              <w:rFonts w:ascii="Cambria Math" w:eastAsia="Aptos" w:hAnsi="Cambria Math" w:cs="Arial"/>
              <w:sz w:val="20"/>
              <w:szCs w:val="20"/>
            </w:rPr>
            <m:t>=</m:t>
          </m:r>
          <m:sSub>
            <m:sSubPr>
              <m:ctrlPr>
                <w:rPr>
                  <w:rFonts w:ascii="Cambria Math" w:eastAsia="Aptos" w:hAnsi="Cambria Math" w:cs="Arial"/>
                  <w:i/>
                  <w:sz w:val="20"/>
                  <w:szCs w:val="20"/>
                </w:rPr>
              </m:ctrlPr>
            </m:sSubPr>
            <m:e>
              <m:r>
                <m:rPr>
                  <m:nor/>
                </m:rPr>
                <w:rPr>
                  <w:rFonts w:ascii="Arial" w:eastAsia="Aptos" w:hAnsi="Arial" w:cs="Arial"/>
                  <w:i/>
                  <w:sz w:val="20"/>
                  <w:szCs w:val="20"/>
                </w:rPr>
                <m:t>Beds</m:t>
              </m:r>
            </m:e>
            <m:sub>
              <m:r>
                <w:rPr>
                  <w:rFonts w:ascii="Cambria Math" w:eastAsia="Aptos" w:hAnsi="Cambria Math" w:cs="Arial"/>
                  <w:sz w:val="20"/>
                  <w:szCs w:val="20"/>
                </w:rPr>
                <m:t>t-1</m:t>
              </m:r>
            </m:sub>
          </m:sSub>
          <m:r>
            <w:rPr>
              <w:rFonts w:ascii="Cambria Math" w:hAnsi="Cambria Math" w:cs="Arial"/>
              <w:sz w:val="20"/>
              <w:szCs w:val="20"/>
              <w:lang w:eastAsia="zh-CN"/>
            </w:rPr>
            <m:t>⋅</m:t>
          </m:r>
          <m:d>
            <m:dPr>
              <m:ctrlPr>
                <w:rPr>
                  <w:rFonts w:ascii="Cambria Math" w:eastAsia="Aptos" w:hAnsi="Cambria Math" w:cs="Arial"/>
                  <w:i/>
                  <w:sz w:val="20"/>
                  <w:szCs w:val="20"/>
                </w:rPr>
              </m:ctrlPr>
            </m:dPr>
            <m:e>
              <m:r>
                <w:rPr>
                  <w:rFonts w:ascii="Cambria Math" w:eastAsia="Aptos" w:hAnsi="Cambria Math" w:cs="Arial"/>
                  <w:sz w:val="20"/>
                  <w:szCs w:val="20"/>
                </w:rPr>
                <m:t>1+</m:t>
              </m:r>
              <m:r>
                <w:rPr>
                  <w:rFonts w:ascii="Cambria Math" w:eastAsia="Aptos" w:hAnsi="Cambria Math" w:cs="Arial"/>
                  <w:sz w:val="20"/>
                  <w:szCs w:val="20"/>
                  <w:lang w:eastAsia="zh-CN"/>
                </w:rPr>
                <m:t>Δ</m:t>
              </m:r>
            </m:e>
          </m:d>
          <m:r>
            <w:rPr>
              <w:rFonts w:ascii="Cambria Math" w:eastAsia="Aptos" w:hAnsi="Cambria Math" w:cs="Arial"/>
              <w:sz w:val="20"/>
              <w:szCs w:val="20"/>
            </w:rPr>
            <m:t>,</m:t>
          </m:r>
          <m:r>
            <w:rPr>
              <w:rFonts w:ascii="Cambria Math" w:eastAsia="Aptos" w:hAnsi="Cambria Math" w:cs="Arial"/>
              <w:sz w:val="20"/>
              <w:szCs w:val="20"/>
              <w:lang w:eastAsia="zh-CN"/>
            </w:rPr>
            <m:t xml:space="preserve"> where Δ=annual bed expansion rate</m:t>
          </m:r>
        </m:oMath>
      </m:oMathPara>
    </w:p>
    <w:p w14:paraId="4EEA4718" w14:textId="6301CCA8" w:rsidR="65ECA4FB" w:rsidRPr="008E7E5A" w:rsidRDefault="00F448D8" w:rsidP="006E57BD">
      <w:pPr>
        <w:spacing w:before="240" w:after="240"/>
        <w:rPr>
          <w:rFonts w:ascii="Arial" w:hAnsi="Arial" w:cs="Arial"/>
        </w:rPr>
      </w:pPr>
      <m:oMathPara>
        <m:oMathParaPr>
          <m:jc m:val="left"/>
        </m:oMathParaPr>
        <m:oMath>
          <m:sSub>
            <m:sSubPr>
              <m:ctrlPr>
                <w:rPr>
                  <w:rFonts w:ascii="Cambria Math" w:eastAsia="Aptos" w:hAnsi="Cambria Math" w:cs="Arial"/>
                  <w:i/>
                  <w:sz w:val="20"/>
                  <w:szCs w:val="20"/>
                </w:rPr>
              </m:ctrlPr>
            </m:sSubPr>
            <m:e>
              <m:r>
                <m:rPr>
                  <m:nor/>
                </m:rPr>
                <w:rPr>
                  <w:rFonts w:ascii="Arial" w:eastAsia="Aptos" w:hAnsi="Arial" w:cs="Arial"/>
                  <w:i/>
                  <w:sz w:val="20"/>
                  <w:szCs w:val="20"/>
                </w:rPr>
                <m:t>BOR</m:t>
              </m:r>
            </m:e>
            <m:sub>
              <m:r>
                <w:rPr>
                  <w:rFonts w:ascii="Cambria Math" w:eastAsia="Aptos" w:hAnsi="Cambria Math" w:cs="Arial"/>
                  <w:sz w:val="20"/>
                  <w:szCs w:val="20"/>
                </w:rPr>
                <m:t>t</m:t>
              </m:r>
            </m:sub>
          </m:sSub>
          <m:r>
            <w:rPr>
              <w:rFonts w:ascii="Cambria Math" w:eastAsia="Aptos" w:hAnsi="Cambria Math" w:cs="Arial"/>
              <w:sz w:val="20"/>
              <w:szCs w:val="20"/>
            </w:rPr>
            <m:t>=</m:t>
          </m:r>
          <m:f>
            <m:fPr>
              <m:ctrlPr>
                <w:rPr>
                  <w:rFonts w:ascii="Cambria Math" w:eastAsia="Aptos" w:hAnsi="Cambria Math" w:cs="Arial"/>
                  <w:i/>
                  <w:sz w:val="20"/>
                  <w:szCs w:val="20"/>
                </w:rPr>
              </m:ctrlPr>
            </m:fPr>
            <m:num>
              <m:sSub>
                <m:sSubPr>
                  <m:ctrlPr>
                    <w:rPr>
                      <w:rFonts w:ascii="Cambria Math" w:eastAsia="Aptos" w:hAnsi="Cambria Math" w:cs="Arial"/>
                      <w:i/>
                      <w:sz w:val="20"/>
                      <w:szCs w:val="20"/>
                    </w:rPr>
                  </m:ctrlPr>
                </m:sSubPr>
                <m:e>
                  <m:r>
                    <m:rPr>
                      <m:nor/>
                    </m:rPr>
                    <w:rPr>
                      <w:rFonts w:ascii="Arial" w:eastAsia="Aptos" w:hAnsi="Arial" w:cs="Arial"/>
                      <w:i/>
                      <w:sz w:val="20"/>
                      <w:szCs w:val="20"/>
                    </w:rPr>
                    <m:t>BedDays</m:t>
                  </m:r>
                </m:e>
                <m:sub>
                  <m:r>
                    <w:rPr>
                      <w:rFonts w:ascii="Cambria Math" w:eastAsia="Aptos" w:hAnsi="Cambria Math" w:cs="Arial"/>
                      <w:sz w:val="20"/>
                      <w:szCs w:val="20"/>
                    </w:rPr>
                    <m:t>t</m:t>
                  </m:r>
                </m:sub>
              </m:sSub>
            </m:num>
            <m:den>
              <m:sSub>
                <m:sSubPr>
                  <m:ctrlPr>
                    <w:rPr>
                      <w:rFonts w:ascii="Cambria Math" w:eastAsia="Aptos" w:hAnsi="Cambria Math" w:cs="Arial"/>
                      <w:i/>
                      <w:sz w:val="20"/>
                      <w:szCs w:val="20"/>
                    </w:rPr>
                  </m:ctrlPr>
                </m:sSubPr>
                <m:e>
                  <m:r>
                    <m:rPr>
                      <m:nor/>
                    </m:rPr>
                    <w:rPr>
                      <w:rFonts w:ascii="Arial" w:eastAsia="Aptos" w:hAnsi="Arial" w:cs="Arial"/>
                      <w:i/>
                      <w:sz w:val="20"/>
                      <w:szCs w:val="20"/>
                    </w:rPr>
                    <m:t>Beds</m:t>
                  </m:r>
                </m:e>
                <m:sub>
                  <m:r>
                    <w:rPr>
                      <w:rFonts w:ascii="Cambria Math" w:eastAsia="Aptos" w:hAnsi="Cambria Math" w:cs="Arial"/>
                      <w:sz w:val="20"/>
                      <w:szCs w:val="20"/>
                    </w:rPr>
                    <m:t>t</m:t>
                  </m:r>
                </m:sub>
              </m:sSub>
              <m:r>
                <w:rPr>
                  <w:rFonts w:ascii="Cambria Math" w:eastAsia="Aptos" w:hAnsi="Cambria Math" w:cs="Arial"/>
                  <w:sz w:val="20"/>
                  <w:szCs w:val="20"/>
                </w:rPr>
                <m:t>×365</m:t>
              </m:r>
            </m:den>
          </m:f>
        </m:oMath>
      </m:oMathPara>
    </w:p>
    <w:p w14:paraId="3302A6DB" w14:textId="311F4395" w:rsidR="3174E3A7" w:rsidRPr="008E7E5A" w:rsidRDefault="3174E3A7" w:rsidP="00C55261">
      <w:pPr>
        <w:spacing w:before="240" w:after="240"/>
        <w:jc w:val="both"/>
        <w:rPr>
          <w:rFonts w:ascii="Arial" w:eastAsia="Times New Roman" w:hAnsi="Arial" w:cs="Arial"/>
          <w:kern w:val="0"/>
          <w:lang w:eastAsia="zh-CN"/>
          <w14:ligatures w14:val="none"/>
        </w:rPr>
      </w:pPr>
      <w:r w:rsidRPr="008E7E5A">
        <w:rPr>
          <w:rFonts w:ascii="Arial" w:eastAsia="Times New Roman" w:hAnsi="Arial" w:cs="Arial"/>
          <w:kern w:val="0"/>
          <w:lang w:eastAsia="zh-CN"/>
          <w14:ligatures w14:val="none"/>
        </w:rPr>
        <w:t xml:space="preserve">The annual expansion rate Δ was calculated using </w:t>
      </w:r>
      <w:r w:rsidR="6D458050" w:rsidRPr="008E7E5A">
        <w:rPr>
          <w:rFonts w:ascii="Arial" w:eastAsia="Times New Roman" w:hAnsi="Arial" w:cs="Arial"/>
          <w:kern w:val="0"/>
          <w:lang w:eastAsia="zh-CN"/>
          <w14:ligatures w14:val="none"/>
        </w:rPr>
        <w:t>a Compound Annual Growth Rate (CAGR) formula based on the MOH’s announced target of 13,000 additional beds by 2030</w:t>
      </w:r>
      <w:r w:rsidR="007531E5" w:rsidRPr="008E7E5A">
        <w:rPr>
          <w:rFonts w:ascii="Arial" w:eastAsia="Times New Roman" w:hAnsi="Arial" w:cs="Arial"/>
          <w:kern w:val="0"/>
          <w:lang w:eastAsia="zh-CN"/>
          <w14:ligatures w14:val="none"/>
        </w:rPr>
        <w:t xml:space="preserve"> </w:t>
      </w:r>
      <w:r w:rsidR="3FDB0F12" w:rsidRPr="008E7E5A">
        <w:rPr>
          <w:rFonts w:ascii="Arial" w:eastAsia="Times New Roman" w:hAnsi="Arial" w:cs="Arial"/>
          <w:kern w:val="0"/>
          <w:lang w:eastAsia="zh-CN"/>
          <w14:ligatures w14:val="none"/>
        </w:rPr>
        <w:t xml:space="preserve">[5] </w:t>
      </w:r>
      <w:r w:rsidR="007531E5" w:rsidRPr="008E7E5A">
        <w:rPr>
          <w:rFonts w:ascii="Arial" w:hAnsi="Arial" w:cs="Arial"/>
        </w:rPr>
        <w:t>(MOH, 2025</w:t>
      </w:r>
      <w:r w:rsidR="00C95AE5" w:rsidRPr="008E7E5A">
        <w:rPr>
          <w:rFonts w:ascii="Arial" w:hAnsi="Arial" w:cs="Arial"/>
        </w:rPr>
        <w:t>b</w:t>
      </w:r>
      <w:r w:rsidR="007531E5" w:rsidRPr="008E7E5A">
        <w:rPr>
          <w:rFonts w:ascii="Arial" w:hAnsi="Arial" w:cs="Arial"/>
        </w:rPr>
        <w:t>)</w:t>
      </w:r>
      <w:r w:rsidR="6D458050" w:rsidRPr="008E7E5A">
        <w:rPr>
          <w:rFonts w:ascii="Arial" w:eastAsia="Times New Roman" w:hAnsi="Arial" w:cs="Arial"/>
          <w:kern w:val="0"/>
          <w:lang w:eastAsia="zh-CN"/>
          <w14:ligatures w14:val="none"/>
        </w:rPr>
        <w:t>.</w:t>
      </w:r>
    </w:p>
    <w:p w14:paraId="425FF031" w14:textId="3321D1D9" w:rsidR="00863BDD" w:rsidRPr="008E7E5A" w:rsidRDefault="62B6CA85" w:rsidP="008B0FDC">
      <w:pPr>
        <w:jc w:val="center"/>
        <w:rPr>
          <w:rFonts w:ascii="Arial" w:hAnsi="Arial" w:cs="Arial"/>
        </w:rPr>
      </w:pPr>
      <w:r w:rsidRPr="008E7E5A">
        <w:rPr>
          <w:rFonts w:ascii="Arial" w:hAnsi="Arial" w:cs="Arial"/>
          <w:noProof/>
        </w:rPr>
        <w:drawing>
          <wp:inline distT="0" distB="0" distL="0" distR="0" wp14:anchorId="1AD7C5F9" wp14:editId="3D40E618">
            <wp:extent cx="3812828" cy="2106253"/>
            <wp:effectExtent l="0" t="0" r="0" b="0"/>
            <wp:docPr id="474223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3034" name="Picture 474223034"/>
                    <pic:cNvPicPr/>
                  </pic:nvPicPr>
                  <pic:blipFill>
                    <a:blip r:embed="rId18">
                      <a:extLst>
                        <a:ext uri="{28A0092B-C50C-407E-A947-70E740481C1C}">
                          <a14:useLocalDpi xmlns:a14="http://schemas.microsoft.com/office/drawing/2010/main"/>
                        </a:ext>
                      </a:extLst>
                    </a:blip>
                    <a:stretch>
                      <a:fillRect/>
                    </a:stretch>
                  </pic:blipFill>
                  <pic:spPr>
                    <a:xfrm>
                      <a:off x="0" y="0"/>
                      <a:ext cx="3812828" cy="2106253"/>
                    </a:xfrm>
                    <a:prstGeom prst="rect">
                      <a:avLst/>
                    </a:prstGeom>
                  </pic:spPr>
                </pic:pic>
              </a:graphicData>
            </a:graphic>
          </wp:inline>
        </w:drawing>
      </w:r>
    </w:p>
    <w:p w14:paraId="3B018A13" w14:textId="5BF6F1C2" w:rsidR="006E57BD" w:rsidRPr="008E7E5A" w:rsidRDefault="00F5063F" w:rsidP="006E57BD">
      <w:pPr>
        <w:jc w:val="center"/>
        <w:rPr>
          <w:rFonts w:ascii="Arial" w:hAnsi="Arial" w:cs="Arial"/>
          <w:sz w:val="16"/>
          <w:szCs w:val="16"/>
        </w:rPr>
      </w:pPr>
      <w:r w:rsidRPr="008E7E5A">
        <w:rPr>
          <w:rFonts w:ascii="Arial" w:hAnsi="Arial" w:cs="Arial"/>
          <w:sz w:val="16"/>
          <w:szCs w:val="16"/>
        </w:rPr>
        <w:t xml:space="preserve">Figure </w:t>
      </w:r>
      <w:r w:rsidR="00FA0CAB" w:rsidRPr="008E7E5A">
        <w:rPr>
          <w:rFonts w:ascii="Arial" w:hAnsi="Arial" w:cs="Arial"/>
          <w:sz w:val="16"/>
          <w:szCs w:val="16"/>
        </w:rPr>
        <w:t xml:space="preserve">4 </w:t>
      </w:r>
      <w:r w:rsidR="00863BDD" w:rsidRPr="008E7E5A">
        <w:rPr>
          <w:rFonts w:ascii="Arial" w:hAnsi="Arial" w:cs="Arial"/>
          <w:sz w:val="16"/>
          <w:szCs w:val="16"/>
        </w:rPr>
        <w:t xml:space="preserve">Projected </w:t>
      </w:r>
      <w:r w:rsidR="00FA0CAB" w:rsidRPr="008E7E5A">
        <w:rPr>
          <w:rFonts w:ascii="Arial" w:hAnsi="Arial" w:cs="Arial"/>
          <w:sz w:val="16"/>
          <w:szCs w:val="16"/>
        </w:rPr>
        <w:t>BOR</w:t>
      </w:r>
      <w:r w:rsidR="00863BDD" w:rsidRPr="008E7E5A">
        <w:rPr>
          <w:rFonts w:ascii="Arial" w:hAnsi="Arial" w:cs="Arial"/>
          <w:sz w:val="16"/>
          <w:szCs w:val="16"/>
        </w:rPr>
        <w:t xml:space="preserve"> vs Capacity Thresholds (2025–2035)</w:t>
      </w:r>
    </w:p>
    <w:p w14:paraId="00D141BB" w14:textId="4E361729" w:rsidR="006E57BD" w:rsidRPr="008E7E5A" w:rsidRDefault="001E128B" w:rsidP="00DA07E4">
      <w:pPr>
        <w:jc w:val="both"/>
        <w:rPr>
          <w:rFonts w:ascii="Arial" w:hAnsi="Arial" w:cs="Arial"/>
        </w:rPr>
      </w:pPr>
      <w:r w:rsidRPr="008E7E5A">
        <w:rPr>
          <w:rFonts w:ascii="Arial" w:hAnsi="Arial" w:cs="Arial"/>
        </w:rPr>
        <w:t xml:space="preserve">A sustained BOR rate </w:t>
      </w:r>
      <w:r w:rsidR="0009164C" w:rsidRPr="008E7E5A">
        <w:rPr>
          <w:rFonts w:ascii="Arial" w:hAnsi="Arial" w:cs="Arial"/>
          <w:kern w:val="0"/>
          <w14:ligatures w14:val="none"/>
        </w:rPr>
        <w:t>below</w:t>
      </w:r>
      <w:r w:rsidRPr="008E7E5A">
        <w:rPr>
          <w:rFonts w:ascii="Arial" w:hAnsi="Arial" w:cs="Arial"/>
          <w:kern w:val="0"/>
          <w14:ligatures w14:val="none"/>
        </w:rPr>
        <w:t xml:space="preserve"> 85% is generally recommended </w:t>
      </w:r>
      <w:r w:rsidR="00F42CD0" w:rsidRPr="008E7E5A">
        <w:rPr>
          <w:rFonts w:ascii="Arial" w:hAnsi="Arial" w:cs="Arial"/>
          <w:kern w:val="0"/>
          <w14:ligatures w14:val="none"/>
        </w:rPr>
        <w:t>for optimal patient care</w:t>
      </w:r>
      <w:r w:rsidR="00D7598E" w:rsidRPr="008E7E5A">
        <w:rPr>
          <w:rFonts w:ascii="Arial" w:hAnsi="Arial" w:cs="Arial"/>
          <w:kern w:val="0"/>
          <w14:ligatures w14:val="none"/>
        </w:rPr>
        <w:t xml:space="preserve"> </w:t>
      </w:r>
      <w:r w:rsidR="0F04C181" w:rsidRPr="008E7E5A">
        <w:rPr>
          <w:rFonts w:ascii="Arial" w:hAnsi="Arial" w:cs="Arial"/>
          <w:kern w:val="0"/>
          <w14:ligatures w14:val="none"/>
        </w:rPr>
        <w:t xml:space="preserve">[6] </w:t>
      </w:r>
      <w:r w:rsidR="00D7598E" w:rsidRPr="008E7E5A">
        <w:rPr>
          <w:rFonts w:ascii="Arial" w:hAnsi="Arial" w:cs="Arial"/>
          <w:kern w:val="0"/>
          <w14:ligatures w14:val="none"/>
        </w:rPr>
        <w:t>(MOH, 2022)</w:t>
      </w:r>
      <w:r w:rsidR="00DA07E4" w:rsidRPr="008E7E5A">
        <w:rPr>
          <w:rFonts w:ascii="Arial" w:hAnsi="Arial" w:cs="Arial"/>
          <w:kern w:val="0"/>
          <w14:ligatures w14:val="none"/>
        </w:rPr>
        <w:t xml:space="preserve">, with </w:t>
      </w:r>
      <w:r w:rsidR="0009164C" w:rsidRPr="008E7E5A">
        <w:rPr>
          <w:rFonts w:ascii="Arial" w:hAnsi="Arial" w:cs="Arial"/>
          <w:kern w:val="0"/>
          <w14:ligatures w14:val="none"/>
        </w:rPr>
        <w:t>80% serving</w:t>
      </w:r>
      <w:r w:rsidR="00DA07E4" w:rsidRPr="008E7E5A">
        <w:rPr>
          <w:rFonts w:ascii="Arial" w:hAnsi="Arial" w:cs="Arial"/>
          <w:kern w:val="0"/>
          <w14:ligatures w14:val="none"/>
        </w:rPr>
        <w:t xml:space="preserve"> as an early warning </w:t>
      </w:r>
      <w:r w:rsidR="0009164C" w:rsidRPr="008E7E5A">
        <w:rPr>
          <w:rFonts w:ascii="Arial" w:hAnsi="Arial" w:cs="Arial"/>
          <w:kern w:val="0"/>
          <w14:ligatures w14:val="none"/>
        </w:rPr>
        <w:t>threshold</w:t>
      </w:r>
      <w:r w:rsidR="00DA07E4" w:rsidRPr="008E7E5A">
        <w:rPr>
          <w:rFonts w:ascii="Arial" w:hAnsi="Arial" w:cs="Arial"/>
          <w:kern w:val="0"/>
          <w14:ligatures w14:val="none"/>
        </w:rPr>
        <w:t>.</w:t>
      </w:r>
      <w:r w:rsidR="00DA07E4" w:rsidRPr="008E7E5A">
        <w:rPr>
          <w:rFonts w:ascii="Arial" w:hAnsi="Arial" w:cs="Arial"/>
        </w:rPr>
        <w:t xml:space="preserve"> </w:t>
      </w:r>
    </w:p>
    <w:p w14:paraId="71A0C99E" w14:textId="3D7B6A1F" w:rsidR="00863BDD" w:rsidRPr="008E7E5A" w:rsidRDefault="00863BDD" w:rsidP="007E6771">
      <w:pPr>
        <w:pStyle w:val="Heading2"/>
        <w:rPr>
          <w:rFonts w:ascii="Arial" w:hAnsi="Arial" w:cs="Arial"/>
          <w:sz w:val="28"/>
          <w:szCs w:val="28"/>
        </w:rPr>
      </w:pPr>
      <w:bookmarkStart w:id="10" w:name="_Toc225459972"/>
      <w:r w:rsidRPr="008E7E5A">
        <w:rPr>
          <w:rFonts w:ascii="Arial" w:hAnsi="Arial" w:cs="Arial"/>
          <w:sz w:val="28"/>
          <w:szCs w:val="28"/>
        </w:rPr>
        <w:lastRenderedPageBreak/>
        <w:t>2.</w:t>
      </w:r>
      <w:r w:rsidR="6A30D290" w:rsidRPr="008E7E5A">
        <w:rPr>
          <w:rFonts w:ascii="Arial" w:hAnsi="Arial" w:cs="Arial"/>
          <w:sz w:val="28"/>
          <w:szCs w:val="28"/>
        </w:rPr>
        <w:t>2</w:t>
      </w:r>
      <w:r w:rsidR="007E6771" w:rsidRPr="008E7E5A">
        <w:rPr>
          <w:rFonts w:ascii="Arial" w:hAnsi="Arial" w:cs="Arial"/>
        </w:rPr>
        <w:tab/>
      </w:r>
      <w:r w:rsidRPr="008E7E5A">
        <w:rPr>
          <w:rFonts w:ascii="Arial" w:hAnsi="Arial" w:cs="Arial"/>
          <w:sz w:val="28"/>
          <w:szCs w:val="28"/>
        </w:rPr>
        <w:t>Sensitivity Analysis</w:t>
      </w:r>
      <w:bookmarkEnd w:id="10"/>
    </w:p>
    <w:p w14:paraId="36CAB4F7" w14:textId="2A4AEC08" w:rsidR="2965133C" w:rsidRPr="008E7E5A" w:rsidRDefault="00DA07E4" w:rsidP="00FA0CAB">
      <w:pPr>
        <w:pStyle w:val="p1"/>
        <w:jc w:val="both"/>
        <w:rPr>
          <w:rFonts w:ascii="Arial" w:hAnsi="Arial" w:cs="Arial"/>
          <w:sz w:val="22"/>
          <w:szCs w:val="22"/>
        </w:rPr>
      </w:pPr>
      <w:r w:rsidRPr="008E7E5A">
        <w:rPr>
          <w:rFonts w:ascii="Arial" w:hAnsi="Arial" w:cs="Arial"/>
          <w:sz w:val="22"/>
          <w:szCs w:val="22"/>
        </w:rPr>
        <w:t>S</w:t>
      </w:r>
      <w:r w:rsidR="003C0407" w:rsidRPr="008E7E5A">
        <w:rPr>
          <w:rFonts w:ascii="Arial" w:hAnsi="Arial" w:cs="Arial"/>
          <w:sz w:val="22"/>
          <w:szCs w:val="22"/>
        </w:rPr>
        <w:t xml:space="preserve">ensitivity analysis </w:t>
      </w:r>
      <w:r w:rsidRPr="008E7E5A">
        <w:rPr>
          <w:rFonts w:ascii="Arial" w:hAnsi="Arial" w:cs="Arial"/>
          <w:sz w:val="22"/>
          <w:szCs w:val="22"/>
        </w:rPr>
        <w:t xml:space="preserve">is performed to </w:t>
      </w:r>
      <w:r w:rsidR="003C0407" w:rsidRPr="008E7E5A">
        <w:rPr>
          <w:rFonts w:ascii="Arial" w:hAnsi="Arial" w:cs="Arial"/>
          <w:sz w:val="22"/>
          <w:szCs w:val="22"/>
        </w:rPr>
        <w:t xml:space="preserve">assess how </w:t>
      </w:r>
      <w:r w:rsidR="009168A7" w:rsidRPr="008E7E5A">
        <w:rPr>
          <w:rFonts w:ascii="Arial" w:hAnsi="Arial" w:cs="Arial"/>
          <w:sz w:val="22"/>
          <w:szCs w:val="22"/>
        </w:rPr>
        <w:t xml:space="preserve">different </w:t>
      </w:r>
      <w:r w:rsidR="003C0407" w:rsidRPr="008E7E5A">
        <w:rPr>
          <w:rFonts w:ascii="Arial" w:hAnsi="Arial" w:cs="Arial"/>
          <w:sz w:val="22"/>
          <w:szCs w:val="22"/>
        </w:rPr>
        <w:t>key parameters affect the projected 2035 Bed Occupancy Rate (BOR)</w:t>
      </w:r>
      <w:r w:rsidR="009168A7" w:rsidRPr="008E7E5A">
        <w:rPr>
          <w:rFonts w:ascii="Arial" w:hAnsi="Arial" w:cs="Arial"/>
          <w:sz w:val="22"/>
          <w:szCs w:val="22"/>
        </w:rPr>
        <w:t xml:space="preserve"> </w:t>
      </w:r>
      <w:r w:rsidR="00B13B1B" w:rsidRPr="008E7E5A">
        <w:rPr>
          <w:rFonts w:ascii="Arial" w:hAnsi="Arial" w:cs="Arial"/>
          <w:sz w:val="22"/>
          <w:szCs w:val="22"/>
        </w:rPr>
        <w:t>to</w:t>
      </w:r>
      <w:r w:rsidR="009168A7" w:rsidRPr="008E7E5A">
        <w:rPr>
          <w:rFonts w:ascii="Arial" w:hAnsi="Arial" w:cs="Arial"/>
          <w:sz w:val="22"/>
          <w:szCs w:val="22"/>
        </w:rPr>
        <w:t xml:space="preserve"> </w:t>
      </w:r>
      <w:r w:rsidR="003C0407" w:rsidRPr="008E7E5A">
        <w:rPr>
          <w:rFonts w:ascii="Arial" w:hAnsi="Arial" w:cs="Arial"/>
          <w:sz w:val="22"/>
          <w:szCs w:val="22"/>
        </w:rPr>
        <w:t>identify</w:t>
      </w:r>
      <w:r w:rsidR="009168A7" w:rsidRPr="008E7E5A">
        <w:rPr>
          <w:rFonts w:ascii="Arial" w:hAnsi="Arial" w:cs="Arial"/>
          <w:sz w:val="22"/>
          <w:szCs w:val="22"/>
        </w:rPr>
        <w:t xml:space="preserve"> </w:t>
      </w:r>
      <w:r w:rsidR="003C0407" w:rsidRPr="008E7E5A">
        <w:rPr>
          <w:rFonts w:ascii="Arial" w:hAnsi="Arial" w:cs="Arial"/>
          <w:sz w:val="22"/>
          <w:szCs w:val="22"/>
        </w:rPr>
        <w:t>primary drivers of capacity pressure.</w:t>
      </w:r>
    </w:p>
    <w:p w14:paraId="5D79DC5E" w14:textId="2043ADB2" w:rsidR="2965133C" w:rsidRPr="008E7E5A" w:rsidRDefault="3ECE301F" w:rsidP="004731AF">
      <w:pPr>
        <w:pStyle w:val="p1"/>
        <w:jc w:val="center"/>
        <w:rPr>
          <w:rFonts w:ascii="Arial" w:hAnsi="Arial" w:cs="Arial"/>
        </w:rPr>
      </w:pPr>
      <w:r w:rsidRPr="008E7E5A">
        <w:rPr>
          <w:rFonts w:ascii="Arial" w:hAnsi="Arial" w:cs="Arial"/>
          <w:noProof/>
        </w:rPr>
        <w:drawing>
          <wp:inline distT="0" distB="0" distL="0" distR="0" wp14:anchorId="3CE59340" wp14:editId="2C008094">
            <wp:extent cx="3043432" cy="1180890"/>
            <wp:effectExtent l="0" t="0" r="0" b="0"/>
            <wp:docPr id="1823853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53203" name="Picture 1823853203"/>
                    <pic:cNvPicPr/>
                  </pic:nvPicPr>
                  <pic:blipFill>
                    <a:blip r:embed="rId19">
                      <a:extLst>
                        <a:ext uri="{28A0092B-C50C-407E-A947-70E740481C1C}">
                          <a14:useLocalDpi xmlns:a14="http://schemas.microsoft.com/office/drawing/2010/main"/>
                        </a:ext>
                      </a:extLst>
                    </a:blip>
                    <a:stretch>
                      <a:fillRect/>
                    </a:stretch>
                  </pic:blipFill>
                  <pic:spPr>
                    <a:xfrm>
                      <a:off x="0" y="0"/>
                      <a:ext cx="3043432" cy="1180890"/>
                    </a:xfrm>
                    <a:prstGeom prst="rect">
                      <a:avLst/>
                    </a:prstGeom>
                  </pic:spPr>
                </pic:pic>
              </a:graphicData>
            </a:graphic>
          </wp:inline>
        </w:drawing>
      </w:r>
    </w:p>
    <w:p w14:paraId="4063B6F2" w14:textId="1D200A19" w:rsidR="00863BDD" w:rsidRPr="008E7E5A" w:rsidRDefault="2DAFCD76" w:rsidP="004731AF">
      <w:pPr>
        <w:jc w:val="both"/>
        <w:rPr>
          <w:rFonts w:ascii="Arial" w:hAnsi="Arial" w:cs="Arial"/>
        </w:rPr>
      </w:pPr>
      <w:r w:rsidRPr="008E7E5A">
        <w:rPr>
          <w:rFonts w:ascii="Arial" w:hAnsi="Arial" w:cs="Arial"/>
        </w:rPr>
        <w:t xml:space="preserve">The </w:t>
      </w:r>
      <w:r w:rsidR="00863BDD" w:rsidRPr="008E7E5A">
        <w:rPr>
          <w:rFonts w:ascii="Arial" w:hAnsi="Arial" w:cs="Arial"/>
        </w:rPr>
        <w:t xml:space="preserve">Annual Bed Expansion Rate </w:t>
      </w:r>
      <w:r w:rsidR="4E4B1940" w:rsidRPr="008E7E5A">
        <w:rPr>
          <w:rFonts w:ascii="Arial" w:hAnsi="Arial" w:cs="Arial"/>
        </w:rPr>
        <w:t>has</w:t>
      </w:r>
      <w:r w:rsidR="00863BDD" w:rsidRPr="008E7E5A">
        <w:rPr>
          <w:rFonts w:ascii="Arial" w:hAnsi="Arial" w:cs="Arial"/>
        </w:rPr>
        <w:t xml:space="preserve"> the </w:t>
      </w:r>
      <w:r w:rsidR="0004728F" w:rsidRPr="008E7E5A">
        <w:rPr>
          <w:rFonts w:ascii="Arial" w:hAnsi="Arial" w:cs="Arial"/>
        </w:rPr>
        <w:t>greatest impact on hospital capacity pressure</w:t>
      </w:r>
      <w:r w:rsidR="007B4009" w:rsidRPr="008E7E5A">
        <w:rPr>
          <w:rFonts w:ascii="Arial" w:hAnsi="Arial" w:cs="Arial"/>
        </w:rPr>
        <w:t xml:space="preserve">. Reducing it </w:t>
      </w:r>
      <w:r w:rsidR="00863BDD" w:rsidRPr="008E7E5A">
        <w:rPr>
          <w:rFonts w:ascii="Arial" w:hAnsi="Arial" w:cs="Arial"/>
        </w:rPr>
        <w:t xml:space="preserve">from 3.53% to 2.00% </w:t>
      </w:r>
      <w:r w:rsidR="00E74588" w:rsidRPr="008E7E5A">
        <w:rPr>
          <w:rFonts w:ascii="Arial" w:hAnsi="Arial" w:cs="Arial"/>
        </w:rPr>
        <w:t xml:space="preserve">will increase </w:t>
      </w:r>
      <w:r w:rsidR="00863BDD" w:rsidRPr="008E7E5A">
        <w:rPr>
          <w:rFonts w:ascii="Arial" w:hAnsi="Arial" w:cs="Arial"/>
        </w:rPr>
        <w:t>BOR from 7</w:t>
      </w:r>
      <w:r w:rsidR="74F84ACD" w:rsidRPr="008E7E5A">
        <w:rPr>
          <w:rFonts w:ascii="Arial" w:hAnsi="Arial" w:cs="Arial"/>
        </w:rPr>
        <w:t>4</w:t>
      </w:r>
      <w:r w:rsidR="00863BDD" w:rsidRPr="008E7E5A">
        <w:rPr>
          <w:rFonts w:ascii="Arial" w:hAnsi="Arial" w:cs="Arial"/>
        </w:rPr>
        <w:t>.</w:t>
      </w:r>
      <w:r w:rsidR="227B98E0" w:rsidRPr="008E7E5A">
        <w:rPr>
          <w:rFonts w:ascii="Arial" w:hAnsi="Arial" w:cs="Arial"/>
        </w:rPr>
        <w:t>21</w:t>
      </w:r>
      <w:r w:rsidR="00863BDD" w:rsidRPr="008E7E5A">
        <w:rPr>
          <w:rFonts w:ascii="Arial" w:hAnsi="Arial" w:cs="Arial"/>
        </w:rPr>
        <w:t>% to 8</w:t>
      </w:r>
      <w:r w:rsidR="0AE2D2B9" w:rsidRPr="008E7E5A">
        <w:rPr>
          <w:rFonts w:ascii="Arial" w:hAnsi="Arial" w:cs="Arial"/>
        </w:rPr>
        <w:t>6</w:t>
      </w:r>
      <w:r w:rsidR="00863BDD" w:rsidRPr="008E7E5A">
        <w:rPr>
          <w:rFonts w:ascii="Arial" w:hAnsi="Arial" w:cs="Arial"/>
        </w:rPr>
        <w:t>.</w:t>
      </w:r>
      <w:r w:rsidR="5E563E03" w:rsidRPr="008E7E5A">
        <w:rPr>
          <w:rFonts w:ascii="Arial" w:hAnsi="Arial" w:cs="Arial"/>
        </w:rPr>
        <w:t>80</w:t>
      </w:r>
      <w:r w:rsidR="00863BDD" w:rsidRPr="008E7E5A">
        <w:rPr>
          <w:rFonts w:ascii="Arial" w:hAnsi="Arial" w:cs="Arial"/>
        </w:rPr>
        <w:t>%</w:t>
      </w:r>
      <w:r w:rsidR="009979B2" w:rsidRPr="008E7E5A">
        <w:rPr>
          <w:rFonts w:ascii="Arial" w:hAnsi="Arial" w:cs="Arial"/>
        </w:rPr>
        <w:t xml:space="preserve"> (+12.</w:t>
      </w:r>
      <w:r w:rsidR="37061548" w:rsidRPr="008E7E5A">
        <w:rPr>
          <w:rFonts w:ascii="Arial" w:hAnsi="Arial" w:cs="Arial"/>
        </w:rPr>
        <w:t>59</w:t>
      </w:r>
      <w:r w:rsidR="009979B2" w:rsidRPr="008E7E5A">
        <w:rPr>
          <w:rFonts w:ascii="Arial" w:hAnsi="Arial" w:cs="Arial"/>
        </w:rPr>
        <w:t>%</w:t>
      </w:r>
      <w:r w:rsidR="00863BDD" w:rsidRPr="008E7E5A">
        <w:rPr>
          <w:rFonts w:ascii="Arial" w:hAnsi="Arial" w:cs="Arial"/>
        </w:rPr>
        <w:t>),</w:t>
      </w:r>
      <w:r w:rsidR="00E74588" w:rsidRPr="008E7E5A">
        <w:rPr>
          <w:rFonts w:ascii="Arial" w:hAnsi="Arial" w:cs="Arial"/>
        </w:rPr>
        <w:t xml:space="preserve"> </w:t>
      </w:r>
      <w:r w:rsidR="0042250B" w:rsidRPr="008E7E5A">
        <w:rPr>
          <w:rFonts w:ascii="Arial" w:hAnsi="Arial" w:cs="Arial"/>
        </w:rPr>
        <w:t xml:space="preserve">breaching the </w:t>
      </w:r>
      <w:r w:rsidR="00C90B1B" w:rsidRPr="008E7E5A">
        <w:rPr>
          <w:rFonts w:ascii="Arial" w:hAnsi="Arial" w:cs="Arial"/>
        </w:rPr>
        <w:t xml:space="preserve">85% </w:t>
      </w:r>
      <w:r w:rsidR="0042250B" w:rsidRPr="008E7E5A">
        <w:rPr>
          <w:rFonts w:ascii="Arial" w:hAnsi="Arial" w:cs="Arial"/>
        </w:rPr>
        <w:t>optimal threshold</w:t>
      </w:r>
      <w:r w:rsidR="00863BDD" w:rsidRPr="008E7E5A">
        <w:rPr>
          <w:rFonts w:ascii="Arial" w:hAnsi="Arial" w:cs="Arial"/>
        </w:rPr>
        <w:t>.</w:t>
      </w:r>
    </w:p>
    <w:p w14:paraId="4493127F" w14:textId="68F48DDB" w:rsidR="009979B2" w:rsidRPr="008E7E5A" w:rsidRDefault="00145788" w:rsidP="004731AF">
      <w:pPr>
        <w:jc w:val="both"/>
        <w:rPr>
          <w:rFonts w:ascii="Arial" w:hAnsi="Arial" w:cs="Arial"/>
        </w:rPr>
      </w:pPr>
      <w:r w:rsidRPr="008E7E5A">
        <w:rPr>
          <w:rFonts w:ascii="Arial" w:hAnsi="Arial" w:cs="Arial"/>
        </w:rPr>
        <w:t xml:space="preserve">Government initiatives such as Healthier SG </w:t>
      </w:r>
      <w:r w:rsidR="003844DA" w:rsidRPr="008E7E5A">
        <w:rPr>
          <w:rFonts w:ascii="Arial" w:hAnsi="Arial" w:cs="Arial"/>
        </w:rPr>
        <w:t>also demonstrate a strong positive impact</w:t>
      </w:r>
      <w:r w:rsidRPr="008E7E5A">
        <w:rPr>
          <w:rFonts w:ascii="Arial" w:hAnsi="Arial" w:cs="Arial"/>
        </w:rPr>
        <w:t xml:space="preserve">. </w:t>
      </w:r>
      <w:r w:rsidR="004C7D97" w:rsidRPr="008E7E5A">
        <w:rPr>
          <w:rFonts w:ascii="Arial" w:hAnsi="Arial" w:cs="Arial"/>
        </w:rPr>
        <w:t>A</w:t>
      </w:r>
      <w:r w:rsidR="006C704C" w:rsidRPr="008E7E5A">
        <w:rPr>
          <w:rFonts w:ascii="Arial" w:hAnsi="Arial" w:cs="Arial"/>
        </w:rPr>
        <w:t>t</w:t>
      </w:r>
      <w:r w:rsidR="006F10A7" w:rsidRPr="008E7E5A">
        <w:rPr>
          <w:rFonts w:ascii="Arial" w:hAnsi="Arial" w:cs="Arial"/>
        </w:rPr>
        <w:t xml:space="preserve"> 3.53% Annual Bed Expansion Rate, </w:t>
      </w:r>
      <w:r w:rsidR="00B53962" w:rsidRPr="008E7E5A">
        <w:rPr>
          <w:rFonts w:ascii="Arial" w:hAnsi="Arial" w:cs="Arial"/>
        </w:rPr>
        <w:t>an increase in efficiency from -0.6% to 0</w:t>
      </w:r>
      <w:r w:rsidR="5F1E866D" w:rsidRPr="008E7E5A">
        <w:rPr>
          <w:rFonts w:ascii="Arial" w:hAnsi="Arial" w:cs="Arial"/>
        </w:rPr>
        <w:t>%</w:t>
      </w:r>
      <w:r w:rsidR="7A053622" w:rsidRPr="008E7E5A">
        <w:rPr>
          <w:rFonts w:ascii="Arial" w:hAnsi="Arial" w:cs="Arial"/>
        </w:rPr>
        <w:t xml:space="preserve"> </w:t>
      </w:r>
      <w:r w:rsidR="0047C4AD" w:rsidRPr="008E7E5A">
        <w:rPr>
          <w:rFonts w:ascii="Arial" w:hAnsi="Arial" w:cs="Arial"/>
        </w:rPr>
        <w:t>increas</w:t>
      </w:r>
      <w:r w:rsidR="7A053622" w:rsidRPr="008E7E5A">
        <w:rPr>
          <w:rFonts w:ascii="Arial" w:hAnsi="Arial" w:cs="Arial"/>
        </w:rPr>
        <w:t>es</w:t>
      </w:r>
      <w:r w:rsidR="00B53962" w:rsidRPr="008E7E5A">
        <w:rPr>
          <w:rFonts w:ascii="Arial" w:hAnsi="Arial" w:cs="Arial"/>
        </w:rPr>
        <w:t xml:space="preserve"> BOR by </w:t>
      </w:r>
      <w:r w:rsidR="3AA41004" w:rsidRPr="008E7E5A">
        <w:rPr>
          <w:rFonts w:ascii="Arial" w:hAnsi="Arial" w:cs="Arial"/>
        </w:rPr>
        <w:t xml:space="preserve">about </w:t>
      </w:r>
      <w:r w:rsidR="00B53962" w:rsidRPr="008E7E5A">
        <w:rPr>
          <w:rFonts w:ascii="Arial" w:hAnsi="Arial" w:cs="Arial"/>
        </w:rPr>
        <w:t>3.3%</w:t>
      </w:r>
      <w:r w:rsidR="007F7583" w:rsidRPr="008E7E5A">
        <w:rPr>
          <w:rFonts w:ascii="Arial" w:hAnsi="Arial" w:cs="Arial"/>
        </w:rPr>
        <w:t xml:space="preserve">. </w:t>
      </w:r>
      <w:r w:rsidR="00B53962" w:rsidRPr="008E7E5A">
        <w:rPr>
          <w:rFonts w:ascii="Arial" w:hAnsi="Arial" w:cs="Arial"/>
        </w:rPr>
        <w:t xml:space="preserve"> </w:t>
      </w:r>
    </w:p>
    <w:p w14:paraId="4255FB5B" w14:textId="623B0914" w:rsidR="00863BDD" w:rsidRPr="008E7E5A" w:rsidRDefault="00863BDD" w:rsidP="007E6771">
      <w:pPr>
        <w:pStyle w:val="Heading2"/>
        <w:rPr>
          <w:rFonts w:ascii="Arial" w:hAnsi="Arial" w:cs="Arial"/>
          <w:sz w:val="28"/>
          <w:szCs w:val="28"/>
        </w:rPr>
      </w:pPr>
      <w:bookmarkStart w:id="11" w:name="_Toc225459973"/>
      <w:r w:rsidRPr="008E7E5A">
        <w:rPr>
          <w:rFonts w:ascii="Arial" w:hAnsi="Arial" w:cs="Arial"/>
          <w:sz w:val="28"/>
          <w:szCs w:val="28"/>
        </w:rPr>
        <w:t>2.</w:t>
      </w:r>
      <w:r w:rsidR="6FAC2C9D" w:rsidRPr="008E7E5A">
        <w:rPr>
          <w:rFonts w:ascii="Arial" w:hAnsi="Arial" w:cs="Arial"/>
          <w:sz w:val="28"/>
          <w:szCs w:val="28"/>
        </w:rPr>
        <w:t>3</w:t>
      </w:r>
      <w:r w:rsidR="007E6771" w:rsidRPr="008E7E5A">
        <w:rPr>
          <w:rFonts w:ascii="Arial" w:hAnsi="Arial" w:cs="Arial"/>
        </w:rPr>
        <w:tab/>
      </w:r>
      <w:r w:rsidRPr="008E7E5A">
        <w:rPr>
          <w:rFonts w:ascii="Arial" w:hAnsi="Arial" w:cs="Arial"/>
          <w:sz w:val="28"/>
          <w:szCs w:val="28"/>
        </w:rPr>
        <w:t xml:space="preserve">Trade-Off Analysis: BOR vs. </w:t>
      </w:r>
      <w:r w:rsidR="004064C5" w:rsidRPr="008E7E5A">
        <w:rPr>
          <w:rFonts w:ascii="Arial" w:hAnsi="Arial" w:cs="Arial"/>
          <w:sz w:val="28"/>
          <w:szCs w:val="28"/>
        </w:rPr>
        <w:t xml:space="preserve">Annual </w:t>
      </w:r>
      <w:r w:rsidRPr="008E7E5A">
        <w:rPr>
          <w:rFonts w:ascii="Arial" w:hAnsi="Arial" w:cs="Arial"/>
          <w:sz w:val="28"/>
          <w:szCs w:val="28"/>
        </w:rPr>
        <w:t>Bed Expansion</w:t>
      </w:r>
      <w:r w:rsidR="004064C5" w:rsidRPr="008E7E5A">
        <w:rPr>
          <w:rFonts w:ascii="Arial" w:hAnsi="Arial" w:cs="Arial"/>
          <w:sz w:val="28"/>
          <w:szCs w:val="28"/>
        </w:rPr>
        <w:t xml:space="preserve"> Rate</w:t>
      </w:r>
      <w:bookmarkEnd w:id="11"/>
    </w:p>
    <w:p w14:paraId="7798B63C" w14:textId="5919D73C" w:rsidR="00863BDD" w:rsidRPr="008E7E5A" w:rsidRDefault="00BC2BEC" w:rsidP="001A556F">
      <w:pPr>
        <w:jc w:val="both"/>
        <w:rPr>
          <w:rFonts w:ascii="Arial" w:hAnsi="Arial" w:cs="Arial"/>
        </w:rPr>
      </w:pPr>
      <w:r w:rsidRPr="008E7E5A">
        <w:rPr>
          <w:rFonts w:ascii="Arial" w:hAnsi="Arial" w:cs="Arial"/>
          <w:kern w:val="0"/>
          <w14:ligatures w14:val="none"/>
        </w:rPr>
        <w:t>A trade</w:t>
      </w:r>
      <w:r w:rsidR="001A556F" w:rsidRPr="008E7E5A">
        <w:rPr>
          <w:rFonts w:ascii="Arial" w:hAnsi="Arial" w:cs="Arial"/>
          <w:kern w:val="0"/>
          <w14:ligatures w14:val="none"/>
        </w:rPr>
        <w:t xml:space="preserve">-off analysis is </w:t>
      </w:r>
      <w:r w:rsidRPr="008E7E5A">
        <w:rPr>
          <w:rFonts w:ascii="Arial" w:hAnsi="Arial" w:cs="Arial"/>
          <w:kern w:val="0"/>
          <w14:ligatures w14:val="none"/>
        </w:rPr>
        <w:t>conducted</w:t>
      </w:r>
      <w:r w:rsidR="001A556F" w:rsidRPr="008E7E5A">
        <w:rPr>
          <w:rFonts w:ascii="Arial" w:hAnsi="Arial" w:cs="Arial"/>
          <w:kern w:val="0"/>
          <w14:ligatures w14:val="none"/>
        </w:rPr>
        <w:t xml:space="preserve"> to </w:t>
      </w:r>
      <w:r w:rsidRPr="008E7E5A">
        <w:rPr>
          <w:rFonts w:ascii="Arial" w:hAnsi="Arial" w:cs="Arial"/>
          <w:kern w:val="0"/>
          <w14:ligatures w14:val="none"/>
        </w:rPr>
        <w:t>determine</w:t>
      </w:r>
      <w:r w:rsidR="00863BDD" w:rsidRPr="008E7E5A">
        <w:rPr>
          <w:rFonts w:ascii="Arial" w:hAnsi="Arial" w:cs="Arial"/>
          <w:kern w:val="0"/>
          <w14:ligatures w14:val="none"/>
        </w:rPr>
        <w:t xml:space="preserve"> the minimum annual bed expansion rate </w:t>
      </w:r>
      <w:r w:rsidRPr="008E7E5A">
        <w:rPr>
          <w:rFonts w:ascii="Arial" w:hAnsi="Arial" w:cs="Arial"/>
          <w:kern w:val="0"/>
          <w14:ligatures w14:val="none"/>
        </w:rPr>
        <w:t>needed</w:t>
      </w:r>
      <w:r w:rsidR="00863BDD" w:rsidRPr="008E7E5A">
        <w:rPr>
          <w:rFonts w:ascii="Arial" w:hAnsi="Arial" w:cs="Arial"/>
        </w:rPr>
        <w:t xml:space="preserve"> to keep BOR below 85% </w:t>
      </w:r>
      <w:r w:rsidR="00405F2F" w:rsidRPr="008E7E5A">
        <w:rPr>
          <w:rFonts w:ascii="Arial" w:hAnsi="Arial" w:cs="Arial"/>
        </w:rPr>
        <w:t xml:space="preserve">in </w:t>
      </w:r>
      <w:r w:rsidR="00633515" w:rsidRPr="008E7E5A">
        <w:rPr>
          <w:rFonts w:ascii="Arial" w:hAnsi="Arial" w:cs="Arial"/>
        </w:rPr>
        <w:t>2035</w:t>
      </w:r>
      <w:r w:rsidR="00F13FA2" w:rsidRPr="008E7E5A">
        <w:rPr>
          <w:rFonts w:ascii="Arial" w:hAnsi="Arial" w:cs="Arial"/>
        </w:rPr>
        <w:t xml:space="preserve">. </w:t>
      </w:r>
    </w:p>
    <w:p w14:paraId="38941661" w14:textId="20CED7F1" w:rsidR="00863BDD" w:rsidRPr="008E7E5A" w:rsidRDefault="00F13FA2" w:rsidP="006D5A43">
      <w:pPr>
        <w:jc w:val="both"/>
        <w:rPr>
          <w:rFonts w:ascii="Arial" w:hAnsi="Arial" w:cs="Arial"/>
        </w:rPr>
      </w:pPr>
      <w:r w:rsidRPr="008E7E5A">
        <w:rPr>
          <w:rFonts w:ascii="Arial" w:hAnsi="Arial" w:cs="Arial"/>
        </w:rPr>
        <w:t xml:space="preserve">As shown </w:t>
      </w:r>
      <w:r w:rsidR="001F07A9" w:rsidRPr="008E7E5A">
        <w:rPr>
          <w:rFonts w:ascii="Arial" w:hAnsi="Arial" w:cs="Arial"/>
        </w:rPr>
        <w:t>below</w:t>
      </w:r>
      <w:r w:rsidRPr="008E7E5A">
        <w:rPr>
          <w:rFonts w:ascii="Arial" w:hAnsi="Arial" w:cs="Arial"/>
        </w:rPr>
        <w:t>, a</w:t>
      </w:r>
      <w:r w:rsidR="00863BDD" w:rsidRPr="008E7E5A">
        <w:rPr>
          <w:rFonts w:ascii="Arial" w:hAnsi="Arial" w:cs="Arial"/>
        </w:rPr>
        <w:t>n annual bed expansion rate of at least 2.</w:t>
      </w:r>
      <w:r w:rsidR="16E04A9E" w:rsidRPr="008E7E5A">
        <w:rPr>
          <w:rFonts w:ascii="Arial" w:hAnsi="Arial" w:cs="Arial"/>
        </w:rPr>
        <w:t>3</w:t>
      </w:r>
      <w:r w:rsidR="150B4FC5" w:rsidRPr="008E7E5A">
        <w:rPr>
          <w:rFonts w:ascii="Arial" w:hAnsi="Arial" w:cs="Arial"/>
        </w:rPr>
        <w:t>0</w:t>
      </w:r>
      <w:r w:rsidR="00863BDD" w:rsidRPr="008E7E5A">
        <w:rPr>
          <w:rFonts w:ascii="Arial" w:hAnsi="Arial" w:cs="Arial"/>
        </w:rPr>
        <w:t>% is</w:t>
      </w:r>
      <w:r w:rsidR="000A6445" w:rsidRPr="008E7E5A">
        <w:rPr>
          <w:rFonts w:ascii="Arial" w:hAnsi="Arial" w:cs="Arial"/>
        </w:rPr>
        <w:t xml:space="preserve"> required to maintain BOR under the 85% threshold</w:t>
      </w:r>
      <w:r w:rsidR="00863BDD" w:rsidRPr="008E7E5A">
        <w:rPr>
          <w:rFonts w:ascii="Arial" w:hAnsi="Arial" w:cs="Arial"/>
        </w:rPr>
        <w:t>.</w:t>
      </w:r>
    </w:p>
    <w:p w14:paraId="58BE8275" w14:textId="0CE70432" w:rsidR="0001198C" w:rsidRPr="008E7E5A" w:rsidRDefault="449BF714" w:rsidP="00C1675B">
      <w:pPr>
        <w:jc w:val="center"/>
        <w:rPr>
          <w:rFonts w:ascii="Arial" w:hAnsi="Arial" w:cs="Arial"/>
        </w:rPr>
      </w:pPr>
      <w:r w:rsidRPr="008E7E5A">
        <w:rPr>
          <w:rFonts w:ascii="Arial" w:hAnsi="Arial" w:cs="Arial"/>
          <w:noProof/>
        </w:rPr>
        <w:drawing>
          <wp:inline distT="0" distB="0" distL="0" distR="0" wp14:anchorId="69F449C1" wp14:editId="7C4716E3">
            <wp:extent cx="3758191" cy="1994781"/>
            <wp:effectExtent l="0" t="0" r="0" b="0"/>
            <wp:docPr id="1864132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2479" name="Picture 1864132479"/>
                    <pic:cNvPicPr/>
                  </pic:nvPicPr>
                  <pic:blipFill>
                    <a:blip r:embed="rId20">
                      <a:extLst>
                        <a:ext uri="{28A0092B-C50C-407E-A947-70E740481C1C}">
                          <a14:useLocalDpi xmlns:a14="http://schemas.microsoft.com/office/drawing/2010/main"/>
                        </a:ext>
                      </a:extLst>
                    </a:blip>
                    <a:stretch>
                      <a:fillRect/>
                    </a:stretch>
                  </pic:blipFill>
                  <pic:spPr>
                    <a:xfrm>
                      <a:off x="0" y="0"/>
                      <a:ext cx="3758191" cy="1994781"/>
                    </a:xfrm>
                    <a:prstGeom prst="rect">
                      <a:avLst/>
                    </a:prstGeom>
                  </pic:spPr>
                </pic:pic>
              </a:graphicData>
            </a:graphic>
          </wp:inline>
        </w:drawing>
      </w:r>
    </w:p>
    <w:p w14:paraId="6357048E" w14:textId="3A5A0C3B" w:rsidR="008A54A4" w:rsidRPr="008E7E5A" w:rsidRDefault="008A54A4" w:rsidP="008A54A4">
      <w:pPr>
        <w:jc w:val="center"/>
        <w:rPr>
          <w:rFonts w:ascii="Arial" w:hAnsi="Arial" w:cs="Arial"/>
          <w:sz w:val="16"/>
          <w:szCs w:val="16"/>
        </w:rPr>
      </w:pPr>
      <w:r w:rsidRPr="008E7E5A">
        <w:rPr>
          <w:rFonts w:ascii="Arial" w:hAnsi="Arial" w:cs="Arial"/>
          <w:sz w:val="16"/>
          <w:szCs w:val="16"/>
        </w:rPr>
        <w:t>Figure 5 Trade Off</w:t>
      </w:r>
      <w:r w:rsidR="00621A7B" w:rsidRPr="008E7E5A">
        <w:rPr>
          <w:rFonts w:ascii="Arial" w:hAnsi="Arial" w:cs="Arial"/>
          <w:sz w:val="16"/>
          <w:szCs w:val="16"/>
        </w:rPr>
        <w:t xml:space="preserve"> Anal</w:t>
      </w:r>
      <w:r w:rsidR="004064C5" w:rsidRPr="008E7E5A">
        <w:rPr>
          <w:rFonts w:ascii="Arial" w:hAnsi="Arial" w:cs="Arial"/>
          <w:sz w:val="16"/>
          <w:szCs w:val="16"/>
        </w:rPr>
        <w:t>ysis</w:t>
      </w:r>
    </w:p>
    <w:p w14:paraId="60AF09CA" w14:textId="38717138" w:rsidR="00863BDD" w:rsidRPr="008E7E5A" w:rsidRDefault="00863BDD" w:rsidP="373E0290">
      <w:pPr>
        <w:pStyle w:val="Heading2"/>
        <w:rPr>
          <w:rFonts w:ascii="Arial" w:hAnsi="Arial" w:cs="Arial"/>
          <w:sz w:val="28"/>
          <w:szCs w:val="28"/>
        </w:rPr>
      </w:pPr>
      <w:bookmarkStart w:id="12" w:name="_Toc225459974"/>
      <w:r w:rsidRPr="008E7E5A">
        <w:rPr>
          <w:rFonts w:ascii="Arial" w:hAnsi="Arial" w:cs="Arial"/>
          <w:sz w:val="28"/>
          <w:szCs w:val="28"/>
        </w:rPr>
        <w:t>2.</w:t>
      </w:r>
      <w:r w:rsidR="4592437D" w:rsidRPr="008E7E5A">
        <w:rPr>
          <w:rFonts w:ascii="Arial" w:hAnsi="Arial" w:cs="Arial"/>
          <w:sz w:val="28"/>
          <w:szCs w:val="28"/>
        </w:rPr>
        <w:t xml:space="preserve">4. </w:t>
      </w:r>
      <w:r w:rsidRPr="008E7E5A">
        <w:rPr>
          <w:rFonts w:ascii="Arial" w:hAnsi="Arial" w:cs="Arial"/>
        </w:rPr>
        <w:tab/>
      </w:r>
      <w:r w:rsidR="0001198C" w:rsidRPr="008E7E5A">
        <w:rPr>
          <w:rFonts w:ascii="Arial" w:hAnsi="Arial" w:cs="Arial"/>
          <w:sz w:val="28"/>
          <w:szCs w:val="28"/>
        </w:rPr>
        <w:t>Conclusion</w:t>
      </w:r>
      <w:bookmarkEnd w:id="12"/>
    </w:p>
    <w:p w14:paraId="3539AA82" w14:textId="3C334D98" w:rsidR="00DC083A" w:rsidRPr="008E7E5A" w:rsidRDefault="00863BDD" w:rsidP="007E6771">
      <w:pPr>
        <w:pStyle w:val="ListParagraph"/>
        <w:numPr>
          <w:ilvl w:val="0"/>
          <w:numId w:val="10"/>
        </w:numPr>
        <w:jc w:val="both"/>
        <w:rPr>
          <w:rFonts w:ascii="Arial" w:hAnsi="Arial" w:cs="Arial"/>
        </w:rPr>
      </w:pPr>
      <w:r w:rsidRPr="008E7E5A">
        <w:rPr>
          <w:rFonts w:ascii="Arial" w:hAnsi="Arial" w:cs="Arial"/>
        </w:rPr>
        <w:t xml:space="preserve">At </w:t>
      </w:r>
      <w:r w:rsidR="00FD2B8E" w:rsidRPr="008E7E5A">
        <w:rPr>
          <w:rFonts w:ascii="Arial" w:hAnsi="Arial" w:cs="Arial"/>
        </w:rPr>
        <w:t>an</w:t>
      </w:r>
      <w:r w:rsidR="00CB2A0E" w:rsidRPr="008E7E5A">
        <w:rPr>
          <w:rFonts w:ascii="Arial" w:hAnsi="Arial" w:cs="Arial"/>
        </w:rPr>
        <w:t xml:space="preserve"> </w:t>
      </w:r>
      <w:r w:rsidRPr="008E7E5A">
        <w:rPr>
          <w:rFonts w:ascii="Arial" w:hAnsi="Arial" w:cs="Arial"/>
        </w:rPr>
        <w:t>annual</w:t>
      </w:r>
      <w:r w:rsidR="00CD523A" w:rsidRPr="008E7E5A">
        <w:rPr>
          <w:rFonts w:ascii="Arial" w:hAnsi="Arial" w:cs="Arial"/>
        </w:rPr>
        <w:t xml:space="preserve"> bed</w:t>
      </w:r>
      <w:r w:rsidRPr="008E7E5A">
        <w:rPr>
          <w:rFonts w:ascii="Arial" w:hAnsi="Arial" w:cs="Arial"/>
        </w:rPr>
        <w:t xml:space="preserve"> expansion rate</w:t>
      </w:r>
      <w:r w:rsidR="00CB2A0E" w:rsidRPr="008E7E5A">
        <w:rPr>
          <w:rFonts w:ascii="Arial" w:hAnsi="Arial" w:cs="Arial"/>
        </w:rPr>
        <w:t xml:space="preserve"> of 3.53%</w:t>
      </w:r>
      <w:r w:rsidRPr="008E7E5A">
        <w:rPr>
          <w:rFonts w:ascii="Arial" w:hAnsi="Arial" w:cs="Arial"/>
        </w:rPr>
        <w:t>,</w:t>
      </w:r>
      <w:r w:rsidR="004A5FB2" w:rsidRPr="008E7E5A">
        <w:rPr>
          <w:rFonts w:ascii="Arial" w:hAnsi="Arial" w:cs="Arial"/>
        </w:rPr>
        <w:t xml:space="preserve"> there will be sufficient capacity in </w:t>
      </w:r>
      <w:r w:rsidRPr="008E7E5A">
        <w:rPr>
          <w:rFonts w:ascii="Arial" w:hAnsi="Arial" w:cs="Arial"/>
        </w:rPr>
        <w:t xml:space="preserve">2035 </w:t>
      </w:r>
      <w:r w:rsidR="004A5FB2" w:rsidRPr="008E7E5A">
        <w:rPr>
          <w:rFonts w:ascii="Arial" w:hAnsi="Arial" w:cs="Arial"/>
        </w:rPr>
        <w:t xml:space="preserve">as </w:t>
      </w:r>
      <w:r w:rsidRPr="008E7E5A">
        <w:rPr>
          <w:rFonts w:ascii="Arial" w:hAnsi="Arial" w:cs="Arial"/>
        </w:rPr>
        <w:t xml:space="preserve">BOR </w:t>
      </w:r>
      <w:r w:rsidR="004A5FB2" w:rsidRPr="008E7E5A">
        <w:rPr>
          <w:rFonts w:ascii="Arial" w:hAnsi="Arial" w:cs="Arial"/>
        </w:rPr>
        <w:t xml:space="preserve">is projected to be </w:t>
      </w:r>
      <w:r w:rsidRPr="008E7E5A">
        <w:rPr>
          <w:rFonts w:ascii="Arial" w:hAnsi="Arial" w:cs="Arial"/>
        </w:rPr>
        <w:t>7</w:t>
      </w:r>
      <w:r w:rsidR="004E325A" w:rsidRPr="008E7E5A">
        <w:rPr>
          <w:rFonts w:ascii="Arial" w:hAnsi="Arial" w:cs="Arial"/>
          <w:lang w:eastAsia="zh-CN"/>
        </w:rPr>
        <w:t>4</w:t>
      </w:r>
      <w:r w:rsidRPr="008E7E5A">
        <w:rPr>
          <w:rFonts w:ascii="Arial" w:hAnsi="Arial" w:cs="Arial"/>
        </w:rPr>
        <w:t>.</w:t>
      </w:r>
      <w:r w:rsidR="5AE08324" w:rsidRPr="008E7E5A">
        <w:rPr>
          <w:rFonts w:ascii="Arial" w:hAnsi="Arial" w:cs="Arial"/>
        </w:rPr>
        <w:t>21</w:t>
      </w:r>
      <w:r w:rsidRPr="008E7E5A">
        <w:rPr>
          <w:rFonts w:ascii="Arial" w:hAnsi="Arial" w:cs="Arial"/>
        </w:rPr>
        <w:t>%.</w:t>
      </w:r>
      <w:r w:rsidR="007C7441" w:rsidRPr="008E7E5A">
        <w:rPr>
          <w:rFonts w:ascii="Arial" w:hAnsi="Arial" w:cs="Arial"/>
        </w:rPr>
        <w:t xml:space="preserve"> </w:t>
      </w:r>
    </w:p>
    <w:p w14:paraId="3C3E5B6E" w14:textId="249A6215" w:rsidR="00863BDD" w:rsidRPr="008E7E5A" w:rsidRDefault="000B2ED4" w:rsidP="00DC083A">
      <w:pPr>
        <w:pStyle w:val="ListParagraph"/>
        <w:numPr>
          <w:ilvl w:val="0"/>
          <w:numId w:val="10"/>
        </w:numPr>
        <w:jc w:val="both"/>
        <w:rPr>
          <w:rFonts w:ascii="Arial" w:hAnsi="Arial" w:cs="Arial"/>
        </w:rPr>
      </w:pPr>
      <w:r w:rsidRPr="008E7E5A">
        <w:rPr>
          <w:rFonts w:ascii="Arial" w:hAnsi="Arial" w:cs="Arial"/>
          <w:kern w:val="0"/>
          <w14:ligatures w14:val="none"/>
        </w:rPr>
        <w:t>The minimum</w:t>
      </w:r>
      <w:r w:rsidR="007C7441" w:rsidRPr="008E7E5A">
        <w:rPr>
          <w:rFonts w:ascii="Arial" w:hAnsi="Arial" w:cs="Arial"/>
          <w:kern w:val="0"/>
          <w14:ligatures w14:val="none"/>
        </w:rPr>
        <w:t xml:space="preserve"> annual bed expansion rate required to maintain </w:t>
      </w:r>
      <w:r w:rsidRPr="008E7E5A">
        <w:rPr>
          <w:rFonts w:ascii="Arial" w:hAnsi="Arial" w:cs="Arial"/>
          <w:kern w:val="0"/>
          <w14:ligatures w14:val="none"/>
        </w:rPr>
        <w:t xml:space="preserve">the </w:t>
      </w:r>
      <w:r w:rsidR="005E5073" w:rsidRPr="008E7E5A">
        <w:rPr>
          <w:rFonts w:ascii="Arial" w:hAnsi="Arial" w:cs="Arial"/>
          <w:kern w:val="0"/>
          <w14:ligatures w14:val="none"/>
        </w:rPr>
        <w:t xml:space="preserve">optimal threshold of &lt; 85% is </w:t>
      </w:r>
      <w:r w:rsidR="007C7441" w:rsidRPr="008E7E5A">
        <w:rPr>
          <w:rFonts w:ascii="Arial" w:hAnsi="Arial" w:cs="Arial"/>
          <w:kern w:val="0"/>
          <w14:ligatures w14:val="none"/>
        </w:rPr>
        <w:t xml:space="preserve">&lt; </w:t>
      </w:r>
      <w:r w:rsidR="3407E153" w:rsidRPr="008E7E5A">
        <w:rPr>
          <w:rFonts w:ascii="Arial" w:hAnsi="Arial" w:cs="Arial"/>
          <w:kern w:val="0"/>
          <w14:ligatures w14:val="none"/>
        </w:rPr>
        <w:t>2.</w:t>
      </w:r>
      <w:r w:rsidR="1E93CE77" w:rsidRPr="008E7E5A">
        <w:rPr>
          <w:rFonts w:ascii="Arial" w:hAnsi="Arial" w:cs="Arial"/>
          <w:kern w:val="0"/>
          <w14:ligatures w14:val="none"/>
        </w:rPr>
        <w:t>3</w:t>
      </w:r>
      <w:r w:rsidR="3407E153" w:rsidRPr="008E7E5A">
        <w:rPr>
          <w:rFonts w:ascii="Arial" w:hAnsi="Arial" w:cs="Arial"/>
          <w:kern w:val="0"/>
          <w14:ligatures w14:val="none"/>
        </w:rPr>
        <w:t>%</w:t>
      </w:r>
      <w:r w:rsidR="06420ABE" w:rsidRPr="008E7E5A">
        <w:rPr>
          <w:rFonts w:ascii="Arial" w:hAnsi="Arial" w:cs="Arial"/>
          <w:kern w:val="0"/>
          <w14:ligatures w14:val="none"/>
        </w:rPr>
        <w:t xml:space="preserve">, </w:t>
      </w:r>
      <w:r w:rsidR="0370A493" w:rsidRPr="008E7E5A">
        <w:rPr>
          <w:rFonts w:ascii="Arial" w:hAnsi="Arial" w:cs="Arial"/>
        </w:rPr>
        <w:t>effectively</w:t>
      </w:r>
      <w:r w:rsidR="00DC083A" w:rsidRPr="008E7E5A">
        <w:rPr>
          <w:rFonts w:ascii="Arial" w:hAnsi="Arial" w:cs="Arial"/>
        </w:rPr>
        <w:t xml:space="preserve"> </w:t>
      </w:r>
      <w:r w:rsidR="00DC083A" w:rsidRPr="008E7E5A">
        <w:rPr>
          <w:rFonts w:ascii="Arial" w:hAnsi="Arial" w:cs="Arial"/>
          <w:kern w:val="0"/>
          <w14:ligatures w14:val="none"/>
        </w:rPr>
        <w:t>balancing capacity</w:t>
      </w:r>
      <w:r w:rsidR="00DC083A" w:rsidRPr="008E7E5A">
        <w:rPr>
          <w:rFonts w:ascii="Arial" w:hAnsi="Arial" w:cs="Arial"/>
        </w:rPr>
        <w:t xml:space="preserve"> and </w:t>
      </w:r>
      <w:r w:rsidR="00863BDD" w:rsidRPr="008E7E5A">
        <w:rPr>
          <w:rFonts w:ascii="Arial" w:hAnsi="Arial" w:cs="Arial"/>
        </w:rPr>
        <w:t>cost.</w:t>
      </w:r>
    </w:p>
    <w:p w14:paraId="3F4654EA" w14:textId="51B877FA" w:rsidR="00863BDD" w:rsidRPr="008E7E5A" w:rsidRDefault="00863BDD" w:rsidP="007E6771">
      <w:pPr>
        <w:pStyle w:val="ListParagraph"/>
        <w:numPr>
          <w:ilvl w:val="0"/>
          <w:numId w:val="10"/>
        </w:numPr>
        <w:jc w:val="both"/>
        <w:rPr>
          <w:rFonts w:ascii="Arial" w:hAnsi="Arial" w:cs="Arial"/>
        </w:rPr>
      </w:pPr>
      <w:r w:rsidRPr="008E7E5A">
        <w:rPr>
          <w:rFonts w:ascii="Arial" w:hAnsi="Arial" w:cs="Arial"/>
        </w:rPr>
        <w:t xml:space="preserve">Reducing ALOS or </w:t>
      </w:r>
      <w:r w:rsidR="00590696" w:rsidRPr="008E7E5A">
        <w:rPr>
          <w:rFonts w:ascii="Arial" w:hAnsi="Arial" w:cs="Arial"/>
        </w:rPr>
        <w:t xml:space="preserve">improving </w:t>
      </w:r>
      <w:r w:rsidR="00D44EEA" w:rsidRPr="008E7E5A">
        <w:rPr>
          <w:rFonts w:ascii="Arial" w:hAnsi="Arial" w:cs="Arial"/>
          <w:lang w:eastAsia="zh-CN"/>
        </w:rPr>
        <w:t xml:space="preserve">the </w:t>
      </w:r>
      <w:r w:rsidR="00590696" w:rsidRPr="008E7E5A">
        <w:rPr>
          <w:rFonts w:ascii="Arial" w:hAnsi="Arial" w:cs="Arial"/>
        </w:rPr>
        <w:t>effectiveness of health intervention programmes</w:t>
      </w:r>
      <w:r w:rsidRPr="008E7E5A">
        <w:rPr>
          <w:rFonts w:ascii="Arial" w:hAnsi="Arial" w:cs="Arial"/>
        </w:rPr>
        <w:t xml:space="preserve"> (e.g.</w:t>
      </w:r>
      <w:r w:rsidR="00D44EEA" w:rsidRPr="008E7E5A">
        <w:rPr>
          <w:rFonts w:ascii="Arial" w:hAnsi="Arial" w:cs="Arial"/>
          <w:lang w:eastAsia="zh-CN"/>
        </w:rPr>
        <w:t>,</w:t>
      </w:r>
      <w:r w:rsidRPr="008E7E5A">
        <w:rPr>
          <w:rFonts w:ascii="Arial" w:hAnsi="Arial" w:cs="Arial"/>
        </w:rPr>
        <w:t xml:space="preserve"> Healthier SG) significantly reduces BOR pressure.</w:t>
      </w:r>
    </w:p>
    <w:p w14:paraId="0711F09F" w14:textId="660D080E" w:rsidR="00863BDD" w:rsidRPr="008E7E5A" w:rsidRDefault="007E6771" w:rsidP="007E6771">
      <w:pPr>
        <w:pStyle w:val="Heading1"/>
        <w:rPr>
          <w:rFonts w:ascii="Arial" w:hAnsi="Arial" w:cs="Arial"/>
          <w:sz w:val="36"/>
          <w:szCs w:val="36"/>
        </w:rPr>
      </w:pPr>
      <w:bookmarkStart w:id="13" w:name="_Toc225459975"/>
      <w:r w:rsidRPr="008E7E5A">
        <w:rPr>
          <w:rFonts w:ascii="Arial" w:hAnsi="Arial" w:cs="Arial"/>
          <w:sz w:val="36"/>
          <w:szCs w:val="36"/>
        </w:rPr>
        <w:lastRenderedPageBreak/>
        <w:t xml:space="preserve">Module </w:t>
      </w:r>
      <w:r w:rsidR="00863BDD" w:rsidRPr="008E7E5A">
        <w:rPr>
          <w:rFonts w:ascii="Arial" w:hAnsi="Arial" w:cs="Arial"/>
          <w:sz w:val="36"/>
          <w:szCs w:val="36"/>
        </w:rPr>
        <w:t>3</w:t>
      </w:r>
      <w:r w:rsidR="008E7E5A">
        <w:rPr>
          <w:rFonts w:ascii="Arial" w:hAnsi="Arial" w:cs="Arial"/>
        </w:rPr>
        <w:t xml:space="preserve"> </w:t>
      </w:r>
      <w:r w:rsidR="00863BDD" w:rsidRPr="008E7E5A">
        <w:rPr>
          <w:rFonts w:ascii="Arial" w:hAnsi="Arial" w:cs="Arial"/>
          <w:sz w:val="36"/>
          <w:szCs w:val="36"/>
        </w:rPr>
        <w:t>Government Healthcare Costs Projection</w:t>
      </w:r>
      <w:bookmarkEnd w:id="13"/>
      <w:r w:rsidR="00863BDD" w:rsidRPr="008E7E5A">
        <w:rPr>
          <w:rFonts w:ascii="Arial" w:hAnsi="Arial" w:cs="Arial"/>
          <w:sz w:val="36"/>
          <w:szCs w:val="36"/>
        </w:rPr>
        <w:t> </w:t>
      </w:r>
    </w:p>
    <w:p w14:paraId="49B0B670" w14:textId="345C7F0D" w:rsidR="006D5A43" w:rsidRPr="008E7E5A" w:rsidRDefault="006D5A43" w:rsidP="006D5A43">
      <w:pPr>
        <w:jc w:val="both"/>
        <w:rPr>
          <w:rFonts w:ascii="Arial" w:hAnsi="Arial" w:cs="Arial"/>
        </w:rPr>
      </w:pPr>
      <w:r w:rsidRPr="008E7E5A">
        <w:rPr>
          <w:rFonts w:ascii="Arial" w:hAnsi="Arial" w:cs="Arial"/>
        </w:rPr>
        <w:t>This module aims to project government operating expenditure related to hospital admissions based on the demographic proje</w:t>
      </w:r>
      <w:r w:rsidR="00A307B2" w:rsidRPr="008E7E5A">
        <w:rPr>
          <w:rFonts w:ascii="Arial" w:hAnsi="Arial" w:cs="Arial"/>
        </w:rPr>
        <w:t>c</w:t>
      </w:r>
      <w:r w:rsidRPr="008E7E5A">
        <w:rPr>
          <w:rFonts w:ascii="Arial" w:hAnsi="Arial" w:cs="Arial"/>
        </w:rPr>
        <w:t>tion from Module 1 and projected bed demand from Module 2. Published data on government expenditure on healthcare and healthcare Consumer Price Index (CPI) are used in the forecasting analys</w:t>
      </w:r>
      <w:r w:rsidR="00A307B2" w:rsidRPr="008E7E5A">
        <w:rPr>
          <w:rFonts w:ascii="Arial" w:hAnsi="Arial" w:cs="Arial"/>
        </w:rPr>
        <w:t>e</w:t>
      </w:r>
      <w:r w:rsidRPr="008E7E5A">
        <w:rPr>
          <w:rFonts w:ascii="Arial" w:hAnsi="Arial" w:cs="Arial"/>
        </w:rPr>
        <w:t xml:space="preserve">s. </w:t>
      </w:r>
    </w:p>
    <w:p w14:paraId="4D46D167" w14:textId="2952B597" w:rsidR="00507A44" w:rsidRPr="008E7E5A" w:rsidRDefault="00A307B2" w:rsidP="00C26E67">
      <w:pPr>
        <w:jc w:val="both"/>
        <w:rPr>
          <w:rFonts w:ascii="Arial" w:hAnsi="Arial" w:cs="Arial"/>
        </w:rPr>
      </w:pPr>
      <w:r w:rsidRPr="008E7E5A">
        <w:rPr>
          <w:rFonts w:ascii="Arial" w:hAnsi="Arial" w:cs="Arial"/>
        </w:rPr>
        <w:t xml:space="preserve">MOH’s operating expenditure is used for the daily running costs of the public healthcare system, of which key components are medical subsidies, manpower, supplies and consumables, utilities and maintenance amongst others </w:t>
      </w:r>
      <w:r w:rsidR="00AA2FA7" w:rsidRPr="008E7E5A">
        <w:rPr>
          <w:rFonts w:ascii="Arial" w:hAnsi="Arial" w:cs="Arial"/>
        </w:rPr>
        <w:t>(MOH, 2024a)</w:t>
      </w:r>
      <w:r w:rsidRPr="008E7E5A">
        <w:rPr>
          <w:rFonts w:ascii="Arial" w:hAnsi="Arial" w:cs="Arial"/>
        </w:rPr>
        <w:t>.</w:t>
      </w:r>
      <w:r w:rsidR="00C26E67" w:rsidRPr="008E7E5A">
        <w:rPr>
          <w:rFonts w:ascii="Arial" w:hAnsi="Arial" w:cs="Arial"/>
        </w:rPr>
        <w:t xml:space="preserve"> </w:t>
      </w:r>
    </w:p>
    <w:p w14:paraId="2FAA169D" w14:textId="77777777" w:rsidR="00381DE9" w:rsidRPr="008E7E5A" w:rsidRDefault="00507A44" w:rsidP="00507A44">
      <w:pPr>
        <w:jc w:val="both"/>
        <w:rPr>
          <w:rFonts w:ascii="Arial" w:hAnsi="Arial" w:cs="Arial"/>
        </w:rPr>
      </w:pPr>
      <w:r w:rsidRPr="008E7E5A">
        <w:rPr>
          <w:rFonts w:ascii="Arial" w:hAnsi="Arial" w:cs="Arial"/>
        </w:rPr>
        <w:t>Assumption</w:t>
      </w:r>
      <w:r w:rsidR="00381DE9" w:rsidRPr="008E7E5A">
        <w:rPr>
          <w:rFonts w:ascii="Arial" w:hAnsi="Arial" w:cs="Arial"/>
        </w:rPr>
        <w:t>s</w:t>
      </w:r>
      <w:r w:rsidRPr="008E7E5A">
        <w:rPr>
          <w:rFonts w:ascii="Arial" w:hAnsi="Arial" w:cs="Arial"/>
        </w:rPr>
        <w:t xml:space="preserve">: </w:t>
      </w:r>
    </w:p>
    <w:p w14:paraId="10D87DCC" w14:textId="336EBE47" w:rsidR="00D15F51" w:rsidRPr="008E7E5A" w:rsidRDefault="00C26E67" w:rsidP="00381DE9">
      <w:pPr>
        <w:pStyle w:val="ListParagraph"/>
        <w:numPr>
          <w:ilvl w:val="0"/>
          <w:numId w:val="11"/>
        </w:numPr>
        <w:jc w:val="both"/>
        <w:rPr>
          <w:rFonts w:ascii="Arial" w:hAnsi="Arial" w:cs="Arial"/>
        </w:rPr>
      </w:pPr>
      <w:r w:rsidRPr="008E7E5A">
        <w:rPr>
          <w:rFonts w:ascii="Arial" w:hAnsi="Arial" w:cs="Arial"/>
        </w:rPr>
        <w:t xml:space="preserve">40% of the published Operating Expenditure on Health is directly related to </w:t>
      </w:r>
      <w:r w:rsidR="00D15F51" w:rsidRPr="008E7E5A">
        <w:rPr>
          <w:rFonts w:ascii="Arial" w:hAnsi="Arial" w:cs="Arial"/>
        </w:rPr>
        <w:t>variable operating costs related to public hospitals admissions.</w:t>
      </w:r>
    </w:p>
    <w:p w14:paraId="3ACFF3A6" w14:textId="199A9834" w:rsidR="00381DE9" w:rsidRPr="008E7E5A" w:rsidRDefault="00381DE9" w:rsidP="00381DE9">
      <w:pPr>
        <w:pStyle w:val="ListParagraph"/>
        <w:numPr>
          <w:ilvl w:val="0"/>
          <w:numId w:val="11"/>
        </w:numPr>
        <w:jc w:val="both"/>
        <w:rPr>
          <w:rFonts w:ascii="Arial" w:hAnsi="Arial" w:cs="Arial"/>
        </w:rPr>
      </w:pPr>
      <w:r w:rsidRPr="008E7E5A">
        <w:rPr>
          <w:rFonts w:ascii="Arial" w:hAnsi="Arial" w:cs="Arial"/>
        </w:rPr>
        <w:t xml:space="preserve">Analyses on healthcare operating expenditure is solely on costs related to public hospitals inpatient admissions and excludes other healthcare expenditure related to polyclinics, daycare et cetera. </w:t>
      </w:r>
    </w:p>
    <w:p w14:paraId="5648BAD5" w14:textId="0CA58112" w:rsidR="00863BDD" w:rsidRPr="008E7E5A" w:rsidRDefault="007E6771" w:rsidP="007E6771">
      <w:pPr>
        <w:pStyle w:val="Heading2"/>
        <w:rPr>
          <w:rFonts w:ascii="Arial" w:hAnsi="Arial" w:cs="Arial"/>
          <w:sz w:val="28"/>
          <w:szCs w:val="28"/>
        </w:rPr>
      </w:pPr>
      <w:bookmarkStart w:id="14" w:name="_Toc225459976"/>
      <w:r w:rsidRPr="008E7E5A">
        <w:rPr>
          <w:rFonts w:ascii="Arial" w:hAnsi="Arial" w:cs="Arial"/>
          <w:sz w:val="28"/>
          <w:szCs w:val="28"/>
        </w:rPr>
        <w:t>3.1</w:t>
      </w:r>
      <w:r w:rsidRPr="008E7E5A">
        <w:rPr>
          <w:rFonts w:ascii="Arial" w:hAnsi="Arial" w:cs="Arial"/>
        </w:rPr>
        <w:tab/>
      </w:r>
      <w:r w:rsidR="006D5A43" w:rsidRPr="008E7E5A">
        <w:rPr>
          <w:rFonts w:ascii="Arial" w:hAnsi="Arial" w:cs="Arial"/>
          <w:sz w:val="28"/>
          <w:szCs w:val="28"/>
        </w:rPr>
        <w:t>Projected</w:t>
      </w:r>
      <w:r w:rsidR="7EC88966" w:rsidRPr="008E7E5A">
        <w:rPr>
          <w:rFonts w:ascii="Arial" w:hAnsi="Arial" w:cs="Arial"/>
          <w:sz w:val="28"/>
          <w:szCs w:val="28"/>
        </w:rPr>
        <w:t xml:space="preserve"> Government Healthcare Budget</w:t>
      </w:r>
      <w:bookmarkEnd w:id="14"/>
    </w:p>
    <w:p w14:paraId="729448D1" w14:textId="5143DE42" w:rsidR="003E7825" w:rsidRPr="008E7E5A" w:rsidRDefault="6F44AF22" w:rsidP="373E0290">
      <w:pPr>
        <w:jc w:val="center"/>
        <w:rPr>
          <w:rFonts w:ascii="Arial" w:hAnsi="Arial" w:cs="Arial"/>
        </w:rPr>
      </w:pPr>
      <w:r w:rsidRPr="008E7E5A">
        <w:rPr>
          <w:rFonts w:ascii="Arial" w:hAnsi="Arial" w:cs="Arial"/>
          <w:noProof/>
        </w:rPr>
        <w:drawing>
          <wp:inline distT="0" distB="0" distL="0" distR="0" wp14:anchorId="243CD9B1" wp14:editId="15736D56">
            <wp:extent cx="2893420" cy="1722163"/>
            <wp:effectExtent l="0" t="0" r="0" b="0"/>
            <wp:docPr id="1796840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40192" name="Picture 1796840192"/>
                    <pic:cNvPicPr/>
                  </pic:nvPicPr>
                  <pic:blipFill>
                    <a:blip r:embed="rId21">
                      <a:extLst>
                        <a:ext uri="{28A0092B-C50C-407E-A947-70E740481C1C}">
                          <a14:useLocalDpi xmlns:a14="http://schemas.microsoft.com/office/drawing/2010/main"/>
                        </a:ext>
                      </a:extLst>
                    </a:blip>
                    <a:stretch>
                      <a:fillRect/>
                    </a:stretch>
                  </pic:blipFill>
                  <pic:spPr>
                    <a:xfrm>
                      <a:off x="0" y="0"/>
                      <a:ext cx="2893420" cy="1722163"/>
                    </a:xfrm>
                    <a:prstGeom prst="rect">
                      <a:avLst/>
                    </a:prstGeom>
                  </pic:spPr>
                </pic:pic>
              </a:graphicData>
            </a:graphic>
          </wp:inline>
        </w:drawing>
      </w:r>
    </w:p>
    <w:p w14:paraId="78BCB791" w14:textId="4CF36384" w:rsidR="00C26E67" w:rsidRPr="008E7E5A" w:rsidRDefault="00C26E67" w:rsidP="0013663B">
      <w:pPr>
        <w:jc w:val="center"/>
        <w:rPr>
          <w:rFonts w:ascii="Arial" w:hAnsi="Arial" w:cs="Arial"/>
          <w:sz w:val="16"/>
          <w:szCs w:val="16"/>
        </w:rPr>
      </w:pPr>
      <w:r w:rsidRPr="008E7E5A">
        <w:rPr>
          <w:rFonts w:ascii="Arial" w:hAnsi="Arial" w:cs="Arial"/>
          <w:sz w:val="16"/>
          <w:szCs w:val="16"/>
        </w:rPr>
        <w:t xml:space="preserve">Figure </w:t>
      </w:r>
      <w:r w:rsidR="0009058D" w:rsidRPr="008E7E5A">
        <w:rPr>
          <w:rFonts w:ascii="Arial" w:hAnsi="Arial" w:cs="Arial"/>
          <w:sz w:val="16"/>
          <w:szCs w:val="16"/>
        </w:rPr>
        <w:t>6</w:t>
      </w:r>
      <w:r w:rsidRPr="008E7E5A">
        <w:rPr>
          <w:rFonts w:ascii="Arial" w:hAnsi="Arial" w:cs="Arial"/>
          <w:sz w:val="16"/>
          <w:szCs w:val="16"/>
        </w:rPr>
        <w:t> </w:t>
      </w:r>
      <w:r w:rsidR="00DA4FA7" w:rsidRPr="008E7E5A">
        <w:rPr>
          <w:rFonts w:ascii="Arial" w:hAnsi="Arial" w:cs="Arial"/>
          <w:sz w:val="16"/>
          <w:szCs w:val="16"/>
        </w:rPr>
        <w:t>Operating Expenditure (S$ millions)</w:t>
      </w:r>
    </w:p>
    <w:p w14:paraId="40E0EFFD" w14:textId="229D46DD" w:rsidR="00863BDD" w:rsidRPr="008E7E5A" w:rsidRDefault="00DA4FA7" w:rsidP="006D5A43">
      <w:pPr>
        <w:jc w:val="both"/>
        <w:rPr>
          <w:rFonts w:ascii="Arial" w:hAnsi="Arial" w:cs="Arial"/>
        </w:rPr>
      </w:pPr>
      <w:r w:rsidRPr="008E7E5A">
        <w:rPr>
          <w:rFonts w:ascii="Arial" w:hAnsi="Arial" w:cs="Arial"/>
        </w:rPr>
        <w:t>T</w:t>
      </w:r>
      <w:r w:rsidR="00C26E67" w:rsidRPr="008E7E5A">
        <w:rPr>
          <w:rFonts w:ascii="Arial" w:hAnsi="Arial" w:cs="Arial"/>
        </w:rPr>
        <w:t>here was a</w:t>
      </w:r>
      <w:r w:rsidR="00863BDD" w:rsidRPr="008E7E5A">
        <w:rPr>
          <w:rFonts w:ascii="Arial" w:hAnsi="Arial" w:cs="Arial"/>
        </w:rPr>
        <w:t xml:space="preserve"> structural shift</w:t>
      </w:r>
      <w:r w:rsidR="00507A44" w:rsidRPr="008E7E5A">
        <w:rPr>
          <w:rFonts w:ascii="Arial" w:hAnsi="Arial" w:cs="Arial"/>
        </w:rPr>
        <w:t xml:space="preserve"> for Operating Expenditure</w:t>
      </w:r>
      <w:r w:rsidR="00863BDD" w:rsidRPr="008E7E5A">
        <w:rPr>
          <w:rFonts w:ascii="Arial" w:hAnsi="Arial" w:cs="Arial"/>
        </w:rPr>
        <w:t xml:space="preserve"> from years 2020 onwards due to COVID-19 measures undertaken by MOH that have been integrated into regular operations. The opening of Woodlands Hospital (from late 2023) also contributed to the increase in operati</w:t>
      </w:r>
      <w:r w:rsidR="00381DE9" w:rsidRPr="008E7E5A">
        <w:rPr>
          <w:rFonts w:ascii="Arial" w:hAnsi="Arial" w:cs="Arial"/>
        </w:rPr>
        <w:t>ng</w:t>
      </w:r>
      <w:r w:rsidR="00863BDD" w:rsidRPr="008E7E5A">
        <w:rPr>
          <w:rFonts w:ascii="Arial" w:hAnsi="Arial" w:cs="Arial"/>
        </w:rPr>
        <w:t xml:space="preserve"> expenditure.</w:t>
      </w:r>
    </w:p>
    <w:p w14:paraId="7F77EF9B" w14:textId="4D50A25C" w:rsidR="00C26E67" w:rsidRPr="008E7E5A" w:rsidRDefault="00C26E67" w:rsidP="006D5A43">
      <w:pPr>
        <w:jc w:val="both"/>
        <w:rPr>
          <w:rFonts w:ascii="Arial" w:hAnsi="Arial" w:cs="Arial"/>
        </w:rPr>
      </w:pPr>
      <w:r w:rsidRPr="008E7E5A">
        <w:rPr>
          <w:rFonts w:ascii="Arial" w:hAnsi="Arial" w:cs="Arial"/>
        </w:rPr>
        <w:t xml:space="preserve">Linear forecasting was used to estimate future expenditure, using reference years 2023 to 2025 (post-COVID 19). </w:t>
      </w:r>
    </w:p>
    <w:p w14:paraId="040CEBED" w14:textId="1823BAA5" w:rsidR="00C26E67" w:rsidRPr="008E7E5A" w:rsidRDefault="00867ADB" w:rsidP="006D5A43">
      <w:pPr>
        <w:jc w:val="both"/>
        <w:rPr>
          <w:rFonts w:ascii="Arial" w:hAnsi="Arial" w:cs="Arial"/>
        </w:rPr>
      </w:pPr>
      <w:r w:rsidRPr="008E7E5A">
        <w:rPr>
          <w:rFonts w:ascii="Arial" w:hAnsi="Arial" w:cs="Arial"/>
          <w:noProof/>
        </w:rPr>
        <w:drawing>
          <wp:inline distT="0" distB="0" distL="0" distR="0" wp14:anchorId="2DBC13F3" wp14:editId="5D9A6528">
            <wp:extent cx="5731510" cy="311150"/>
            <wp:effectExtent l="0" t="0" r="2540" b="0"/>
            <wp:docPr id="147286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62944" name=""/>
                    <pic:cNvPicPr/>
                  </pic:nvPicPr>
                  <pic:blipFill>
                    <a:blip r:embed="rId22"/>
                    <a:stretch>
                      <a:fillRect/>
                    </a:stretch>
                  </pic:blipFill>
                  <pic:spPr>
                    <a:xfrm>
                      <a:off x="0" y="0"/>
                      <a:ext cx="5731510" cy="311150"/>
                    </a:xfrm>
                    <a:prstGeom prst="rect">
                      <a:avLst/>
                    </a:prstGeom>
                  </pic:spPr>
                </pic:pic>
              </a:graphicData>
            </a:graphic>
          </wp:inline>
        </w:drawing>
      </w:r>
    </w:p>
    <w:p w14:paraId="54E374B8" w14:textId="4D18509E" w:rsidR="00863BDD" w:rsidRPr="008E7E5A" w:rsidRDefault="00F240ED" w:rsidP="00863BDD">
      <w:pPr>
        <w:rPr>
          <w:rFonts w:ascii="Arial" w:hAnsi="Arial" w:cs="Arial"/>
        </w:rPr>
      </w:pPr>
      <w:r w:rsidRPr="008E7E5A">
        <w:rPr>
          <w:rFonts w:ascii="Arial" w:hAnsi="Arial" w:cs="Arial"/>
        </w:rPr>
        <w:t xml:space="preserve">Projected </w:t>
      </w:r>
      <w:r w:rsidR="00863BDD" w:rsidRPr="008E7E5A">
        <w:rPr>
          <w:rFonts w:ascii="Arial" w:hAnsi="Arial" w:cs="Arial"/>
        </w:rPr>
        <w:t>operating expenditure</w:t>
      </w:r>
      <w:r w:rsidR="00C2733D" w:rsidRPr="008E7E5A">
        <w:rPr>
          <w:rFonts w:ascii="Arial" w:hAnsi="Arial" w:cs="Arial"/>
        </w:rPr>
        <w:t xml:space="preserve"> for</w:t>
      </w:r>
      <w:r w:rsidR="00863BDD" w:rsidRPr="008E7E5A">
        <w:rPr>
          <w:rFonts w:ascii="Arial" w:hAnsi="Arial" w:cs="Arial"/>
        </w:rPr>
        <w:t xml:space="preserve"> 2026 is in line with MOH’s recent announcement for 2026</w:t>
      </w:r>
      <w:r w:rsidR="00C26E67" w:rsidRPr="008E7E5A">
        <w:rPr>
          <w:rFonts w:ascii="Arial" w:hAnsi="Arial" w:cs="Arial"/>
        </w:rPr>
        <w:t xml:space="preserve"> of SGD 20.04 billion </w:t>
      </w:r>
      <w:r w:rsidR="000657D5" w:rsidRPr="008E7E5A">
        <w:rPr>
          <w:rFonts w:ascii="Arial" w:hAnsi="Arial" w:cs="Arial"/>
        </w:rPr>
        <w:t>(MOH, 2026b)</w:t>
      </w:r>
      <w:r w:rsidR="00C26E67" w:rsidRPr="008E7E5A">
        <w:rPr>
          <w:rFonts w:ascii="Arial" w:hAnsi="Arial" w:cs="Arial"/>
        </w:rPr>
        <w:t>.</w:t>
      </w:r>
    </w:p>
    <w:p w14:paraId="0CBFE587" w14:textId="77777777" w:rsidR="00F240ED" w:rsidRPr="008E7E5A" w:rsidRDefault="00F240ED" w:rsidP="00863BDD">
      <w:pPr>
        <w:rPr>
          <w:rFonts w:ascii="Arial" w:hAnsi="Arial" w:cs="Arial"/>
        </w:rPr>
      </w:pPr>
    </w:p>
    <w:p w14:paraId="6429B759" w14:textId="77777777" w:rsidR="00F240ED" w:rsidRPr="008E7E5A" w:rsidRDefault="00F240ED" w:rsidP="00863BDD">
      <w:pPr>
        <w:rPr>
          <w:rFonts w:ascii="Arial" w:hAnsi="Arial" w:cs="Arial"/>
        </w:rPr>
      </w:pPr>
    </w:p>
    <w:p w14:paraId="2FA29368" w14:textId="77777777" w:rsidR="00F240ED" w:rsidRPr="008E7E5A" w:rsidRDefault="00F240ED" w:rsidP="00863BDD">
      <w:pPr>
        <w:rPr>
          <w:rFonts w:ascii="Arial" w:hAnsi="Arial" w:cs="Arial"/>
        </w:rPr>
      </w:pPr>
    </w:p>
    <w:p w14:paraId="23000F45" w14:textId="1056A4EB" w:rsidR="00863BDD" w:rsidRPr="008E7E5A" w:rsidRDefault="007E6771" w:rsidP="007E6771">
      <w:pPr>
        <w:pStyle w:val="Heading2"/>
        <w:rPr>
          <w:rFonts w:ascii="Arial" w:hAnsi="Arial" w:cs="Arial"/>
          <w:sz w:val="28"/>
          <w:szCs w:val="28"/>
        </w:rPr>
      </w:pPr>
      <w:bookmarkStart w:id="15" w:name="_Toc225459977"/>
      <w:r w:rsidRPr="008E7E5A">
        <w:rPr>
          <w:rFonts w:ascii="Arial" w:hAnsi="Arial" w:cs="Arial"/>
          <w:sz w:val="28"/>
          <w:szCs w:val="28"/>
        </w:rPr>
        <w:lastRenderedPageBreak/>
        <w:t>3.2</w:t>
      </w:r>
      <w:r w:rsidRPr="008E7E5A">
        <w:rPr>
          <w:rFonts w:ascii="Arial" w:hAnsi="Arial" w:cs="Arial"/>
        </w:rPr>
        <w:tab/>
      </w:r>
      <w:r w:rsidR="00863BDD" w:rsidRPr="008E7E5A">
        <w:rPr>
          <w:rFonts w:ascii="Arial" w:hAnsi="Arial" w:cs="Arial"/>
          <w:sz w:val="28"/>
          <w:szCs w:val="28"/>
        </w:rPr>
        <w:t>Government Healthcare Costs</w:t>
      </w:r>
      <w:bookmarkEnd w:id="15"/>
    </w:p>
    <w:p w14:paraId="30A70DD1" w14:textId="0B932DDF" w:rsidR="00D15F51" w:rsidRPr="008E7E5A" w:rsidRDefault="00863BDD" w:rsidP="00D15F51">
      <w:pPr>
        <w:jc w:val="both"/>
        <w:rPr>
          <w:rFonts w:ascii="Arial" w:hAnsi="Arial" w:cs="Arial"/>
        </w:rPr>
      </w:pPr>
      <w:r w:rsidRPr="008E7E5A">
        <w:rPr>
          <w:rFonts w:ascii="Arial" w:hAnsi="Arial" w:cs="Arial"/>
        </w:rPr>
        <w:t xml:space="preserve">Medical inflation rate was </w:t>
      </w:r>
      <w:r w:rsidR="00D15F51" w:rsidRPr="008E7E5A">
        <w:rPr>
          <w:rFonts w:ascii="Arial" w:hAnsi="Arial" w:cs="Arial"/>
        </w:rPr>
        <w:t>derived from historical Healthcare Consumer Price Index (HCPI) data for years 2015 to 2025.</w:t>
      </w:r>
      <w:r w:rsidR="0013663B" w:rsidRPr="008E7E5A">
        <w:rPr>
          <w:rFonts w:ascii="Arial" w:hAnsi="Arial" w:cs="Arial"/>
        </w:rPr>
        <w:t xml:space="preserve"> Linear forecasting was used to calculate medical inflation rates thereafter.</w:t>
      </w:r>
    </w:p>
    <w:p w14:paraId="0D5DEE92" w14:textId="70898942" w:rsidR="00D15F51" w:rsidRPr="008E7E5A" w:rsidRDefault="00D15F51" w:rsidP="00507A44">
      <w:pPr>
        <w:jc w:val="both"/>
        <w:rPr>
          <w:rFonts w:ascii="Arial" w:hAnsi="Arial" w:cs="Arial"/>
          <w:b/>
          <w:bCs/>
          <w:i/>
          <w:iCs/>
          <w:sz w:val="20"/>
          <w:szCs w:val="20"/>
        </w:rPr>
      </w:pPr>
      <w:r w:rsidRPr="008E7E5A">
        <w:rPr>
          <w:rFonts w:ascii="Arial" w:hAnsi="Arial" w:cs="Arial"/>
          <w:b/>
          <w:bCs/>
          <w:i/>
          <w:iCs/>
          <w:noProof/>
          <w:sz w:val="20"/>
          <w:szCs w:val="20"/>
        </w:rPr>
        <mc:AlternateContent>
          <mc:Choice Requires="wps">
            <w:drawing>
              <wp:anchor distT="0" distB="0" distL="114300" distR="114300" simplePos="0" relativeHeight="251658240" behindDoc="0" locked="0" layoutInCell="1" allowOverlap="1" wp14:anchorId="00E80842" wp14:editId="77E68EE1">
                <wp:simplePos x="0" y="0"/>
                <wp:positionH relativeFrom="column">
                  <wp:posOffset>2286001</wp:posOffset>
                </wp:positionH>
                <wp:positionV relativeFrom="paragraph">
                  <wp:posOffset>213751</wp:posOffset>
                </wp:positionV>
                <wp:extent cx="2271932" cy="28135"/>
                <wp:effectExtent l="0" t="0" r="33655" b="29210"/>
                <wp:wrapNone/>
                <wp:docPr id="1512796436" name="Straight Connector 17"/>
                <wp:cNvGraphicFramePr/>
                <a:graphic xmlns:a="http://schemas.openxmlformats.org/drawingml/2006/main">
                  <a:graphicData uri="http://schemas.microsoft.com/office/word/2010/wordprocessingShape">
                    <wps:wsp>
                      <wps:cNvCnPr/>
                      <wps:spPr>
                        <a:xfrm flipV="1">
                          <a:off x="0" y="0"/>
                          <a:ext cx="2271932" cy="2813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1952D7DD">
              <v:line id="Straight Connector 17"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pt" from="180pt,16.85pt" to="358.9pt,19.05pt" w14:anchorId="13CD91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04GsQEAALMDAAAOAAAAZHJzL2Uyb0RvYy54bWysU01P3DAQvVfiP1i+d50E8RVtlgOIXhBF&#10;LXA3znhjyV+y3U323zN2loBKhdSqF8vxzLx5781kfTkZTXYQonK2o/WqogSscL2y244+Ptx8Pack&#10;Jm57rp2Fju4h0svN0Zf16Fto3OB0D4EgiI3t6Ds6pORbxqIYwPC4ch4sBqULhif8DFvWBz4iutGs&#10;qapTNrrQ++AExIiv13OQbgq+lCDSdykjJKI7itxSOUM5n/PJNmvebgP3gxIHGvwfWBiuLDZdoK55&#10;4uRXUB+gjBLBRSfTSjjDnJRKQNGAaurqNzU/B+6haEFzol9siv8PVtztrux9QBtGH9vo70NWMclg&#10;iNTKP+FMiy5kSqZi236xDaZEBD42zVl9cdxQIjDWnNfHJ9lWNsNkOB9i+gbOkHzpqFY2q+It393G&#10;NKe+puRnbcmIfZuzqsyHvTErt7TXMKf9AElUjwxmjmVp4EoHsuM4bi4E2FQfuGiL2blMKq2Xwqrw&#10;+LTwkJ9LoSzU3xQvFaWzs2kpNsq68KfuaXqlLOd8tPKd7nx9dv2+zKwEcDOK24ctzqv3/ruUv/1r&#10;mxcAAAD//wMAUEsDBBQABgAIAAAAIQATt/Fs4QAAAAkBAAAPAAAAZHJzL2Rvd25yZXYueG1sTI9B&#10;T8MwDIXvSPyHyEjcWFoqraM0nUYRQggktA0O3NLGtBWNUyXZVv495gQ32+/p+XvlerajOKIPgyMF&#10;6SIBgdQ6M1Cn4G3/cLUCEaImo0dHqOAbA6yr87NSF8adaIvHXewEh1AotII+xqmQMrQ9Wh0WbkJi&#10;7dN5qyOvvpPG6xOH21FeJ8lSWj0Qf+j1hHWP7dfuYBXcfzy/NvXTyybz+5u7bf04vM++VuryYt7c&#10;gog4xz8z/OIzOlTM1LgDmSBGBdky4S6RhywHwYY8zblLw4dVCrIq5f8G1Q8AAAD//wMAUEsBAi0A&#10;FAAGAAgAAAAhALaDOJL+AAAA4QEAABMAAAAAAAAAAAAAAAAAAAAAAFtDb250ZW50X1R5cGVzXS54&#10;bWxQSwECLQAUAAYACAAAACEAOP0h/9YAAACUAQAACwAAAAAAAAAAAAAAAAAvAQAAX3JlbHMvLnJl&#10;bHNQSwECLQAUAAYACAAAACEA7+tOBrEBAACzAwAADgAAAAAAAAAAAAAAAAAuAgAAZHJzL2Uyb0Rv&#10;Yy54bWxQSwECLQAUAAYACAAAACEAE7fxbOEAAAAJAQAADwAAAAAAAAAAAAAAAAALBAAAZHJzL2Rv&#10;d25yZXYueG1sUEsFBgAAAAAEAAQA8wAAABkFAAAAAA==&#10;">
                <v:stroke joinstyle="miter"/>
              </v:line>
            </w:pict>
          </mc:Fallback>
        </mc:AlternateContent>
      </w:r>
      <w:r w:rsidRPr="008E7E5A">
        <w:rPr>
          <w:rFonts w:ascii="Arial" w:hAnsi="Arial" w:cs="Arial"/>
          <w:b/>
          <w:bCs/>
          <w:i/>
          <w:iCs/>
          <w:sz w:val="20"/>
          <w:szCs w:val="20"/>
        </w:rPr>
        <w:t>Current Year Medical Inflation Rate  =     Current Year HCPI – Previous Year HCPI</w:t>
      </w:r>
      <w:r w:rsidRPr="008E7E5A">
        <w:rPr>
          <w:rFonts w:ascii="Arial" w:hAnsi="Arial" w:cs="Arial"/>
          <w:b/>
          <w:bCs/>
          <w:i/>
          <w:iCs/>
          <w:sz w:val="20"/>
          <w:szCs w:val="20"/>
        </w:rPr>
        <w:tab/>
      </w:r>
    </w:p>
    <w:p w14:paraId="18B9DB40" w14:textId="77777777" w:rsidR="0073006E" w:rsidRPr="008E7E5A" w:rsidRDefault="00D15F51" w:rsidP="00D15F51">
      <w:pPr>
        <w:jc w:val="both"/>
        <w:rPr>
          <w:rFonts w:ascii="Arial" w:hAnsi="Arial" w:cs="Arial"/>
        </w:rPr>
      </w:pPr>
      <w:r w:rsidRPr="008E7E5A">
        <w:rPr>
          <w:rFonts w:ascii="Arial" w:hAnsi="Arial" w:cs="Arial"/>
          <w:b/>
          <w:bCs/>
          <w:i/>
          <w:iCs/>
          <w:sz w:val="20"/>
          <w:szCs w:val="20"/>
        </w:rPr>
        <w:tab/>
      </w:r>
      <w:r w:rsidRPr="008E7E5A">
        <w:rPr>
          <w:rFonts w:ascii="Arial" w:hAnsi="Arial" w:cs="Arial"/>
          <w:b/>
          <w:bCs/>
          <w:i/>
          <w:iCs/>
          <w:sz w:val="20"/>
          <w:szCs w:val="20"/>
        </w:rPr>
        <w:tab/>
      </w:r>
      <w:r w:rsidRPr="008E7E5A">
        <w:rPr>
          <w:rFonts w:ascii="Arial" w:hAnsi="Arial" w:cs="Arial"/>
          <w:b/>
          <w:bCs/>
          <w:i/>
          <w:iCs/>
          <w:sz w:val="20"/>
          <w:szCs w:val="20"/>
        </w:rPr>
        <w:tab/>
      </w:r>
      <w:r w:rsidRPr="008E7E5A">
        <w:rPr>
          <w:rFonts w:ascii="Arial" w:hAnsi="Arial" w:cs="Arial"/>
          <w:b/>
          <w:bCs/>
          <w:i/>
          <w:iCs/>
          <w:sz w:val="20"/>
          <w:szCs w:val="20"/>
        </w:rPr>
        <w:tab/>
      </w:r>
      <w:r w:rsidRPr="008E7E5A">
        <w:rPr>
          <w:rFonts w:ascii="Arial" w:hAnsi="Arial" w:cs="Arial"/>
          <w:b/>
          <w:bCs/>
          <w:i/>
          <w:iCs/>
          <w:sz w:val="20"/>
          <w:szCs w:val="20"/>
        </w:rPr>
        <w:tab/>
      </w:r>
      <w:r w:rsidRPr="008E7E5A">
        <w:rPr>
          <w:rFonts w:ascii="Arial" w:hAnsi="Arial" w:cs="Arial"/>
          <w:b/>
          <w:bCs/>
          <w:i/>
          <w:iCs/>
          <w:sz w:val="20"/>
          <w:szCs w:val="20"/>
        </w:rPr>
        <w:tab/>
        <w:t xml:space="preserve">         Current Year HCPI</w:t>
      </w:r>
      <w:r w:rsidRPr="008E7E5A">
        <w:rPr>
          <w:rFonts w:ascii="Arial" w:hAnsi="Arial" w:cs="Arial"/>
          <w:b/>
          <w:bCs/>
          <w:i/>
          <w:iCs/>
          <w:sz w:val="20"/>
          <w:szCs w:val="20"/>
        </w:rPr>
        <w:tab/>
      </w:r>
      <w:r w:rsidRPr="008E7E5A">
        <w:rPr>
          <w:rFonts w:ascii="Arial" w:hAnsi="Arial" w:cs="Arial"/>
        </w:rPr>
        <w:tab/>
      </w:r>
    </w:p>
    <w:p w14:paraId="187D5182" w14:textId="029C78C5" w:rsidR="00D15F51" w:rsidRPr="008E7E5A" w:rsidRDefault="00D15F51" w:rsidP="00D15F51">
      <w:pPr>
        <w:jc w:val="both"/>
        <w:rPr>
          <w:rFonts w:ascii="Arial" w:hAnsi="Arial" w:cs="Arial"/>
        </w:rPr>
      </w:pPr>
      <w:r w:rsidRPr="008E7E5A">
        <w:rPr>
          <w:rFonts w:ascii="Arial" w:hAnsi="Arial" w:cs="Arial"/>
        </w:rPr>
        <w:t xml:space="preserve">With 2025 as a base year: </w:t>
      </w:r>
    </w:p>
    <w:p w14:paraId="47FC86B1" w14:textId="59E5F4D3" w:rsidR="00D15F51" w:rsidRPr="008E7E5A" w:rsidRDefault="0073006E" w:rsidP="00507A44">
      <w:pPr>
        <w:jc w:val="both"/>
        <w:rPr>
          <w:rFonts w:ascii="Arial" w:hAnsi="Arial" w:cs="Arial"/>
          <w:b/>
          <w:bCs/>
          <w:i/>
          <w:iCs/>
          <w:sz w:val="20"/>
          <w:szCs w:val="20"/>
        </w:rPr>
      </w:pPr>
      <w:r w:rsidRPr="008E7E5A">
        <w:rPr>
          <w:rFonts w:ascii="Arial" w:hAnsi="Arial" w:cs="Arial"/>
          <w:b/>
          <w:bCs/>
          <w:i/>
          <w:iCs/>
          <w:noProof/>
          <w:sz w:val="20"/>
          <w:szCs w:val="20"/>
        </w:rPr>
        <mc:AlternateContent>
          <mc:Choice Requires="wps">
            <w:drawing>
              <wp:anchor distT="0" distB="0" distL="114300" distR="114300" simplePos="0" relativeHeight="251658241" behindDoc="0" locked="0" layoutInCell="1" allowOverlap="1" wp14:anchorId="03B6115D" wp14:editId="338141DA">
                <wp:simplePos x="0" y="0"/>
                <wp:positionH relativeFrom="column">
                  <wp:posOffset>1772530</wp:posOffset>
                </wp:positionH>
                <wp:positionV relativeFrom="paragraph">
                  <wp:posOffset>208085</wp:posOffset>
                </wp:positionV>
                <wp:extent cx="1751428" cy="27402"/>
                <wp:effectExtent l="0" t="0" r="20320" b="29845"/>
                <wp:wrapNone/>
                <wp:docPr id="1201077688" name="Straight Connector 17"/>
                <wp:cNvGraphicFramePr/>
                <a:graphic xmlns:a="http://schemas.openxmlformats.org/drawingml/2006/main">
                  <a:graphicData uri="http://schemas.microsoft.com/office/word/2010/wordprocessingShape">
                    <wps:wsp>
                      <wps:cNvCnPr/>
                      <wps:spPr>
                        <a:xfrm flipV="1">
                          <a:off x="0" y="0"/>
                          <a:ext cx="1751428" cy="27402"/>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706EB20B">
              <v:line id="Straight Connector 17"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pt" from="139.55pt,16.4pt" to="277.45pt,18.55pt" w14:anchorId="5617F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gqrgEAALMDAAAOAAAAZHJzL2Uyb0RvYy54bWysU01P3DAUvCPxHyzfWScRdFG0WQ4guCCK&#10;2sLdOM8bS/6S7W6y/77PzhJQQapa9WI59pvxzLyXzdVkNNlDiMrZjtarihKwwvXK7jr69OP27JKS&#10;mLjtuXYWOnqASK+2pyeb0bfQuMHpHgJBEhvb0Xd0SMm3jEUxgOFx5TxYvJQuGJ7wM+xYH/iI7Eaz&#10;pqq+sNGF3gcnIEY8vZkv6bbwSwkifZUyQiK6o6gtlTWU9SWvbLvh7S5wPyhxlMH/QYXhyuKjC9UN&#10;T5z8DOoDlVEiuOhkWglnmJNSCSge0E1d/ebm+8A9FC8YTvRLTPH/0YqH/bV9DBjD6GMb/WPILiYZ&#10;DJFa+WfsafGFSslUYjssscGUiMDDen1RnzfYaIF3zfq8anKsbKbJdD7EdAfOkLzpqFY2u+It39/H&#10;NJe+luRjbcmIrM26Kv1hb8rKLh00zGXfQBLVZwWFrgwNXOtA9hzbzYUAm+qjFm2xOsOk0noBVn8G&#10;HuszFMpA/Q14QZSXnU0L2Cjrwmevp+lVspzrMcp3vvP2xfWH0rNygZNR0j5OcR69998F/vavbX8B&#10;AAD//wMAUEsDBBQABgAIAAAAIQCyK5t84QAAAAkBAAAPAAAAZHJzL2Rvd25yZXYueG1sTI/BTsMw&#10;DIbvSLxDZCRuLG3HGC1Np1GE0AQS2gYHbmlr2orGqZJsK2+POcHR9qff35+vJjOIIzrfW1IQzyIQ&#10;SLVtemoVvO0fr25B+KCp0YMlVPCNHlbF+Vmus8aeaIvHXWgFh5DPtIIuhDGT0tcdGu1ndkTi26d1&#10;RgceXSsbp08cbgaZRNGNNLon/tDpEcsO66/dwSh4+Hh+rcrNy3ru9un9tnzq3ydXKnV5Ma3vQASc&#10;wh8Mv/qsDgU7VfZAjReDgmSZxowqmCdcgYHF4joFUfFiGYMscvm/QfEDAAD//wMAUEsBAi0AFAAG&#10;AAgAAAAhALaDOJL+AAAA4QEAABMAAAAAAAAAAAAAAAAAAAAAAFtDb250ZW50X1R5cGVzXS54bWxQ&#10;SwECLQAUAAYACAAAACEAOP0h/9YAAACUAQAACwAAAAAAAAAAAAAAAAAvAQAAX3JlbHMvLnJlbHNQ&#10;SwECLQAUAAYACAAAACEAgqvoKq4BAACzAwAADgAAAAAAAAAAAAAAAAAuAgAAZHJzL2Uyb0RvYy54&#10;bWxQSwECLQAUAAYACAAAACEAsiubfOEAAAAJAQAADwAAAAAAAAAAAAAAAAAIBAAAZHJzL2Rvd25y&#10;ZXYueG1sUEsFBgAAAAAEAAQA8wAAABYFAAAAAA==&#10;">
                <v:stroke joinstyle="miter"/>
              </v:line>
            </w:pict>
          </mc:Fallback>
        </mc:AlternateContent>
      </w:r>
      <w:r w:rsidR="00D15F51" w:rsidRPr="008E7E5A">
        <w:rPr>
          <w:rFonts w:ascii="Arial" w:hAnsi="Arial" w:cs="Arial"/>
          <w:b/>
          <w:bCs/>
          <w:i/>
          <w:iCs/>
          <w:sz w:val="20"/>
          <w:szCs w:val="20"/>
        </w:rPr>
        <w:t>Cost Per Admission</w:t>
      </w:r>
      <w:r w:rsidRPr="008E7E5A">
        <w:rPr>
          <w:rFonts w:ascii="Arial" w:hAnsi="Arial" w:cs="Arial"/>
          <w:b/>
          <w:bCs/>
          <w:i/>
          <w:iCs/>
          <w:sz w:val="20"/>
          <w:szCs w:val="20"/>
        </w:rPr>
        <w:t xml:space="preserve"> (CPA) </w:t>
      </w:r>
      <w:r w:rsidR="00D15F51" w:rsidRPr="008E7E5A">
        <w:rPr>
          <w:rFonts w:ascii="Arial" w:hAnsi="Arial" w:cs="Arial"/>
          <w:b/>
          <w:bCs/>
          <w:i/>
          <w:iCs/>
          <w:sz w:val="20"/>
          <w:szCs w:val="20"/>
        </w:rPr>
        <w:t xml:space="preserve"> = </w:t>
      </w:r>
      <w:r w:rsidRPr="008E7E5A">
        <w:rPr>
          <w:rFonts w:ascii="Arial" w:hAnsi="Arial" w:cs="Arial"/>
          <w:b/>
          <w:bCs/>
          <w:i/>
          <w:iCs/>
          <w:sz w:val="20"/>
          <w:szCs w:val="20"/>
        </w:rPr>
        <w:t xml:space="preserve">       </w:t>
      </w:r>
      <w:r w:rsidR="00D15F51" w:rsidRPr="008E7E5A">
        <w:rPr>
          <w:rFonts w:ascii="Arial" w:hAnsi="Arial" w:cs="Arial"/>
          <w:b/>
          <w:bCs/>
          <w:i/>
          <w:iCs/>
          <w:sz w:val="20"/>
          <w:szCs w:val="20"/>
        </w:rPr>
        <w:t>Operating Expenditure * 40%</w:t>
      </w:r>
    </w:p>
    <w:p w14:paraId="375BEDA2" w14:textId="13839868" w:rsidR="0073006E" w:rsidRPr="008E7E5A" w:rsidRDefault="0073006E" w:rsidP="00507A44">
      <w:pPr>
        <w:jc w:val="both"/>
        <w:rPr>
          <w:rFonts w:ascii="Arial" w:hAnsi="Arial" w:cs="Arial"/>
        </w:rPr>
      </w:pPr>
      <w:r w:rsidRPr="008E7E5A">
        <w:rPr>
          <w:rFonts w:ascii="Arial" w:hAnsi="Arial" w:cs="Arial"/>
          <w:b/>
          <w:bCs/>
          <w:i/>
          <w:iCs/>
          <w:sz w:val="20"/>
          <w:szCs w:val="20"/>
        </w:rPr>
        <w:tab/>
      </w:r>
      <w:r w:rsidRPr="008E7E5A">
        <w:rPr>
          <w:rFonts w:ascii="Arial" w:hAnsi="Arial" w:cs="Arial"/>
          <w:b/>
          <w:bCs/>
          <w:i/>
          <w:iCs/>
          <w:sz w:val="20"/>
          <w:szCs w:val="20"/>
        </w:rPr>
        <w:tab/>
      </w:r>
      <w:r w:rsidRPr="008E7E5A">
        <w:rPr>
          <w:rFonts w:ascii="Arial" w:hAnsi="Arial" w:cs="Arial"/>
          <w:b/>
          <w:bCs/>
          <w:i/>
          <w:iCs/>
          <w:sz w:val="20"/>
          <w:szCs w:val="20"/>
        </w:rPr>
        <w:tab/>
      </w:r>
      <w:r w:rsidRPr="008E7E5A">
        <w:rPr>
          <w:rFonts w:ascii="Arial" w:hAnsi="Arial" w:cs="Arial"/>
          <w:b/>
          <w:bCs/>
          <w:i/>
          <w:iCs/>
          <w:sz w:val="20"/>
          <w:szCs w:val="20"/>
        </w:rPr>
        <w:tab/>
        <w:t xml:space="preserve">             Bed Demand Days </w:t>
      </w:r>
      <w:r w:rsidRPr="008E7E5A">
        <w:rPr>
          <w:rFonts w:ascii="Arial" w:hAnsi="Arial" w:cs="Arial"/>
          <w:b/>
          <w:bCs/>
          <w:i/>
          <w:iCs/>
          <w:sz w:val="20"/>
          <w:szCs w:val="20"/>
        </w:rPr>
        <w:tab/>
      </w:r>
      <w:r w:rsidRPr="008E7E5A">
        <w:rPr>
          <w:rFonts w:ascii="Arial" w:hAnsi="Arial" w:cs="Arial"/>
          <w:sz w:val="20"/>
          <w:szCs w:val="20"/>
        </w:rPr>
        <w:tab/>
      </w:r>
      <w:r w:rsidRPr="008E7E5A">
        <w:rPr>
          <w:rFonts w:ascii="Arial" w:hAnsi="Arial" w:cs="Arial"/>
        </w:rPr>
        <w:tab/>
      </w:r>
      <w:r w:rsidRPr="008E7E5A">
        <w:rPr>
          <w:rFonts w:ascii="Arial" w:hAnsi="Arial" w:cs="Arial"/>
        </w:rPr>
        <w:tab/>
      </w:r>
      <w:r w:rsidRPr="008E7E5A">
        <w:rPr>
          <w:rFonts w:ascii="Arial" w:hAnsi="Arial" w:cs="Arial"/>
        </w:rPr>
        <w:tab/>
      </w:r>
    </w:p>
    <w:p w14:paraId="67B4617A" w14:textId="0DD73928" w:rsidR="0073006E" w:rsidRPr="008E7E5A" w:rsidRDefault="0073006E" w:rsidP="00863BDD">
      <w:pPr>
        <w:rPr>
          <w:rFonts w:ascii="Arial" w:hAnsi="Arial" w:cs="Arial"/>
        </w:rPr>
      </w:pPr>
      <w:r w:rsidRPr="008E7E5A">
        <w:rPr>
          <w:rFonts w:ascii="Arial" w:hAnsi="Arial" w:cs="Arial"/>
        </w:rPr>
        <w:t>For years 2026 to 2035:</w:t>
      </w:r>
    </w:p>
    <w:p w14:paraId="2E67758B" w14:textId="29E35C94" w:rsidR="0073006E" w:rsidRPr="008E7E5A" w:rsidRDefault="0073006E" w:rsidP="00863BDD">
      <w:pPr>
        <w:rPr>
          <w:rFonts w:ascii="Arial" w:hAnsi="Arial" w:cs="Arial"/>
          <w:b/>
          <w:bCs/>
          <w:i/>
          <w:iCs/>
        </w:rPr>
      </w:pPr>
      <w:r w:rsidRPr="008E7E5A">
        <w:rPr>
          <w:rFonts w:ascii="Arial" w:hAnsi="Arial" w:cs="Arial"/>
          <w:b/>
          <w:bCs/>
          <w:i/>
          <w:iCs/>
        </w:rPr>
        <w:t>Annual Healthcare</w:t>
      </w:r>
      <w:r w:rsidR="00FE6622" w:rsidRPr="008E7E5A">
        <w:rPr>
          <w:rFonts w:ascii="Arial" w:hAnsi="Arial" w:cs="Arial"/>
          <w:b/>
          <w:bCs/>
          <w:i/>
          <w:iCs/>
        </w:rPr>
        <w:t xml:space="preserve"> </w:t>
      </w:r>
      <w:r w:rsidR="006B3CD7" w:rsidRPr="008E7E5A">
        <w:rPr>
          <w:rFonts w:ascii="Arial" w:hAnsi="Arial" w:cs="Arial"/>
          <w:b/>
          <w:bCs/>
          <w:i/>
          <w:iCs/>
        </w:rPr>
        <w:t>Costs</w:t>
      </w:r>
      <w:r w:rsidRPr="008E7E5A">
        <w:rPr>
          <w:rFonts w:ascii="Arial" w:hAnsi="Arial" w:cs="Arial"/>
          <w:b/>
          <w:bCs/>
          <w:i/>
          <w:iCs/>
        </w:rPr>
        <w:t xml:space="preserve"> = CPA * Bed Demand Days  * Medical Inflation Rate</w:t>
      </w:r>
    </w:p>
    <w:p w14:paraId="26513A79" w14:textId="3D01684E" w:rsidR="00863BDD" w:rsidRPr="008E7E5A" w:rsidRDefault="007E6771" w:rsidP="007E6771">
      <w:pPr>
        <w:pStyle w:val="Heading2"/>
        <w:rPr>
          <w:rFonts w:ascii="Arial" w:hAnsi="Arial" w:cs="Arial"/>
          <w:sz w:val="28"/>
          <w:szCs w:val="28"/>
        </w:rPr>
      </w:pPr>
      <w:bookmarkStart w:id="16" w:name="_Toc225459978"/>
      <w:r w:rsidRPr="008E7E5A">
        <w:rPr>
          <w:rFonts w:ascii="Arial" w:hAnsi="Arial" w:cs="Arial"/>
          <w:sz w:val="28"/>
          <w:szCs w:val="28"/>
        </w:rPr>
        <w:t>3.3</w:t>
      </w:r>
      <w:r w:rsidRPr="008E7E5A">
        <w:rPr>
          <w:rFonts w:ascii="Arial" w:hAnsi="Arial" w:cs="Arial"/>
        </w:rPr>
        <w:tab/>
      </w:r>
      <w:r w:rsidR="00863BDD" w:rsidRPr="008E7E5A">
        <w:rPr>
          <w:rFonts w:ascii="Arial" w:hAnsi="Arial" w:cs="Arial"/>
          <w:sz w:val="28"/>
          <w:szCs w:val="28"/>
        </w:rPr>
        <w:t>Sensitivity Analysis</w:t>
      </w:r>
      <w:bookmarkEnd w:id="16"/>
    </w:p>
    <w:p w14:paraId="153CFF43" w14:textId="4979A72B" w:rsidR="00863BDD" w:rsidRPr="008E7E5A" w:rsidRDefault="00863BDD" w:rsidP="00794365">
      <w:pPr>
        <w:jc w:val="both"/>
        <w:rPr>
          <w:rFonts w:ascii="Arial" w:hAnsi="Arial" w:cs="Arial"/>
        </w:rPr>
      </w:pPr>
      <w:r w:rsidRPr="008E7E5A">
        <w:rPr>
          <w:rFonts w:ascii="Arial" w:hAnsi="Arial" w:cs="Arial"/>
        </w:rPr>
        <w:t xml:space="preserve">One-variable sensitivity testing was applied using </w:t>
      </w:r>
      <w:r w:rsidR="00551163" w:rsidRPr="008E7E5A">
        <w:rPr>
          <w:rFonts w:ascii="Arial" w:hAnsi="Arial" w:cs="Arial"/>
        </w:rPr>
        <w:t>inflation rates</w:t>
      </w:r>
      <w:r w:rsidRPr="008E7E5A">
        <w:rPr>
          <w:rFonts w:ascii="Arial" w:hAnsi="Arial" w:cs="Arial"/>
        </w:rPr>
        <w:t xml:space="preserve"> versus </w:t>
      </w:r>
      <w:r w:rsidR="00FE6622" w:rsidRPr="008E7E5A">
        <w:rPr>
          <w:rFonts w:ascii="Arial" w:hAnsi="Arial" w:cs="Arial"/>
        </w:rPr>
        <w:t xml:space="preserve">healthcare </w:t>
      </w:r>
      <w:r w:rsidR="00551163" w:rsidRPr="008E7E5A">
        <w:rPr>
          <w:rFonts w:ascii="Arial" w:hAnsi="Arial" w:cs="Arial"/>
        </w:rPr>
        <w:t xml:space="preserve">costs, </w:t>
      </w:r>
      <w:r w:rsidRPr="008E7E5A">
        <w:rPr>
          <w:rFonts w:ascii="Arial" w:hAnsi="Arial" w:cs="Arial"/>
        </w:rPr>
        <w:t>using 2025 as a base year and variable inflation rates from 1% to 8%.</w:t>
      </w:r>
    </w:p>
    <w:p w14:paraId="4FFFDCAE" w14:textId="3E6AE3DA" w:rsidR="00071F4D" w:rsidRPr="008E7E5A" w:rsidRDefault="00071F4D" w:rsidP="00071F4D">
      <w:pPr>
        <w:jc w:val="center"/>
        <w:rPr>
          <w:rFonts w:ascii="Arial" w:hAnsi="Arial" w:cs="Arial"/>
        </w:rPr>
      </w:pPr>
      <w:r w:rsidRPr="008E7E5A">
        <w:rPr>
          <w:rFonts w:ascii="Arial" w:hAnsi="Arial" w:cs="Arial"/>
          <w:noProof/>
        </w:rPr>
        <w:drawing>
          <wp:inline distT="0" distB="0" distL="0" distR="0" wp14:anchorId="1D25D8EE" wp14:editId="2873BADE">
            <wp:extent cx="3495554" cy="2103134"/>
            <wp:effectExtent l="0" t="0" r="0" b="0"/>
            <wp:docPr id="55055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2772" cy="2113493"/>
                    </a:xfrm>
                    <a:prstGeom prst="rect">
                      <a:avLst/>
                    </a:prstGeom>
                    <a:noFill/>
                    <a:ln>
                      <a:noFill/>
                    </a:ln>
                  </pic:spPr>
                </pic:pic>
              </a:graphicData>
            </a:graphic>
          </wp:inline>
        </w:drawing>
      </w:r>
    </w:p>
    <w:p w14:paraId="4EE08FA4" w14:textId="4809DF2C" w:rsidR="00794365" w:rsidRPr="008E7E5A" w:rsidRDefault="00F240ED" w:rsidP="00794365">
      <w:pPr>
        <w:jc w:val="center"/>
        <w:rPr>
          <w:rFonts w:ascii="Arial" w:hAnsi="Arial" w:cs="Arial"/>
          <w:sz w:val="16"/>
          <w:szCs w:val="16"/>
        </w:rPr>
      </w:pPr>
      <w:r w:rsidRPr="008E7E5A">
        <w:rPr>
          <w:rFonts w:ascii="Arial" w:hAnsi="Arial" w:cs="Arial"/>
          <w:sz w:val="16"/>
          <w:szCs w:val="16"/>
        </w:rPr>
        <w:t xml:space="preserve">Figure </w:t>
      </w:r>
      <w:r w:rsidR="0009058D" w:rsidRPr="008E7E5A">
        <w:rPr>
          <w:rFonts w:ascii="Arial" w:hAnsi="Arial" w:cs="Arial"/>
          <w:sz w:val="16"/>
          <w:szCs w:val="16"/>
        </w:rPr>
        <w:t>7</w:t>
      </w:r>
      <w:r w:rsidRPr="008E7E5A">
        <w:rPr>
          <w:rFonts w:ascii="Arial" w:hAnsi="Arial" w:cs="Arial"/>
          <w:sz w:val="16"/>
          <w:szCs w:val="16"/>
        </w:rPr>
        <w:t xml:space="preserve"> </w:t>
      </w:r>
      <w:r w:rsidR="00794365" w:rsidRPr="008E7E5A">
        <w:rPr>
          <w:rFonts w:ascii="Arial" w:hAnsi="Arial" w:cs="Arial"/>
          <w:sz w:val="16"/>
          <w:szCs w:val="16"/>
        </w:rPr>
        <w:t>One-Way Sensitivity Test</w:t>
      </w:r>
    </w:p>
    <w:p w14:paraId="1C75269E" w14:textId="1F033627" w:rsidR="007D07EF" w:rsidRPr="008E7E5A" w:rsidRDefault="00863BDD" w:rsidP="00794365">
      <w:pPr>
        <w:jc w:val="both"/>
        <w:rPr>
          <w:rFonts w:ascii="Arial" w:hAnsi="Arial" w:cs="Arial"/>
        </w:rPr>
      </w:pPr>
      <w:r w:rsidRPr="008E7E5A">
        <w:rPr>
          <w:rFonts w:ascii="Arial" w:hAnsi="Arial" w:cs="Arial"/>
        </w:rPr>
        <w:t>Two-variable sensitivity testing was applied with the inclusion of an elderly cost multiplier</w:t>
      </w:r>
      <w:r w:rsidR="00794365" w:rsidRPr="008E7E5A">
        <w:rPr>
          <w:rFonts w:ascii="Arial" w:hAnsi="Arial" w:cs="Arial"/>
        </w:rPr>
        <w:t xml:space="preserve"> ranging from 1.</w:t>
      </w:r>
      <w:r w:rsidR="00D67089" w:rsidRPr="008E7E5A">
        <w:rPr>
          <w:rFonts w:ascii="Arial" w:hAnsi="Arial" w:cs="Arial"/>
        </w:rPr>
        <w:t>0</w:t>
      </w:r>
      <w:r w:rsidR="00794365" w:rsidRPr="008E7E5A">
        <w:rPr>
          <w:rFonts w:ascii="Arial" w:hAnsi="Arial" w:cs="Arial"/>
        </w:rPr>
        <w:t xml:space="preserve">  to 2.5</w:t>
      </w:r>
      <w:r w:rsidRPr="008E7E5A">
        <w:rPr>
          <w:rFonts w:ascii="Arial" w:hAnsi="Arial" w:cs="Arial"/>
        </w:rPr>
        <w:t xml:space="preserve">. </w:t>
      </w:r>
    </w:p>
    <w:p w14:paraId="2D338DF4" w14:textId="02166DDA" w:rsidR="00930371" w:rsidRPr="008E7E5A" w:rsidRDefault="00863BDD" w:rsidP="00794365">
      <w:pPr>
        <w:jc w:val="both"/>
        <w:rPr>
          <w:rFonts w:ascii="Arial" w:hAnsi="Arial" w:cs="Arial"/>
        </w:rPr>
      </w:pPr>
      <w:r w:rsidRPr="008E7E5A">
        <w:rPr>
          <w:rFonts w:ascii="Arial" w:hAnsi="Arial" w:cs="Arial"/>
        </w:rPr>
        <w:t xml:space="preserve">Elderly patients receive more subsidies through the Pioneer Generation (born before 1949) and Merdeka Generation (born 1950-1959) schemes </w:t>
      </w:r>
      <w:r w:rsidR="004E2C1E" w:rsidRPr="008E7E5A">
        <w:rPr>
          <w:rFonts w:ascii="Arial" w:hAnsi="Arial" w:cs="Arial"/>
        </w:rPr>
        <w:t xml:space="preserve">as well as </w:t>
      </w:r>
      <w:r w:rsidR="003B7E03" w:rsidRPr="008E7E5A">
        <w:rPr>
          <w:rFonts w:ascii="Arial" w:hAnsi="Arial" w:cs="Arial"/>
        </w:rPr>
        <w:t xml:space="preserve">via </w:t>
      </w:r>
      <w:r w:rsidR="004E2C1E" w:rsidRPr="008E7E5A">
        <w:rPr>
          <w:rFonts w:ascii="Arial" w:hAnsi="Arial" w:cs="Arial"/>
        </w:rPr>
        <w:t xml:space="preserve">employment </w:t>
      </w:r>
      <w:r w:rsidRPr="008E7E5A">
        <w:rPr>
          <w:rFonts w:ascii="Arial" w:hAnsi="Arial" w:cs="Arial"/>
        </w:rPr>
        <w:t>income-based</w:t>
      </w:r>
      <w:r w:rsidR="00930371" w:rsidRPr="008E7E5A">
        <w:rPr>
          <w:rFonts w:ascii="Arial" w:hAnsi="Arial" w:cs="Arial"/>
        </w:rPr>
        <w:t xml:space="preserve"> means testing</w:t>
      </w:r>
      <w:r w:rsidRPr="008E7E5A">
        <w:rPr>
          <w:rFonts w:ascii="Arial" w:hAnsi="Arial" w:cs="Arial"/>
        </w:rPr>
        <w:t>.</w:t>
      </w:r>
    </w:p>
    <w:p w14:paraId="6EC892A8" w14:textId="5ABB128B" w:rsidR="00956324" w:rsidRPr="008E7E5A" w:rsidRDefault="00E734A7" w:rsidP="00794365">
      <w:pPr>
        <w:jc w:val="both"/>
        <w:rPr>
          <w:rFonts w:ascii="Arial" w:hAnsi="Arial" w:cs="Arial"/>
        </w:rPr>
      </w:pPr>
      <w:r w:rsidRPr="008E7E5A">
        <w:rPr>
          <w:rFonts w:ascii="Arial" w:hAnsi="Arial" w:cs="Arial"/>
        </w:rPr>
        <w:t xml:space="preserve">The elderly population </w:t>
      </w:r>
      <w:r w:rsidR="00A55FC4" w:rsidRPr="008E7E5A">
        <w:rPr>
          <w:rFonts w:ascii="Arial" w:hAnsi="Arial" w:cs="Arial"/>
        </w:rPr>
        <w:t xml:space="preserve">can be further segmented into </w:t>
      </w:r>
      <w:r w:rsidR="006C6450" w:rsidRPr="008E7E5A">
        <w:rPr>
          <w:rFonts w:ascii="Arial" w:hAnsi="Arial" w:cs="Arial"/>
        </w:rPr>
        <w:t xml:space="preserve">3 main categories, ‘Young-Old’, ‘Medium-Old’ and ‘Oldest-Old’ (Singapore Department of Statistics, 2020). </w:t>
      </w:r>
      <w:r w:rsidR="00CD0D09" w:rsidRPr="008E7E5A">
        <w:rPr>
          <w:rFonts w:ascii="Arial" w:hAnsi="Arial" w:cs="Arial"/>
        </w:rPr>
        <w:t xml:space="preserve">As multimorbidity </w:t>
      </w:r>
      <w:r w:rsidR="0041377B" w:rsidRPr="008E7E5A">
        <w:rPr>
          <w:rFonts w:ascii="Arial" w:hAnsi="Arial" w:cs="Arial"/>
        </w:rPr>
        <w:t>increase</w:t>
      </w:r>
      <w:r w:rsidR="00D90F4F" w:rsidRPr="008E7E5A">
        <w:rPr>
          <w:rFonts w:ascii="Arial" w:hAnsi="Arial" w:cs="Arial"/>
        </w:rPr>
        <w:t>s</w:t>
      </w:r>
      <w:r w:rsidR="0041377B" w:rsidRPr="008E7E5A">
        <w:rPr>
          <w:rFonts w:ascii="Arial" w:hAnsi="Arial" w:cs="Arial"/>
        </w:rPr>
        <w:t xml:space="preserve"> with age</w:t>
      </w:r>
      <w:r w:rsidR="003E4ED8" w:rsidRPr="008E7E5A">
        <w:rPr>
          <w:rFonts w:ascii="Arial" w:hAnsi="Arial" w:cs="Arial"/>
        </w:rPr>
        <w:t xml:space="preserve"> (Fortin et</w:t>
      </w:r>
      <w:r w:rsidR="004E0211" w:rsidRPr="008E7E5A">
        <w:rPr>
          <w:rFonts w:ascii="Arial" w:hAnsi="Arial" w:cs="Arial"/>
        </w:rPr>
        <w:t xml:space="preserve"> al., 2012), </w:t>
      </w:r>
      <w:r w:rsidR="00A21822" w:rsidRPr="008E7E5A">
        <w:rPr>
          <w:rFonts w:ascii="Arial" w:hAnsi="Arial" w:cs="Arial"/>
        </w:rPr>
        <w:t xml:space="preserve">older sub-groups are likely to incur higher </w:t>
      </w:r>
      <w:r w:rsidR="009761C5" w:rsidRPr="008E7E5A">
        <w:rPr>
          <w:rFonts w:ascii="Arial" w:hAnsi="Arial" w:cs="Arial"/>
        </w:rPr>
        <w:t>hospitalisation costs</w:t>
      </w:r>
      <w:r w:rsidR="007E0CE0" w:rsidRPr="008E7E5A">
        <w:rPr>
          <w:rFonts w:ascii="Arial" w:hAnsi="Arial" w:cs="Arial"/>
        </w:rPr>
        <w:t xml:space="preserve">. </w:t>
      </w:r>
    </w:p>
    <w:p w14:paraId="7898D5FF" w14:textId="4255F532" w:rsidR="004E2C1E" w:rsidRPr="008E7E5A" w:rsidRDefault="00956324" w:rsidP="00794365">
      <w:pPr>
        <w:jc w:val="both"/>
        <w:rPr>
          <w:rFonts w:ascii="Arial" w:hAnsi="Arial" w:cs="Arial"/>
        </w:rPr>
      </w:pPr>
      <w:r w:rsidRPr="008E7E5A">
        <w:rPr>
          <w:rFonts w:ascii="Arial" w:hAnsi="Arial" w:cs="Arial"/>
        </w:rPr>
        <w:t xml:space="preserve">The elderly cost multiplier, applied to hospital expenditure, can </w:t>
      </w:r>
      <w:r w:rsidR="00492D86" w:rsidRPr="008E7E5A">
        <w:rPr>
          <w:rFonts w:ascii="Arial" w:hAnsi="Arial" w:cs="Arial"/>
        </w:rPr>
        <w:t xml:space="preserve">be used to </w:t>
      </w:r>
      <w:r w:rsidR="00F24AB4" w:rsidRPr="008E7E5A">
        <w:rPr>
          <w:rFonts w:ascii="Arial" w:hAnsi="Arial" w:cs="Arial"/>
        </w:rPr>
        <w:t xml:space="preserve">more </w:t>
      </w:r>
      <w:r w:rsidR="00492D86" w:rsidRPr="008E7E5A">
        <w:rPr>
          <w:rFonts w:ascii="Arial" w:hAnsi="Arial" w:cs="Arial"/>
        </w:rPr>
        <w:t>accurately reflect the</w:t>
      </w:r>
      <w:r w:rsidR="00F516D8" w:rsidRPr="008E7E5A">
        <w:rPr>
          <w:rFonts w:ascii="Arial" w:hAnsi="Arial" w:cs="Arial"/>
        </w:rPr>
        <w:t xml:space="preserve"> </w:t>
      </w:r>
      <w:r w:rsidR="000401AC" w:rsidRPr="008E7E5A">
        <w:rPr>
          <w:rFonts w:ascii="Arial" w:hAnsi="Arial" w:cs="Arial"/>
        </w:rPr>
        <w:t xml:space="preserve">cost burden of </w:t>
      </w:r>
      <w:r w:rsidR="00484698" w:rsidRPr="008E7E5A">
        <w:rPr>
          <w:rFonts w:ascii="Arial" w:hAnsi="Arial" w:cs="Arial"/>
        </w:rPr>
        <w:t xml:space="preserve">the elderly population </w:t>
      </w:r>
      <w:r w:rsidR="00492D86" w:rsidRPr="008E7E5A">
        <w:rPr>
          <w:rFonts w:ascii="Arial" w:hAnsi="Arial" w:cs="Arial"/>
        </w:rPr>
        <w:t xml:space="preserve">over time. </w:t>
      </w:r>
    </w:p>
    <w:p w14:paraId="01FD1709" w14:textId="3665DB7A" w:rsidR="00794365" w:rsidRPr="008E7E5A" w:rsidRDefault="00BB6B95" w:rsidP="00794365">
      <w:pPr>
        <w:jc w:val="both"/>
        <w:rPr>
          <w:rFonts w:ascii="Arial" w:hAnsi="Arial" w:cs="Arial"/>
        </w:rPr>
      </w:pPr>
      <w:r w:rsidRPr="008E7E5A">
        <w:rPr>
          <w:rFonts w:ascii="Arial" w:hAnsi="Arial" w:cs="Arial"/>
          <w:noProof/>
        </w:rPr>
        <w:drawing>
          <wp:inline distT="0" distB="0" distL="0" distR="0" wp14:anchorId="7CA1AB50" wp14:editId="7B3BD189">
            <wp:extent cx="5731510" cy="553085"/>
            <wp:effectExtent l="0" t="0" r="2540" b="0"/>
            <wp:docPr id="142917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73885" name=""/>
                    <pic:cNvPicPr/>
                  </pic:nvPicPr>
                  <pic:blipFill>
                    <a:blip r:embed="rId24"/>
                    <a:stretch>
                      <a:fillRect/>
                    </a:stretch>
                  </pic:blipFill>
                  <pic:spPr>
                    <a:xfrm>
                      <a:off x="0" y="0"/>
                      <a:ext cx="5731510" cy="553085"/>
                    </a:xfrm>
                    <a:prstGeom prst="rect">
                      <a:avLst/>
                    </a:prstGeom>
                  </pic:spPr>
                </pic:pic>
              </a:graphicData>
            </a:graphic>
          </wp:inline>
        </w:drawing>
      </w:r>
    </w:p>
    <w:p w14:paraId="42B1EAEB" w14:textId="5A9BCC82" w:rsidR="00794365" w:rsidRPr="008E7E5A" w:rsidRDefault="00794365" w:rsidP="00794365">
      <w:pPr>
        <w:pStyle w:val="Heading2"/>
        <w:rPr>
          <w:rFonts w:ascii="Arial" w:hAnsi="Arial" w:cs="Arial"/>
          <w:sz w:val="28"/>
          <w:szCs w:val="28"/>
        </w:rPr>
      </w:pPr>
      <w:bookmarkStart w:id="17" w:name="_Toc225459979"/>
      <w:r w:rsidRPr="008E7E5A">
        <w:rPr>
          <w:rFonts w:ascii="Arial" w:hAnsi="Arial" w:cs="Arial"/>
          <w:sz w:val="28"/>
          <w:szCs w:val="28"/>
        </w:rPr>
        <w:lastRenderedPageBreak/>
        <w:t>3.4</w:t>
      </w:r>
      <w:r w:rsidRPr="008E7E5A">
        <w:rPr>
          <w:rFonts w:ascii="Arial" w:hAnsi="Arial" w:cs="Arial"/>
        </w:rPr>
        <w:tab/>
      </w:r>
      <w:r w:rsidRPr="008E7E5A">
        <w:rPr>
          <w:rFonts w:ascii="Arial" w:hAnsi="Arial" w:cs="Arial"/>
          <w:sz w:val="28"/>
          <w:szCs w:val="28"/>
        </w:rPr>
        <w:t>Conclusion</w:t>
      </w:r>
      <w:bookmarkEnd w:id="17"/>
    </w:p>
    <w:p w14:paraId="7E4A4D79" w14:textId="1FC27250" w:rsidR="009B74A3" w:rsidRPr="008E7E5A" w:rsidRDefault="009B74A3" w:rsidP="009B74A3">
      <w:pPr>
        <w:jc w:val="both"/>
        <w:rPr>
          <w:rFonts w:ascii="Arial" w:hAnsi="Arial" w:cs="Arial"/>
        </w:rPr>
      </w:pPr>
      <w:r w:rsidRPr="008E7E5A">
        <w:rPr>
          <w:rFonts w:ascii="Arial" w:hAnsi="Arial" w:cs="Arial"/>
        </w:rPr>
        <w:t xml:space="preserve">One-way sensitivity analysis shows </w:t>
      </w:r>
      <w:r w:rsidR="00717736" w:rsidRPr="008E7E5A">
        <w:rPr>
          <w:rFonts w:ascii="Arial" w:hAnsi="Arial" w:cs="Arial"/>
        </w:rPr>
        <w:t>inflation rate is a highly sensitive driver of healthcare costs</w:t>
      </w:r>
      <w:r w:rsidR="00C90954" w:rsidRPr="008E7E5A">
        <w:rPr>
          <w:rFonts w:ascii="Arial" w:hAnsi="Arial" w:cs="Arial"/>
        </w:rPr>
        <w:t xml:space="preserve"> which </w:t>
      </w:r>
      <w:r w:rsidR="00E97C75" w:rsidRPr="008E7E5A">
        <w:rPr>
          <w:rFonts w:ascii="Arial" w:hAnsi="Arial" w:cs="Arial"/>
        </w:rPr>
        <w:t xml:space="preserve">rise sharply and non-linearly as inflation increases. </w:t>
      </w:r>
      <w:r w:rsidRPr="008E7E5A">
        <w:rPr>
          <w:rFonts w:ascii="Arial" w:hAnsi="Arial" w:cs="Arial"/>
        </w:rPr>
        <w:t>Adding the elderly cost multiplier captures the compounding cost burden of an ageing population, as older cohorts incur higher hospitalisation costs due to multimorbidity and attract greater subsidies.</w:t>
      </w:r>
    </w:p>
    <w:p w14:paraId="038B123F" w14:textId="2B9AA6AA" w:rsidR="009B74A3" w:rsidRPr="008E7E5A" w:rsidRDefault="35A5488D" w:rsidP="009B74A3">
      <w:pPr>
        <w:jc w:val="both"/>
        <w:rPr>
          <w:rFonts w:ascii="Arial" w:hAnsi="Arial" w:cs="Arial"/>
        </w:rPr>
      </w:pPr>
      <w:r w:rsidRPr="008E7E5A">
        <w:rPr>
          <w:rFonts w:ascii="Arial" w:hAnsi="Arial" w:cs="Arial"/>
        </w:rPr>
        <w:t xml:space="preserve">Healthcare costs </w:t>
      </w:r>
      <w:r w:rsidR="4E55BB10" w:rsidRPr="008E7E5A">
        <w:rPr>
          <w:rFonts w:ascii="Arial" w:hAnsi="Arial" w:cs="Arial"/>
        </w:rPr>
        <w:t>are</w:t>
      </w:r>
      <w:r w:rsidR="009B74A3" w:rsidRPr="008E7E5A">
        <w:rPr>
          <w:rFonts w:ascii="Arial" w:hAnsi="Arial" w:cs="Arial"/>
        </w:rPr>
        <w:t xml:space="preserve"> highly sensitive to both variables, tripling from the </w:t>
      </w:r>
      <w:r w:rsidR="26445141" w:rsidRPr="008E7E5A">
        <w:rPr>
          <w:rFonts w:ascii="Arial" w:hAnsi="Arial" w:cs="Arial"/>
        </w:rPr>
        <w:t>best-case</w:t>
      </w:r>
      <w:r w:rsidR="10F41669" w:rsidRPr="008E7E5A">
        <w:rPr>
          <w:rFonts w:ascii="Arial" w:hAnsi="Arial" w:cs="Arial"/>
        </w:rPr>
        <w:t xml:space="preserve"> scenario</w:t>
      </w:r>
      <w:r w:rsidR="009B74A3" w:rsidRPr="008E7E5A">
        <w:rPr>
          <w:rFonts w:ascii="Arial" w:hAnsi="Arial" w:cs="Arial"/>
        </w:rPr>
        <w:t xml:space="preserve"> (low inflation, low multiplier) to the </w:t>
      </w:r>
      <w:r w:rsidR="502AE72F" w:rsidRPr="008E7E5A">
        <w:rPr>
          <w:rFonts w:ascii="Arial" w:hAnsi="Arial" w:cs="Arial"/>
        </w:rPr>
        <w:t>worst-case</w:t>
      </w:r>
      <w:r w:rsidR="009B74A3" w:rsidRPr="008E7E5A">
        <w:rPr>
          <w:rFonts w:ascii="Arial" w:hAnsi="Arial" w:cs="Arial"/>
        </w:rPr>
        <w:t xml:space="preserve"> </w:t>
      </w:r>
      <w:r w:rsidR="4957EB67" w:rsidRPr="008E7E5A">
        <w:rPr>
          <w:rFonts w:ascii="Arial" w:hAnsi="Arial" w:cs="Arial"/>
        </w:rPr>
        <w:t>scenario</w:t>
      </w:r>
      <w:r w:rsidR="6DE99E29" w:rsidRPr="008E7E5A">
        <w:rPr>
          <w:rFonts w:ascii="Arial" w:hAnsi="Arial" w:cs="Arial"/>
        </w:rPr>
        <w:t xml:space="preserve"> </w:t>
      </w:r>
      <w:r w:rsidR="009B74A3" w:rsidRPr="008E7E5A">
        <w:rPr>
          <w:rFonts w:ascii="Arial" w:hAnsi="Arial" w:cs="Arial"/>
        </w:rPr>
        <w:t xml:space="preserve">(high inflation, high multiplier). Even holding inflation constant at 2.7%, costs are projected </w:t>
      </w:r>
      <w:r w:rsidR="57735C74" w:rsidRPr="008E7E5A">
        <w:rPr>
          <w:rFonts w:ascii="Arial" w:hAnsi="Arial" w:cs="Arial"/>
        </w:rPr>
        <w:t xml:space="preserve">by </w:t>
      </w:r>
      <w:r w:rsidR="009B74A3" w:rsidRPr="008E7E5A">
        <w:rPr>
          <w:rFonts w:ascii="Arial" w:hAnsi="Arial" w:cs="Arial"/>
        </w:rPr>
        <w:t>30% from S</w:t>
      </w:r>
      <w:r w:rsidR="57735C74" w:rsidRPr="008E7E5A">
        <w:rPr>
          <w:rFonts w:ascii="Arial" w:hAnsi="Arial" w:cs="Arial"/>
        </w:rPr>
        <w:t>$</w:t>
      </w:r>
      <w:r w:rsidR="009B74A3" w:rsidRPr="008E7E5A">
        <w:rPr>
          <w:rFonts w:ascii="Arial" w:hAnsi="Arial" w:cs="Arial"/>
        </w:rPr>
        <w:t>7.</w:t>
      </w:r>
      <w:r w:rsidR="5B92995E" w:rsidRPr="008E7E5A">
        <w:rPr>
          <w:rFonts w:ascii="Arial" w:hAnsi="Arial" w:cs="Arial"/>
        </w:rPr>
        <w:t>5</w:t>
      </w:r>
      <w:r w:rsidR="57735C74" w:rsidRPr="008E7E5A">
        <w:rPr>
          <w:rFonts w:ascii="Arial" w:hAnsi="Arial" w:cs="Arial"/>
        </w:rPr>
        <w:t xml:space="preserve"> billion</w:t>
      </w:r>
      <w:r w:rsidR="009B74A3" w:rsidRPr="008E7E5A">
        <w:rPr>
          <w:rFonts w:ascii="Arial" w:hAnsi="Arial" w:cs="Arial"/>
        </w:rPr>
        <w:t xml:space="preserve"> to </w:t>
      </w:r>
      <w:r w:rsidR="57735C74" w:rsidRPr="008E7E5A">
        <w:rPr>
          <w:rFonts w:ascii="Arial" w:hAnsi="Arial" w:cs="Arial"/>
        </w:rPr>
        <w:t>S$</w:t>
      </w:r>
      <w:r w:rsidR="009B74A3" w:rsidRPr="008E7E5A">
        <w:rPr>
          <w:rFonts w:ascii="Arial" w:hAnsi="Arial" w:cs="Arial"/>
        </w:rPr>
        <w:t>9.8</w:t>
      </w:r>
      <w:r w:rsidR="57735C74" w:rsidRPr="008E7E5A">
        <w:rPr>
          <w:rFonts w:ascii="Arial" w:hAnsi="Arial" w:cs="Arial"/>
        </w:rPr>
        <w:t xml:space="preserve"> billion</w:t>
      </w:r>
      <w:r w:rsidR="0D527954" w:rsidRPr="008E7E5A">
        <w:rPr>
          <w:rFonts w:ascii="Arial" w:hAnsi="Arial" w:cs="Arial"/>
        </w:rPr>
        <w:t xml:space="preserve">. </w:t>
      </w:r>
    </w:p>
    <w:p w14:paraId="4867165C" w14:textId="617667B2" w:rsidR="00863BDD" w:rsidRPr="008E7E5A" w:rsidRDefault="00863BDD" w:rsidP="007E6771">
      <w:pPr>
        <w:pStyle w:val="Heading1"/>
        <w:rPr>
          <w:rFonts w:ascii="Arial" w:hAnsi="Arial" w:cs="Arial"/>
        </w:rPr>
      </w:pPr>
      <w:bookmarkStart w:id="18" w:name="_Toc225459980"/>
      <w:r w:rsidRPr="008E7E5A">
        <w:rPr>
          <w:rFonts w:ascii="Arial" w:hAnsi="Arial" w:cs="Arial"/>
          <w:sz w:val="36"/>
          <w:szCs w:val="36"/>
        </w:rPr>
        <w:t>Module 4</w:t>
      </w:r>
      <w:r w:rsidR="008E7E5A">
        <w:rPr>
          <w:rFonts w:ascii="Arial" w:hAnsi="Arial" w:cs="Arial"/>
        </w:rPr>
        <w:t xml:space="preserve"> </w:t>
      </w:r>
      <w:r w:rsidRPr="008E7E5A">
        <w:rPr>
          <w:rFonts w:ascii="Arial" w:hAnsi="Arial" w:cs="Arial"/>
          <w:sz w:val="36"/>
          <w:szCs w:val="36"/>
        </w:rPr>
        <w:t>Financing and Subsidy Sustainabili</w:t>
      </w:r>
      <w:r w:rsidRPr="008E7E5A">
        <w:rPr>
          <w:rFonts w:ascii="Arial" w:hAnsi="Arial" w:cs="Arial"/>
        </w:rPr>
        <w:t>ty</w:t>
      </w:r>
      <w:bookmarkEnd w:id="18"/>
      <w:r w:rsidRPr="008E7E5A">
        <w:rPr>
          <w:rFonts w:ascii="Arial" w:hAnsi="Arial" w:cs="Arial"/>
        </w:rPr>
        <w:t> </w:t>
      </w:r>
    </w:p>
    <w:p w14:paraId="35D1A695" w14:textId="77777777" w:rsidR="00863BDD" w:rsidRPr="008E7E5A" w:rsidRDefault="00863BDD" w:rsidP="0013663B">
      <w:pPr>
        <w:jc w:val="both"/>
        <w:rPr>
          <w:rFonts w:ascii="Arial" w:hAnsi="Arial" w:cs="Arial"/>
        </w:rPr>
      </w:pPr>
      <w:r w:rsidRPr="008E7E5A">
        <w:rPr>
          <w:rFonts w:ascii="Arial" w:hAnsi="Arial" w:cs="Arial"/>
        </w:rPr>
        <w:t>This module evaluates whether Singapore’s government can sustainably finance its projected public healthcare expenditure through 2035 and assess the financial burden placed on households if it cannot. Building on the total healthcare expenditure from Module 3, this module projects the government’s healthcare budget, identifies financing gap and estimates household out-of-pocket burden across low, base and high scenarios.</w:t>
      </w:r>
    </w:p>
    <w:p w14:paraId="10FEFFB8" w14:textId="77777777" w:rsidR="00863BDD" w:rsidRPr="008E7E5A" w:rsidRDefault="00863BDD" w:rsidP="007E6771">
      <w:pPr>
        <w:pStyle w:val="Heading2"/>
        <w:rPr>
          <w:rFonts w:ascii="Arial" w:hAnsi="Arial" w:cs="Arial"/>
          <w:sz w:val="28"/>
          <w:szCs w:val="28"/>
        </w:rPr>
      </w:pPr>
      <w:bookmarkStart w:id="19" w:name="_Toc225459981"/>
      <w:r w:rsidRPr="008E7E5A">
        <w:rPr>
          <w:rFonts w:ascii="Arial" w:hAnsi="Arial" w:cs="Arial"/>
          <w:sz w:val="28"/>
          <w:szCs w:val="28"/>
        </w:rPr>
        <w:t xml:space="preserve">4.1 </w:t>
      </w:r>
      <w:r w:rsidRPr="008E7E5A">
        <w:rPr>
          <w:rFonts w:ascii="Arial" w:hAnsi="Arial" w:cs="Arial"/>
        </w:rPr>
        <w:tab/>
      </w:r>
      <w:r w:rsidRPr="008E7E5A">
        <w:rPr>
          <w:rFonts w:ascii="Arial" w:hAnsi="Arial" w:cs="Arial"/>
          <w:sz w:val="28"/>
          <w:szCs w:val="28"/>
        </w:rPr>
        <w:t>Household Data and Income Assumptions</w:t>
      </w:r>
      <w:bookmarkEnd w:id="19"/>
      <w:r w:rsidRPr="008E7E5A">
        <w:rPr>
          <w:rFonts w:ascii="Arial" w:hAnsi="Arial" w:cs="Arial"/>
          <w:sz w:val="28"/>
          <w:szCs w:val="28"/>
        </w:rPr>
        <w:t> </w:t>
      </w:r>
    </w:p>
    <w:p w14:paraId="21A4F84F" w14:textId="77777777" w:rsidR="00863BDD" w:rsidRPr="008E7E5A" w:rsidRDefault="00863BDD" w:rsidP="00863BDD">
      <w:pPr>
        <w:rPr>
          <w:rFonts w:ascii="Arial" w:hAnsi="Arial" w:cs="Arial"/>
        </w:rPr>
      </w:pPr>
      <w:r w:rsidRPr="008E7E5A">
        <w:rPr>
          <w:rFonts w:ascii="Arial" w:hAnsi="Arial" w:cs="Arial"/>
          <w:b/>
          <w:bCs/>
        </w:rPr>
        <w:t>Number of Resident Households</w:t>
      </w:r>
    </w:p>
    <w:p w14:paraId="2CFB6166" w14:textId="1EF71870" w:rsidR="00F12D22" w:rsidRPr="008E7E5A" w:rsidRDefault="00F12D22" w:rsidP="00F12D22">
      <w:pPr>
        <w:jc w:val="both"/>
        <w:rPr>
          <w:rFonts w:ascii="Arial" w:hAnsi="Arial" w:cs="Arial"/>
        </w:rPr>
      </w:pPr>
      <w:r w:rsidRPr="008E7E5A">
        <w:rPr>
          <w:rFonts w:ascii="Arial" w:hAnsi="Arial" w:cs="Arial"/>
        </w:rPr>
        <w:t>A projection growth rate of 1.6 % was applied using reference years 2020 to 2025 as they are more reflective of Singapore’s current demographic trajectory, characterised by a declining total fertility rate of 0.97 in 2024. Resident households are projected to reach approximately 1,730,000 by 2035.</w:t>
      </w:r>
    </w:p>
    <w:p w14:paraId="55C20263" w14:textId="77777777" w:rsidR="00863BDD" w:rsidRPr="008E7E5A" w:rsidRDefault="00863BDD" w:rsidP="00863BDD">
      <w:pPr>
        <w:rPr>
          <w:rFonts w:ascii="Arial" w:hAnsi="Arial" w:cs="Arial"/>
        </w:rPr>
      </w:pPr>
      <w:r w:rsidRPr="008E7E5A">
        <w:rPr>
          <w:rFonts w:ascii="Arial" w:hAnsi="Arial" w:cs="Arial"/>
          <w:b/>
          <w:bCs/>
        </w:rPr>
        <w:t>Average Household Size</w:t>
      </w:r>
    </w:p>
    <w:p w14:paraId="0EE282C2" w14:textId="77777777" w:rsidR="00863BDD" w:rsidRPr="008E7E5A" w:rsidRDefault="00863BDD" w:rsidP="00F12D22">
      <w:pPr>
        <w:jc w:val="both"/>
        <w:rPr>
          <w:rFonts w:ascii="Arial" w:hAnsi="Arial" w:cs="Arial"/>
        </w:rPr>
      </w:pPr>
      <w:r w:rsidRPr="008E7E5A">
        <w:rPr>
          <w:rFonts w:ascii="Arial" w:hAnsi="Arial" w:cs="Arial"/>
        </w:rPr>
        <w:t>Average household size declined from 3.70 persons in 2000 to 3.06 persons in 2025. A linear decline of 0.026 persons per year was applied based on the full 25-year historical trend. Household size is projected to reach approximately 2.80 persons by 2035.</w:t>
      </w:r>
    </w:p>
    <w:p w14:paraId="22BF0A72" w14:textId="77777777" w:rsidR="00863BDD" w:rsidRPr="008E7E5A" w:rsidRDefault="00863BDD" w:rsidP="00863BDD">
      <w:pPr>
        <w:rPr>
          <w:rFonts w:ascii="Arial" w:hAnsi="Arial" w:cs="Arial"/>
        </w:rPr>
      </w:pPr>
      <w:r w:rsidRPr="008E7E5A">
        <w:rPr>
          <w:rFonts w:ascii="Arial" w:hAnsi="Arial" w:cs="Arial"/>
          <w:b/>
          <w:bCs/>
        </w:rPr>
        <w:t>Median Household Employment Income</w:t>
      </w:r>
    </w:p>
    <w:p w14:paraId="7A9E7E0A" w14:textId="37AB8619" w:rsidR="00F12D22" w:rsidRPr="008E7E5A" w:rsidRDefault="00F12D22" w:rsidP="00425667">
      <w:pPr>
        <w:jc w:val="both"/>
        <w:rPr>
          <w:rFonts w:ascii="Arial" w:hAnsi="Arial" w:cs="Arial"/>
        </w:rPr>
      </w:pPr>
      <w:r w:rsidRPr="008E7E5A">
        <w:rPr>
          <w:rFonts w:ascii="Arial" w:hAnsi="Arial" w:cs="Arial"/>
        </w:rPr>
        <w:t>Median monthly household income grew from $4,000 in 2000 to $12,027 in 2025, and is projected to reach approximately $19,038 by 2035, applying a nominal Compound Annual Growth Rate (CAGR) of 4.7% derived from the 2015–2025 trend to avoid distortion from COVID-19-related income fluctuations between 2020 to 2022.</w:t>
      </w:r>
    </w:p>
    <w:p w14:paraId="79903C91" w14:textId="038AD653" w:rsidR="00863BDD" w:rsidRPr="008E7E5A" w:rsidRDefault="00863BDD" w:rsidP="007E6771">
      <w:pPr>
        <w:pStyle w:val="Heading2"/>
        <w:rPr>
          <w:rFonts w:ascii="Arial" w:hAnsi="Arial" w:cs="Arial"/>
          <w:sz w:val="28"/>
          <w:szCs w:val="28"/>
        </w:rPr>
      </w:pPr>
      <w:bookmarkStart w:id="20" w:name="_Toc225459982"/>
      <w:r w:rsidRPr="008E7E5A">
        <w:rPr>
          <w:rFonts w:ascii="Arial" w:hAnsi="Arial" w:cs="Arial"/>
          <w:sz w:val="28"/>
          <w:szCs w:val="28"/>
        </w:rPr>
        <w:lastRenderedPageBreak/>
        <w:t>4.2</w:t>
      </w:r>
      <w:r w:rsidRPr="008E7E5A">
        <w:rPr>
          <w:rFonts w:ascii="Arial" w:hAnsi="Arial" w:cs="Arial"/>
        </w:rPr>
        <w:tab/>
      </w:r>
      <w:r w:rsidRPr="008E7E5A">
        <w:rPr>
          <w:rFonts w:ascii="Arial" w:hAnsi="Arial" w:cs="Arial"/>
          <w:sz w:val="28"/>
          <w:szCs w:val="28"/>
        </w:rPr>
        <w:t>Financing Gap Analysis</w:t>
      </w:r>
      <w:bookmarkEnd w:id="20"/>
      <w:r w:rsidRPr="008E7E5A">
        <w:rPr>
          <w:rFonts w:ascii="Arial" w:hAnsi="Arial" w:cs="Arial"/>
          <w:sz w:val="28"/>
          <w:szCs w:val="28"/>
        </w:rPr>
        <w:t> </w:t>
      </w:r>
    </w:p>
    <w:p w14:paraId="4E0D98DA" w14:textId="4E7C5A05" w:rsidR="00863BDD" w:rsidRPr="008E7E5A" w:rsidRDefault="5D2E30C4" w:rsidP="373E0290">
      <w:pPr>
        <w:jc w:val="center"/>
        <w:rPr>
          <w:rFonts w:ascii="Arial" w:hAnsi="Arial" w:cs="Arial"/>
        </w:rPr>
      </w:pPr>
      <w:r w:rsidRPr="008E7E5A">
        <w:rPr>
          <w:rFonts w:ascii="Arial" w:hAnsi="Arial" w:cs="Arial"/>
          <w:noProof/>
        </w:rPr>
        <w:drawing>
          <wp:inline distT="0" distB="0" distL="0" distR="0" wp14:anchorId="21C2F4A9" wp14:editId="646F61C3">
            <wp:extent cx="3707779" cy="2083851"/>
            <wp:effectExtent l="0" t="0" r="0" b="0"/>
            <wp:docPr id="1670765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5315" name="Picture 1670765315"/>
                    <pic:cNvPicPr/>
                  </pic:nvPicPr>
                  <pic:blipFill>
                    <a:blip r:embed="rId25">
                      <a:extLst>
                        <a:ext uri="{28A0092B-C50C-407E-A947-70E740481C1C}">
                          <a14:useLocalDpi xmlns:a14="http://schemas.microsoft.com/office/drawing/2010/main"/>
                        </a:ext>
                      </a:extLst>
                    </a:blip>
                    <a:stretch>
                      <a:fillRect/>
                    </a:stretch>
                  </pic:blipFill>
                  <pic:spPr>
                    <a:xfrm>
                      <a:off x="0" y="0"/>
                      <a:ext cx="3707779" cy="2083851"/>
                    </a:xfrm>
                    <a:prstGeom prst="rect">
                      <a:avLst/>
                    </a:prstGeom>
                  </pic:spPr>
                </pic:pic>
              </a:graphicData>
            </a:graphic>
          </wp:inline>
        </w:drawing>
      </w:r>
    </w:p>
    <w:p w14:paraId="2D195C56" w14:textId="6A45C34E" w:rsidR="00441145" w:rsidRPr="008E7E5A" w:rsidRDefault="00441145" w:rsidP="00441145">
      <w:pPr>
        <w:jc w:val="center"/>
        <w:rPr>
          <w:rFonts w:ascii="Arial" w:hAnsi="Arial" w:cs="Arial"/>
          <w:sz w:val="16"/>
          <w:szCs w:val="16"/>
        </w:rPr>
      </w:pPr>
      <w:r w:rsidRPr="008E7E5A">
        <w:rPr>
          <w:rFonts w:ascii="Arial" w:hAnsi="Arial" w:cs="Arial"/>
          <w:sz w:val="16"/>
          <w:szCs w:val="16"/>
        </w:rPr>
        <w:t>Figure 8 Financing Gap</w:t>
      </w:r>
    </w:p>
    <w:p w14:paraId="55ED99E8" w14:textId="77777777" w:rsidR="00381DE9" w:rsidRPr="008E7E5A" w:rsidRDefault="00381DE9" w:rsidP="00F12D22">
      <w:pPr>
        <w:jc w:val="both"/>
        <w:rPr>
          <w:rFonts w:ascii="Arial" w:hAnsi="Arial" w:cs="Arial"/>
        </w:rPr>
      </w:pPr>
      <w:r w:rsidRPr="008E7E5A">
        <w:rPr>
          <w:rFonts w:ascii="Arial" w:hAnsi="Arial" w:cs="Arial"/>
        </w:rPr>
        <w:t>From 2026 to 2032, the government budget maintains a surplus over projected healthcare costs. However, the two lines converge around 2033, after which costs exceed the budget — generating a deficit of SGD 183.8 million in 2033 that widens to SGD 749.9 million (5.7% of the projected budget) by 2035.</w:t>
      </w:r>
    </w:p>
    <w:p w14:paraId="5E396C53" w14:textId="47B9C0E9" w:rsidR="00863BDD" w:rsidRPr="008E7E5A" w:rsidRDefault="00863BDD" w:rsidP="007E6771">
      <w:pPr>
        <w:pStyle w:val="Heading2"/>
        <w:rPr>
          <w:rFonts w:ascii="Arial" w:hAnsi="Arial" w:cs="Arial"/>
          <w:sz w:val="28"/>
          <w:szCs w:val="28"/>
        </w:rPr>
      </w:pPr>
      <w:bookmarkStart w:id="21" w:name="_Toc225459983"/>
      <w:r w:rsidRPr="008E7E5A">
        <w:rPr>
          <w:rFonts w:ascii="Arial" w:hAnsi="Arial" w:cs="Arial"/>
          <w:sz w:val="28"/>
          <w:szCs w:val="28"/>
        </w:rPr>
        <w:t>4.</w:t>
      </w:r>
      <w:r w:rsidR="5AA3CFC5" w:rsidRPr="008E7E5A">
        <w:rPr>
          <w:rFonts w:ascii="Arial" w:hAnsi="Arial" w:cs="Arial"/>
          <w:sz w:val="28"/>
          <w:szCs w:val="28"/>
        </w:rPr>
        <w:t>3</w:t>
      </w:r>
      <w:r w:rsidRPr="008E7E5A">
        <w:rPr>
          <w:rFonts w:ascii="Arial" w:hAnsi="Arial" w:cs="Arial"/>
        </w:rPr>
        <w:tab/>
      </w:r>
      <w:r w:rsidRPr="008E7E5A">
        <w:rPr>
          <w:rFonts w:ascii="Arial" w:hAnsi="Arial" w:cs="Arial"/>
          <w:sz w:val="28"/>
          <w:szCs w:val="28"/>
        </w:rPr>
        <w:t>Household Out</w:t>
      </w:r>
      <w:r w:rsidR="003D53F4" w:rsidRPr="008E7E5A">
        <w:rPr>
          <w:rFonts w:ascii="Arial" w:hAnsi="Arial" w:cs="Arial"/>
          <w:sz w:val="28"/>
          <w:szCs w:val="28"/>
        </w:rPr>
        <w:t>-</w:t>
      </w:r>
      <w:r w:rsidRPr="008E7E5A">
        <w:rPr>
          <w:rFonts w:ascii="Arial" w:hAnsi="Arial" w:cs="Arial"/>
          <w:sz w:val="28"/>
          <w:szCs w:val="28"/>
        </w:rPr>
        <w:t>of</w:t>
      </w:r>
      <w:r w:rsidR="003D53F4" w:rsidRPr="008E7E5A">
        <w:rPr>
          <w:rFonts w:ascii="Arial" w:hAnsi="Arial" w:cs="Arial"/>
          <w:sz w:val="28"/>
          <w:szCs w:val="28"/>
        </w:rPr>
        <w:t>-</w:t>
      </w:r>
      <w:r w:rsidRPr="008E7E5A">
        <w:rPr>
          <w:rFonts w:ascii="Arial" w:hAnsi="Arial" w:cs="Arial"/>
          <w:sz w:val="28"/>
          <w:szCs w:val="28"/>
        </w:rPr>
        <w:t>Pocket</w:t>
      </w:r>
      <w:r w:rsidR="003D53F4" w:rsidRPr="008E7E5A">
        <w:rPr>
          <w:rFonts w:ascii="Arial" w:hAnsi="Arial" w:cs="Arial"/>
          <w:sz w:val="28"/>
          <w:szCs w:val="28"/>
        </w:rPr>
        <w:t xml:space="preserve"> (OOP)</w:t>
      </w:r>
      <w:r w:rsidRPr="008E7E5A">
        <w:rPr>
          <w:rFonts w:ascii="Arial" w:hAnsi="Arial" w:cs="Arial"/>
          <w:sz w:val="28"/>
          <w:szCs w:val="28"/>
        </w:rPr>
        <w:t xml:space="preserve"> Burden</w:t>
      </w:r>
      <w:bookmarkEnd w:id="21"/>
      <w:r w:rsidRPr="008E7E5A">
        <w:rPr>
          <w:rFonts w:ascii="Arial" w:hAnsi="Arial" w:cs="Arial"/>
          <w:sz w:val="28"/>
          <w:szCs w:val="28"/>
        </w:rPr>
        <w:t> </w:t>
      </w:r>
    </w:p>
    <w:p w14:paraId="76E2D809" w14:textId="6D35B373" w:rsidR="000F3D35" w:rsidRPr="008E7E5A" w:rsidRDefault="003D53F4" w:rsidP="59B026A6">
      <w:pPr>
        <w:jc w:val="both"/>
        <w:rPr>
          <w:rFonts w:ascii="Arial" w:hAnsi="Arial" w:cs="Arial"/>
        </w:rPr>
      </w:pPr>
      <w:r w:rsidRPr="008E7E5A">
        <w:rPr>
          <w:rFonts w:ascii="Arial" w:hAnsi="Arial" w:cs="Arial"/>
        </w:rPr>
        <w:t>Out-of-pocket (OOP) expenditure per household is estimated by applying a weighted average subsidy rate of 65% (derived from MOH's B2/C Ward subsidy schedule for Singapore Citizens) to total projected healthcare expenditure, divided by the number of resident households. B2/C wards are used as the representative ward class, accounting for at least 65% of public hospital beds.</w:t>
      </w:r>
    </w:p>
    <w:p w14:paraId="0027BDEA" w14:textId="5BF71C2B" w:rsidR="4013F1C3" w:rsidRPr="008E7E5A" w:rsidRDefault="4013F1C3" w:rsidP="59B026A6">
      <w:pPr>
        <w:spacing w:after="0" w:line="240" w:lineRule="auto"/>
        <w:rPr>
          <w:rFonts w:ascii="Arial" w:hAnsi="Arial" w:cs="Arial"/>
        </w:rPr>
      </w:pPr>
      <w:r w:rsidRPr="008E7E5A">
        <w:rPr>
          <w:rFonts w:ascii="Arial" w:hAnsi="Arial" w:cs="Arial"/>
          <w:noProof/>
        </w:rPr>
        <w:drawing>
          <wp:inline distT="0" distB="0" distL="0" distR="0" wp14:anchorId="1EEB5D02" wp14:editId="41A2308D">
            <wp:extent cx="5724525" cy="590550"/>
            <wp:effectExtent l="0" t="0" r="0" b="0"/>
            <wp:docPr id="1602823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3393" name="Picture 1602823393"/>
                    <pic:cNvPicPr/>
                  </pic:nvPicPr>
                  <pic:blipFill>
                    <a:blip r:embed="rId26">
                      <a:extLst>
                        <a:ext uri="{28A0092B-C50C-407E-A947-70E740481C1C}">
                          <a14:useLocalDpi xmlns:a14="http://schemas.microsoft.com/office/drawing/2010/main"/>
                        </a:ext>
                      </a:extLst>
                    </a:blip>
                    <a:stretch>
                      <a:fillRect/>
                    </a:stretch>
                  </pic:blipFill>
                  <pic:spPr>
                    <a:xfrm>
                      <a:off x="0" y="0"/>
                      <a:ext cx="5724525" cy="590550"/>
                    </a:xfrm>
                    <a:prstGeom prst="rect">
                      <a:avLst/>
                    </a:prstGeom>
                  </pic:spPr>
                </pic:pic>
              </a:graphicData>
            </a:graphic>
          </wp:inline>
        </w:drawing>
      </w:r>
    </w:p>
    <w:p w14:paraId="713F30CF" w14:textId="77777777" w:rsidR="00863BDD" w:rsidRPr="008E7E5A" w:rsidRDefault="00863BDD" w:rsidP="452CAB7C">
      <w:pPr>
        <w:spacing w:after="0" w:line="240" w:lineRule="auto"/>
        <w:rPr>
          <w:rFonts w:ascii="Arial" w:hAnsi="Arial" w:cs="Arial"/>
          <w:i/>
          <w:sz w:val="19"/>
          <w:szCs w:val="19"/>
        </w:rPr>
      </w:pPr>
      <w:r w:rsidRPr="008E7E5A">
        <w:rPr>
          <w:rFonts w:ascii="Arial" w:hAnsi="Arial" w:cs="Arial"/>
          <w:i/>
          <w:sz w:val="19"/>
          <w:szCs w:val="19"/>
        </w:rPr>
        <w:t>Low scenario = government grows slowly + lower subsidies -&gt; bigger household burden, smaller financing gap</w:t>
      </w:r>
    </w:p>
    <w:p w14:paraId="20406179" w14:textId="77777777" w:rsidR="00863BDD" w:rsidRPr="008E7E5A" w:rsidRDefault="00863BDD" w:rsidP="452CAB7C">
      <w:pPr>
        <w:spacing w:after="0" w:line="240" w:lineRule="auto"/>
        <w:rPr>
          <w:rFonts w:ascii="Arial" w:hAnsi="Arial" w:cs="Arial"/>
          <w:i/>
          <w:sz w:val="19"/>
          <w:szCs w:val="19"/>
        </w:rPr>
      </w:pPr>
      <w:r w:rsidRPr="008E7E5A">
        <w:rPr>
          <w:rFonts w:ascii="Arial" w:hAnsi="Arial" w:cs="Arial"/>
          <w:i/>
          <w:sz w:val="19"/>
          <w:szCs w:val="19"/>
        </w:rPr>
        <w:t>Base scenario = most realistic projection based on historical data → your main model output</w:t>
      </w:r>
    </w:p>
    <w:p w14:paraId="60E82490" w14:textId="77777777" w:rsidR="00863BDD" w:rsidRPr="008E7E5A" w:rsidRDefault="00863BDD" w:rsidP="452CAB7C">
      <w:pPr>
        <w:spacing w:after="0" w:line="240" w:lineRule="auto"/>
        <w:rPr>
          <w:rFonts w:ascii="Arial" w:hAnsi="Arial" w:cs="Arial"/>
          <w:i/>
          <w:sz w:val="19"/>
          <w:szCs w:val="19"/>
        </w:rPr>
      </w:pPr>
      <w:r w:rsidRPr="008E7E5A">
        <w:rPr>
          <w:rFonts w:ascii="Arial" w:hAnsi="Arial" w:cs="Arial"/>
          <w:i/>
          <w:sz w:val="19"/>
          <w:szCs w:val="19"/>
        </w:rPr>
        <w:t>High scenario = government spending grows fast + higher subsidies → smaller household burden, larger financing gap</w:t>
      </w:r>
    </w:p>
    <w:p w14:paraId="4F64CE33" w14:textId="5F14108F" w:rsidR="452CAB7C" w:rsidRPr="008E7E5A" w:rsidRDefault="452CAB7C" w:rsidP="452CAB7C">
      <w:pPr>
        <w:spacing w:after="0" w:line="240" w:lineRule="auto"/>
        <w:rPr>
          <w:rFonts w:ascii="Arial" w:hAnsi="Arial" w:cs="Arial"/>
          <w:i/>
          <w:iCs/>
        </w:rPr>
      </w:pPr>
    </w:p>
    <w:p w14:paraId="61A934B3" w14:textId="63359027" w:rsidR="003D53F4" w:rsidRPr="008E7E5A" w:rsidRDefault="003D53F4" w:rsidP="003D53F4">
      <w:pPr>
        <w:jc w:val="both"/>
        <w:rPr>
          <w:rFonts w:ascii="Arial" w:hAnsi="Arial" w:cs="Arial"/>
        </w:rPr>
      </w:pPr>
      <w:r w:rsidRPr="008E7E5A">
        <w:rPr>
          <w:rFonts w:ascii="Arial" w:hAnsi="Arial" w:cs="Arial"/>
        </w:rPr>
        <w:t>Under the base scenario, OOP expenditure per household increases from $</w:t>
      </w:r>
      <w:r w:rsidR="235D61CF" w:rsidRPr="008E7E5A">
        <w:rPr>
          <w:rFonts w:ascii="Arial" w:hAnsi="Arial" w:cs="Arial"/>
        </w:rPr>
        <w:t>2,842.38</w:t>
      </w:r>
      <w:r w:rsidRPr="008E7E5A">
        <w:rPr>
          <w:rFonts w:ascii="Arial" w:hAnsi="Arial" w:cs="Arial"/>
        </w:rPr>
        <w:t xml:space="preserve"> in </w:t>
      </w:r>
      <w:r w:rsidR="5D82E2D8" w:rsidRPr="008E7E5A">
        <w:rPr>
          <w:rFonts w:ascii="Arial" w:hAnsi="Arial" w:cs="Arial"/>
        </w:rPr>
        <w:t>202</w:t>
      </w:r>
      <w:r w:rsidR="6507F76D" w:rsidRPr="008E7E5A">
        <w:rPr>
          <w:rFonts w:ascii="Arial" w:hAnsi="Arial" w:cs="Arial"/>
        </w:rPr>
        <w:t>6</w:t>
      </w:r>
      <w:r w:rsidRPr="008E7E5A">
        <w:rPr>
          <w:rFonts w:ascii="Arial" w:hAnsi="Arial" w:cs="Arial"/>
        </w:rPr>
        <w:t xml:space="preserve"> to $</w:t>
      </w:r>
      <w:r w:rsidR="1F7BC597" w:rsidRPr="008E7E5A">
        <w:rPr>
          <w:rFonts w:ascii="Arial" w:hAnsi="Arial" w:cs="Arial"/>
        </w:rPr>
        <w:t>4,357.57</w:t>
      </w:r>
      <w:r w:rsidRPr="008E7E5A">
        <w:rPr>
          <w:rFonts w:ascii="Arial" w:hAnsi="Arial" w:cs="Arial"/>
        </w:rPr>
        <w:t xml:space="preserve"> by 2035, remaining stable at approximately 1.</w:t>
      </w:r>
      <w:r w:rsidR="514FF87E" w:rsidRPr="008E7E5A">
        <w:rPr>
          <w:rFonts w:ascii="Arial" w:hAnsi="Arial" w:cs="Arial"/>
        </w:rPr>
        <w:t>91</w:t>
      </w:r>
      <w:r w:rsidRPr="008E7E5A">
        <w:rPr>
          <w:rFonts w:ascii="Arial" w:hAnsi="Arial" w:cs="Arial"/>
        </w:rPr>
        <w:t xml:space="preserve">% of median annual household income as household income kept pace with medical inflation. </w:t>
      </w:r>
    </w:p>
    <w:p w14:paraId="3357B090" w14:textId="4C0033B0" w:rsidR="003D53F4" w:rsidRPr="008E7E5A" w:rsidRDefault="003D53F4" w:rsidP="003D53F4">
      <w:pPr>
        <w:jc w:val="both"/>
        <w:rPr>
          <w:rFonts w:ascii="Arial" w:hAnsi="Arial" w:cs="Arial"/>
        </w:rPr>
      </w:pPr>
      <w:r w:rsidRPr="008E7E5A">
        <w:rPr>
          <w:rFonts w:ascii="Arial" w:hAnsi="Arial" w:cs="Arial"/>
        </w:rPr>
        <w:t xml:space="preserve">Across all scenarios, household burden stays well below </w:t>
      </w:r>
      <w:r w:rsidR="7D272DC9" w:rsidRPr="008E7E5A">
        <w:rPr>
          <w:rFonts w:ascii="Arial" w:hAnsi="Arial" w:cs="Arial"/>
        </w:rPr>
        <w:t>3</w:t>
      </w:r>
      <w:r w:rsidRPr="008E7E5A">
        <w:rPr>
          <w:rFonts w:ascii="Arial" w:hAnsi="Arial" w:cs="Arial"/>
        </w:rPr>
        <w:t xml:space="preserve">% of annual income, suggesting public healthcare remains broadly affordable through to 2035 even with less subsidies. </w:t>
      </w:r>
    </w:p>
    <w:p w14:paraId="28E188DE" w14:textId="044749A2" w:rsidR="00863BDD" w:rsidRPr="008E7E5A" w:rsidRDefault="00863BDD" w:rsidP="003D53F4">
      <w:pPr>
        <w:jc w:val="both"/>
        <w:rPr>
          <w:rFonts w:ascii="Arial" w:hAnsi="Arial" w:cs="Arial"/>
        </w:rPr>
      </w:pPr>
      <w:r w:rsidRPr="008E7E5A">
        <w:rPr>
          <w:rFonts w:ascii="Arial" w:hAnsi="Arial" w:cs="Arial"/>
        </w:rPr>
        <w:t xml:space="preserve">However, it is important to note that this metric captures inpatient public hospital costs only. Broader household healthcare spending data indicates Singaporeans spend approximately 6.7% of monthly expenditure on direct medical costs and an additional 8.3% on insurance premiums </w:t>
      </w:r>
      <w:r w:rsidR="001E128B" w:rsidRPr="008E7E5A">
        <w:rPr>
          <w:rFonts w:ascii="Arial" w:hAnsi="Arial" w:cs="Arial"/>
        </w:rPr>
        <w:t xml:space="preserve">[10] </w:t>
      </w:r>
      <w:r w:rsidRPr="008E7E5A">
        <w:rPr>
          <w:rFonts w:ascii="Arial" w:hAnsi="Arial" w:cs="Arial"/>
        </w:rPr>
        <w:t>(Lim, 2025), suggesting total healthcare financial burden is significantly higher than what the model captures.</w:t>
      </w:r>
    </w:p>
    <w:p w14:paraId="6494094E" w14:textId="4D53AB30" w:rsidR="00863BDD" w:rsidRPr="008E7E5A" w:rsidRDefault="12265BC5" w:rsidP="3557C0DB">
      <w:pPr>
        <w:pStyle w:val="Heading2"/>
        <w:rPr>
          <w:rFonts w:ascii="Arial" w:hAnsi="Arial" w:cs="Arial"/>
          <w:sz w:val="28"/>
          <w:szCs w:val="28"/>
        </w:rPr>
      </w:pPr>
      <w:bookmarkStart w:id="22" w:name="_Toc225459984"/>
      <w:r w:rsidRPr="008E7E5A">
        <w:rPr>
          <w:rFonts w:ascii="Arial" w:hAnsi="Arial" w:cs="Arial"/>
          <w:sz w:val="28"/>
          <w:szCs w:val="28"/>
        </w:rPr>
        <w:lastRenderedPageBreak/>
        <w:t>4.</w:t>
      </w:r>
      <w:r w:rsidR="3EC10417" w:rsidRPr="008E7E5A">
        <w:rPr>
          <w:rFonts w:ascii="Arial" w:hAnsi="Arial" w:cs="Arial"/>
          <w:sz w:val="28"/>
          <w:szCs w:val="28"/>
        </w:rPr>
        <w:t>4</w:t>
      </w:r>
      <w:r w:rsidR="00DF30A7" w:rsidRPr="008E7E5A">
        <w:rPr>
          <w:rFonts w:ascii="Arial" w:hAnsi="Arial" w:cs="Arial"/>
        </w:rPr>
        <w:tab/>
      </w:r>
      <w:r w:rsidR="00863BDD" w:rsidRPr="008E7E5A">
        <w:rPr>
          <w:rFonts w:ascii="Arial" w:hAnsi="Arial" w:cs="Arial"/>
          <w:sz w:val="28"/>
          <w:szCs w:val="28"/>
        </w:rPr>
        <w:t>Trade-</w:t>
      </w:r>
      <w:r w:rsidR="7826EC96" w:rsidRPr="008E7E5A">
        <w:rPr>
          <w:rFonts w:ascii="Arial" w:hAnsi="Arial" w:cs="Arial"/>
          <w:sz w:val="28"/>
          <w:szCs w:val="28"/>
        </w:rPr>
        <w:t>Off</w:t>
      </w:r>
      <w:r w:rsidR="00863BDD" w:rsidRPr="008E7E5A">
        <w:rPr>
          <w:rFonts w:ascii="Arial" w:hAnsi="Arial" w:cs="Arial"/>
          <w:sz w:val="28"/>
          <w:szCs w:val="28"/>
        </w:rPr>
        <w:t xml:space="preserve"> Analysis Subsidy rate vs Fiscal Sustainability</w:t>
      </w:r>
      <w:bookmarkEnd w:id="22"/>
      <w:r w:rsidR="00863BDD" w:rsidRPr="008E7E5A">
        <w:rPr>
          <w:rFonts w:ascii="Arial" w:hAnsi="Arial" w:cs="Arial"/>
          <w:sz w:val="28"/>
          <w:szCs w:val="28"/>
        </w:rPr>
        <w:t> </w:t>
      </w:r>
    </w:p>
    <w:p w14:paraId="1E35EE0C" w14:textId="4BF32153" w:rsidR="00863BDD" w:rsidRPr="008E7E5A" w:rsidRDefault="0071367A" w:rsidP="0071367A">
      <w:pPr>
        <w:jc w:val="center"/>
        <w:rPr>
          <w:rFonts w:ascii="Arial" w:hAnsi="Arial" w:cs="Arial"/>
        </w:rPr>
      </w:pPr>
      <w:r w:rsidRPr="008E7E5A">
        <w:rPr>
          <w:rFonts w:ascii="Arial" w:hAnsi="Arial" w:cs="Arial"/>
          <w:noProof/>
        </w:rPr>
        <w:drawing>
          <wp:inline distT="0" distB="0" distL="0" distR="0" wp14:anchorId="4952583A" wp14:editId="2A086D11">
            <wp:extent cx="3629465" cy="2095809"/>
            <wp:effectExtent l="0" t="0" r="0" b="0"/>
            <wp:docPr id="1783871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44192" cy="2104313"/>
                    </a:xfrm>
                    <a:prstGeom prst="rect">
                      <a:avLst/>
                    </a:prstGeom>
                    <a:noFill/>
                    <a:ln>
                      <a:noFill/>
                    </a:ln>
                  </pic:spPr>
                </pic:pic>
              </a:graphicData>
            </a:graphic>
          </wp:inline>
        </w:drawing>
      </w:r>
    </w:p>
    <w:p w14:paraId="10542448" w14:textId="21D884EA" w:rsidR="007D5320" w:rsidRPr="008E7E5A" w:rsidRDefault="007D5320" w:rsidP="007D5320">
      <w:pPr>
        <w:jc w:val="center"/>
        <w:rPr>
          <w:rFonts w:ascii="Arial" w:hAnsi="Arial" w:cs="Arial"/>
          <w:sz w:val="16"/>
          <w:szCs w:val="16"/>
        </w:rPr>
      </w:pPr>
      <w:r w:rsidRPr="008E7E5A">
        <w:rPr>
          <w:rFonts w:ascii="Arial" w:hAnsi="Arial" w:cs="Arial"/>
          <w:sz w:val="16"/>
          <w:szCs w:val="16"/>
        </w:rPr>
        <w:t>Figure 9 Trade Off Analysis</w:t>
      </w:r>
    </w:p>
    <w:p w14:paraId="311AD3D9" w14:textId="120D9835" w:rsidR="003D53F4" w:rsidRPr="008E7E5A" w:rsidRDefault="003D53F4" w:rsidP="00340E02">
      <w:pPr>
        <w:jc w:val="both"/>
        <w:rPr>
          <w:rFonts w:ascii="Arial" w:hAnsi="Arial" w:cs="Arial"/>
        </w:rPr>
      </w:pPr>
      <w:r w:rsidRPr="008E7E5A">
        <w:rPr>
          <w:rFonts w:ascii="Arial" w:hAnsi="Arial" w:cs="Arial"/>
        </w:rPr>
        <w:t xml:space="preserve">Figure </w:t>
      </w:r>
      <w:r w:rsidR="007D5320" w:rsidRPr="008E7E5A">
        <w:rPr>
          <w:rFonts w:ascii="Arial" w:hAnsi="Arial" w:cs="Arial"/>
        </w:rPr>
        <w:t>9</w:t>
      </w:r>
      <w:r w:rsidRPr="008E7E5A">
        <w:rPr>
          <w:rFonts w:ascii="Arial" w:hAnsi="Arial" w:cs="Arial"/>
        </w:rPr>
        <w:t xml:space="preserve"> shows the trade-off between fiscal sustainability and household affordability as the subsidy rate varies from 55% to 75% in 2035.</w:t>
      </w:r>
    </w:p>
    <w:p w14:paraId="6D3DF748" w14:textId="3C445229" w:rsidR="003D53F4" w:rsidRPr="008E7E5A" w:rsidRDefault="003D53F4" w:rsidP="00340E02">
      <w:pPr>
        <w:jc w:val="both"/>
        <w:rPr>
          <w:rFonts w:ascii="Arial" w:hAnsi="Arial" w:cs="Arial"/>
        </w:rPr>
      </w:pPr>
      <w:r w:rsidRPr="008E7E5A">
        <w:rPr>
          <w:rFonts w:ascii="Arial" w:hAnsi="Arial" w:cs="Arial"/>
        </w:rPr>
        <w:t>Increasing the subsidy rate reduces household OOP burden from 2.48% to 1.38% of annual income, but at a rising fiscal cost. At 55%, the government maintains a surplus of SGD 1,</w:t>
      </w:r>
      <w:r w:rsidR="3DC0DEF7" w:rsidRPr="008E7E5A">
        <w:rPr>
          <w:rFonts w:ascii="Arial" w:hAnsi="Arial" w:cs="Arial"/>
        </w:rPr>
        <w:t>188</w:t>
      </w:r>
      <w:r w:rsidRPr="008E7E5A">
        <w:rPr>
          <w:rFonts w:ascii="Arial" w:hAnsi="Arial" w:cs="Arial"/>
        </w:rPr>
        <w:t xml:space="preserve"> million. As the subsidy rate rises beyond approximately 60%, the financing gap turns negative, meaning hospital costs exceed the projected budget.</w:t>
      </w:r>
    </w:p>
    <w:p w14:paraId="7D4481FC" w14:textId="332B7EB2" w:rsidR="003D53F4" w:rsidRPr="008E7E5A" w:rsidRDefault="003D53F4" w:rsidP="00340E02">
      <w:pPr>
        <w:jc w:val="both"/>
        <w:rPr>
          <w:rFonts w:ascii="Arial" w:hAnsi="Arial" w:cs="Arial"/>
        </w:rPr>
      </w:pPr>
      <w:r w:rsidRPr="008E7E5A">
        <w:rPr>
          <w:rFonts w:ascii="Arial" w:hAnsi="Arial" w:cs="Arial"/>
        </w:rPr>
        <w:t>The two lines intersect at approximately 68%</w:t>
      </w:r>
      <w:r w:rsidR="00340E02" w:rsidRPr="008E7E5A">
        <w:rPr>
          <w:rFonts w:ascii="Arial" w:hAnsi="Arial" w:cs="Arial"/>
        </w:rPr>
        <w:t xml:space="preserve"> subsidy rate</w:t>
      </w:r>
      <w:r w:rsidRPr="008E7E5A">
        <w:rPr>
          <w:rFonts w:ascii="Arial" w:hAnsi="Arial" w:cs="Arial"/>
        </w:rPr>
        <w:t>, beyond which the financing gap widens faster than household burden falls</w:t>
      </w:r>
      <w:r w:rsidR="00340E02" w:rsidRPr="008E7E5A">
        <w:rPr>
          <w:rFonts w:ascii="Arial" w:hAnsi="Arial" w:cs="Arial"/>
        </w:rPr>
        <w:t xml:space="preserve">, indicating </w:t>
      </w:r>
      <w:r w:rsidRPr="008E7E5A">
        <w:rPr>
          <w:rFonts w:ascii="Arial" w:hAnsi="Arial" w:cs="Arial"/>
        </w:rPr>
        <w:t>diminishing returns on additional subsid</w:t>
      </w:r>
      <w:r w:rsidR="00340E02" w:rsidRPr="008E7E5A">
        <w:rPr>
          <w:rFonts w:ascii="Arial" w:hAnsi="Arial" w:cs="Arial"/>
        </w:rPr>
        <w:t>ies</w:t>
      </w:r>
      <w:r w:rsidRPr="008E7E5A">
        <w:rPr>
          <w:rFonts w:ascii="Arial" w:hAnsi="Arial" w:cs="Arial"/>
        </w:rPr>
        <w:t>. This points to 65%–68% as the optimal subsidy range, balancing fiscal sustainability with household affordability.</w:t>
      </w:r>
    </w:p>
    <w:p w14:paraId="5D241EB2" w14:textId="1B6AC069" w:rsidR="5E1C1236" w:rsidRPr="008E7E5A" w:rsidRDefault="5E1C1236" w:rsidP="3557C0DB">
      <w:pPr>
        <w:pStyle w:val="Heading2"/>
        <w:rPr>
          <w:rFonts w:ascii="Arial" w:hAnsi="Arial" w:cs="Arial"/>
          <w:sz w:val="28"/>
          <w:szCs w:val="28"/>
        </w:rPr>
      </w:pPr>
      <w:bookmarkStart w:id="23" w:name="_Toc225459985"/>
      <w:r w:rsidRPr="008E7E5A">
        <w:rPr>
          <w:rFonts w:ascii="Arial" w:hAnsi="Arial" w:cs="Arial"/>
          <w:sz w:val="28"/>
          <w:szCs w:val="28"/>
        </w:rPr>
        <w:t>4.</w:t>
      </w:r>
      <w:r w:rsidR="393B5819" w:rsidRPr="008E7E5A">
        <w:rPr>
          <w:rFonts w:ascii="Arial" w:hAnsi="Arial" w:cs="Arial"/>
          <w:sz w:val="28"/>
          <w:szCs w:val="28"/>
        </w:rPr>
        <w:t>5</w:t>
      </w:r>
      <w:r w:rsidR="00DF30A7" w:rsidRPr="008E7E5A">
        <w:rPr>
          <w:rFonts w:ascii="Arial" w:hAnsi="Arial" w:cs="Arial"/>
        </w:rPr>
        <w:tab/>
      </w:r>
      <w:r w:rsidR="4D308AE9" w:rsidRPr="008E7E5A">
        <w:rPr>
          <w:rFonts w:ascii="Arial" w:hAnsi="Arial" w:cs="Arial"/>
          <w:sz w:val="28"/>
          <w:szCs w:val="28"/>
        </w:rPr>
        <w:t>Interactive Household Out-of-Pocket Burden Estimator</w:t>
      </w:r>
      <w:bookmarkEnd w:id="23"/>
      <w:r w:rsidR="4D308AE9" w:rsidRPr="008E7E5A">
        <w:rPr>
          <w:rFonts w:ascii="Arial" w:hAnsi="Arial" w:cs="Arial"/>
          <w:sz w:val="28"/>
          <w:szCs w:val="28"/>
        </w:rPr>
        <w:t xml:space="preserve"> </w:t>
      </w:r>
      <w:r w:rsidRPr="008E7E5A">
        <w:rPr>
          <w:rFonts w:ascii="Arial" w:hAnsi="Arial" w:cs="Arial"/>
          <w:sz w:val="28"/>
          <w:szCs w:val="28"/>
        </w:rPr>
        <w:t> </w:t>
      </w:r>
    </w:p>
    <w:p w14:paraId="13C605FD" w14:textId="23ED9EE9" w:rsidR="350BF2F6" w:rsidRPr="008E7E5A" w:rsidRDefault="350BF2F6" w:rsidP="3557C0DB">
      <w:pPr>
        <w:jc w:val="both"/>
        <w:rPr>
          <w:rFonts w:ascii="Arial" w:hAnsi="Arial" w:cs="Arial"/>
        </w:rPr>
      </w:pPr>
      <w:r w:rsidRPr="008E7E5A">
        <w:rPr>
          <w:rFonts w:ascii="Arial" w:eastAsia="Aptos" w:hAnsi="Arial" w:cs="Arial"/>
        </w:rPr>
        <w:t>To complement the scenario-level analysis, an interactive estimator was developed to allow users to project their personal out-of-pocket (OOP) healthcare burden from 2025 to 2035 based on their specific household profile.</w:t>
      </w:r>
    </w:p>
    <w:p w14:paraId="62319C53" w14:textId="5E4FE22A" w:rsidR="00CA6ADA" w:rsidRPr="008E7E5A" w:rsidRDefault="350BF2F6" w:rsidP="3557C0DB">
      <w:pPr>
        <w:jc w:val="both"/>
        <w:rPr>
          <w:rFonts w:ascii="Arial" w:eastAsia="Aptos" w:hAnsi="Arial" w:cs="Arial"/>
        </w:rPr>
      </w:pPr>
      <w:r w:rsidRPr="008E7E5A">
        <w:rPr>
          <w:rFonts w:ascii="Arial" w:eastAsia="Aptos" w:hAnsi="Arial" w:cs="Arial"/>
        </w:rPr>
        <w:t>Users input two parameters: ward type (B2/C or B2+) and monthly per capita household income (PCHI) bracket from which the applicable MOH subsidy rate is automatically derived. The estimator then projects the annual OOP cost per admission and benchmarks it against projected median household income, classifying the financial burden as Low (&lt;5%), Moderate (5–10%), or High (&gt;10%) of annual income.</w:t>
      </w:r>
    </w:p>
    <w:p w14:paraId="4A5C1548" w14:textId="77777777" w:rsidR="008856F8" w:rsidRPr="008E7E5A" w:rsidRDefault="008856F8" w:rsidP="3557C0DB">
      <w:pPr>
        <w:jc w:val="both"/>
        <w:rPr>
          <w:rFonts w:ascii="Arial" w:eastAsia="Aptos" w:hAnsi="Arial" w:cs="Arial"/>
        </w:rPr>
      </w:pPr>
    </w:p>
    <w:p w14:paraId="7D27C38C" w14:textId="77777777" w:rsidR="008856F8" w:rsidRPr="008E7E5A" w:rsidRDefault="008856F8" w:rsidP="3557C0DB">
      <w:pPr>
        <w:jc w:val="both"/>
        <w:rPr>
          <w:rFonts w:ascii="Arial" w:eastAsia="Aptos" w:hAnsi="Arial" w:cs="Arial"/>
        </w:rPr>
      </w:pPr>
    </w:p>
    <w:p w14:paraId="0F5D755F" w14:textId="77777777" w:rsidR="008856F8" w:rsidRPr="008E7E5A" w:rsidRDefault="008856F8" w:rsidP="3557C0DB">
      <w:pPr>
        <w:jc w:val="both"/>
        <w:rPr>
          <w:rFonts w:ascii="Arial" w:eastAsia="Aptos" w:hAnsi="Arial" w:cs="Arial"/>
        </w:rPr>
      </w:pPr>
    </w:p>
    <w:p w14:paraId="59046528" w14:textId="77777777" w:rsidR="008856F8" w:rsidRPr="008E7E5A" w:rsidRDefault="008856F8" w:rsidP="3557C0DB">
      <w:pPr>
        <w:jc w:val="both"/>
        <w:rPr>
          <w:rFonts w:ascii="Arial" w:eastAsia="Aptos" w:hAnsi="Arial" w:cs="Arial"/>
        </w:rPr>
      </w:pPr>
    </w:p>
    <w:p w14:paraId="06CB1926" w14:textId="77777777" w:rsidR="008856F8" w:rsidRPr="008E7E5A" w:rsidRDefault="008856F8" w:rsidP="3557C0DB">
      <w:pPr>
        <w:jc w:val="both"/>
        <w:rPr>
          <w:rFonts w:ascii="Arial" w:eastAsia="Aptos" w:hAnsi="Arial" w:cs="Arial"/>
        </w:rPr>
      </w:pPr>
    </w:p>
    <w:p w14:paraId="18B839D4" w14:textId="025021CA" w:rsidR="00863BDD" w:rsidRPr="008E7E5A" w:rsidRDefault="00D14FBC" w:rsidP="007E6771">
      <w:pPr>
        <w:pStyle w:val="Heading1"/>
        <w:rPr>
          <w:rFonts w:ascii="Arial" w:hAnsi="Arial" w:cs="Arial"/>
          <w:sz w:val="36"/>
          <w:szCs w:val="36"/>
        </w:rPr>
      </w:pPr>
      <w:bookmarkStart w:id="24" w:name="_Toc225459986"/>
      <w:r w:rsidRPr="008E7E5A">
        <w:rPr>
          <w:rFonts w:ascii="Arial" w:hAnsi="Arial" w:cs="Arial"/>
          <w:sz w:val="36"/>
          <w:szCs w:val="36"/>
        </w:rPr>
        <w:lastRenderedPageBreak/>
        <w:t>Summary</w:t>
      </w:r>
      <w:bookmarkEnd w:id="24"/>
      <w:r w:rsidR="00863BDD" w:rsidRPr="008E7E5A">
        <w:rPr>
          <w:rFonts w:ascii="Arial" w:hAnsi="Arial" w:cs="Arial"/>
          <w:sz w:val="36"/>
          <w:szCs w:val="36"/>
        </w:rPr>
        <w:t> </w:t>
      </w:r>
    </w:p>
    <w:p w14:paraId="0ABC22B0" w14:textId="7C793BAA" w:rsidR="001B221B" w:rsidRPr="008E7E5A" w:rsidRDefault="7ADAE97A" w:rsidP="373E0290">
      <w:pPr>
        <w:jc w:val="center"/>
        <w:rPr>
          <w:rFonts w:ascii="Arial" w:hAnsi="Arial" w:cs="Arial"/>
        </w:rPr>
      </w:pPr>
      <w:r w:rsidRPr="008E7E5A">
        <w:rPr>
          <w:rFonts w:ascii="Arial" w:hAnsi="Arial" w:cs="Arial"/>
          <w:noProof/>
        </w:rPr>
        <w:drawing>
          <wp:inline distT="0" distB="0" distL="0" distR="0" wp14:anchorId="325B7F2F" wp14:editId="581EA0B7">
            <wp:extent cx="4680857" cy="1845863"/>
            <wp:effectExtent l="0" t="0" r="5715" b="2540"/>
            <wp:docPr id="1607552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52001" name="Picture 1607552001"/>
                    <pic:cNvPicPr/>
                  </pic:nvPicPr>
                  <pic:blipFill>
                    <a:blip r:embed="rId28">
                      <a:extLst>
                        <a:ext uri="{28A0092B-C50C-407E-A947-70E740481C1C}">
                          <a14:useLocalDpi xmlns:a14="http://schemas.microsoft.com/office/drawing/2010/main"/>
                        </a:ext>
                      </a:extLst>
                    </a:blip>
                    <a:stretch>
                      <a:fillRect/>
                    </a:stretch>
                  </pic:blipFill>
                  <pic:spPr>
                    <a:xfrm>
                      <a:off x="0" y="0"/>
                      <a:ext cx="4692467" cy="1850441"/>
                    </a:xfrm>
                    <a:prstGeom prst="rect">
                      <a:avLst/>
                    </a:prstGeom>
                  </pic:spPr>
                </pic:pic>
              </a:graphicData>
            </a:graphic>
          </wp:inline>
        </w:drawing>
      </w:r>
    </w:p>
    <w:p w14:paraId="227AB110" w14:textId="47FC6051" w:rsidR="007D5320" w:rsidRPr="008E7E5A" w:rsidRDefault="007D5320" w:rsidP="007D5320">
      <w:pPr>
        <w:jc w:val="center"/>
        <w:rPr>
          <w:rFonts w:ascii="Arial" w:hAnsi="Arial" w:cs="Arial"/>
          <w:sz w:val="16"/>
          <w:szCs w:val="16"/>
        </w:rPr>
      </w:pPr>
      <w:r w:rsidRPr="008E7E5A">
        <w:rPr>
          <w:rFonts w:ascii="Arial" w:hAnsi="Arial" w:cs="Arial"/>
          <w:sz w:val="16"/>
          <w:szCs w:val="16"/>
        </w:rPr>
        <w:t xml:space="preserve">Figure 10 </w:t>
      </w:r>
      <w:r w:rsidR="00E25AC2" w:rsidRPr="008E7E5A">
        <w:rPr>
          <w:rFonts w:ascii="Arial" w:hAnsi="Arial" w:cs="Arial"/>
          <w:sz w:val="16"/>
          <w:szCs w:val="16"/>
        </w:rPr>
        <w:t>Dependency Ratio</w:t>
      </w:r>
    </w:p>
    <w:p w14:paraId="1A1F41BC" w14:textId="77777777" w:rsidR="00C742B4" w:rsidRPr="008E7E5A" w:rsidRDefault="00C742B4" w:rsidP="00C742B4">
      <w:pPr>
        <w:jc w:val="both"/>
        <w:rPr>
          <w:rFonts w:ascii="Arial" w:hAnsi="Arial" w:cs="Arial"/>
        </w:rPr>
      </w:pPr>
      <w:r w:rsidRPr="008E7E5A">
        <w:rPr>
          <w:rFonts w:ascii="Arial" w:hAnsi="Arial" w:cs="Arial"/>
        </w:rPr>
        <w:t xml:space="preserve">The old-age dependency ratio is projected to rise steadily from approximately 11 elderly persons per 100 working-age persons in 2005 to 41 per 100 by 2035, driven by declining birth rates and rapid growth in the elderly population, placing increasing strain on healthcare resources and fiscal pressure. </w:t>
      </w:r>
    </w:p>
    <w:p w14:paraId="3C2980D2" w14:textId="67D096A1" w:rsidR="00C742B4" w:rsidRPr="008E7E5A" w:rsidRDefault="00C742B4" w:rsidP="00C742B4">
      <w:pPr>
        <w:jc w:val="both"/>
        <w:rPr>
          <w:rFonts w:ascii="Arial" w:hAnsi="Arial" w:cs="Arial"/>
        </w:rPr>
      </w:pPr>
      <w:r w:rsidRPr="008E7E5A">
        <w:rPr>
          <w:rFonts w:ascii="Arial" w:hAnsi="Arial" w:cs="Arial"/>
        </w:rPr>
        <w:t>Rapid growth of not just the elderly population but the old-oldest and the declining birth rate which reached a record low of 0.87 in 2025</w:t>
      </w:r>
      <w:r w:rsidR="00994DBD" w:rsidRPr="008E7E5A">
        <w:rPr>
          <w:rFonts w:ascii="Arial" w:hAnsi="Arial" w:cs="Arial"/>
        </w:rPr>
        <w:t xml:space="preserve"> (</w:t>
      </w:r>
      <w:r w:rsidR="002A217A" w:rsidRPr="008E7E5A">
        <w:rPr>
          <w:rFonts w:ascii="Arial" w:hAnsi="Arial" w:cs="Arial"/>
        </w:rPr>
        <w:t>Yong, 2026)</w:t>
      </w:r>
      <w:r w:rsidRPr="008E7E5A">
        <w:rPr>
          <w:rFonts w:ascii="Arial" w:hAnsi="Arial" w:cs="Arial"/>
        </w:rPr>
        <w:t xml:space="preserve"> </w:t>
      </w:r>
      <w:r w:rsidR="00C238ED" w:rsidRPr="008E7E5A">
        <w:rPr>
          <w:rFonts w:ascii="Arial" w:hAnsi="Arial" w:cs="Arial"/>
        </w:rPr>
        <w:t>are irreversible demographic trends</w:t>
      </w:r>
      <w:r w:rsidRPr="008E7E5A">
        <w:rPr>
          <w:rFonts w:ascii="Arial" w:hAnsi="Arial" w:cs="Arial"/>
        </w:rPr>
        <w:t xml:space="preserve">. </w:t>
      </w:r>
    </w:p>
    <w:p w14:paraId="1F3FC29F" w14:textId="77777777" w:rsidR="00C742B4" w:rsidRPr="008E7E5A" w:rsidRDefault="00C742B4" w:rsidP="00C742B4">
      <w:pPr>
        <w:jc w:val="both"/>
        <w:rPr>
          <w:rFonts w:ascii="Arial" w:hAnsi="Arial" w:cs="Arial"/>
        </w:rPr>
      </w:pPr>
      <w:r w:rsidRPr="008E7E5A">
        <w:rPr>
          <w:rFonts w:ascii="Arial" w:hAnsi="Arial" w:cs="Arial"/>
        </w:rPr>
        <w:t>Unable to stop the ageing population and with past pro-natalist campaigns failing to yield results, Singapore has pivoted to preventive health and intervention programmes such as Grow Well Sg, Healthier SG and Age Well SG across every life stage.</w:t>
      </w:r>
    </w:p>
    <w:p w14:paraId="6C1A086E" w14:textId="1858D3B9" w:rsidR="00C742B4" w:rsidRPr="008E7E5A" w:rsidRDefault="00C742B4" w:rsidP="00C742B4">
      <w:pPr>
        <w:jc w:val="both"/>
        <w:rPr>
          <w:rFonts w:ascii="Arial" w:hAnsi="Arial" w:cs="Arial"/>
        </w:rPr>
      </w:pPr>
      <w:r w:rsidRPr="008E7E5A">
        <w:rPr>
          <w:rFonts w:ascii="Arial" w:hAnsi="Arial" w:cs="Arial"/>
        </w:rPr>
        <w:t>Expanding hospital infrastructure buffers rising demand but is constrained by land and manpower scarcity. Digital transformation to enhance clinical efficiency is a more sustainable long-term strategy</w:t>
      </w:r>
      <w:r w:rsidR="002856A7" w:rsidRPr="008E7E5A">
        <w:rPr>
          <w:rFonts w:ascii="Arial" w:hAnsi="Arial" w:cs="Arial"/>
        </w:rPr>
        <w:t xml:space="preserve"> which </w:t>
      </w:r>
      <w:r w:rsidRPr="008E7E5A">
        <w:rPr>
          <w:rFonts w:ascii="Arial" w:hAnsi="Arial" w:cs="Arial"/>
        </w:rPr>
        <w:t>MOH has already begun to pursue</w:t>
      </w:r>
      <w:r w:rsidR="007D0749" w:rsidRPr="008E7E5A">
        <w:rPr>
          <w:rFonts w:ascii="Arial" w:hAnsi="Arial" w:cs="Arial"/>
        </w:rPr>
        <w:t xml:space="preserve"> (MOH, 2024b)</w:t>
      </w:r>
      <w:r w:rsidRPr="008E7E5A">
        <w:rPr>
          <w:rFonts w:ascii="Arial" w:hAnsi="Arial" w:cs="Arial"/>
        </w:rPr>
        <w:t>.</w:t>
      </w:r>
    </w:p>
    <w:p w14:paraId="3DC2466B" w14:textId="0C1A8BA1" w:rsidR="00C742B4" w:rsidRPr="008E7E5A" w:rsidRDefault="00C742B4" w:rsidP="00C742B4">
      <w:pPr>
        <w:jc w:val="both"/>
        <w:rPr>
          <w:rFonts w:ascii="Arial" w:hAnsi="Arial" w:cs="Arial"/>
        </w:rPr>
      </w:pPr>
      <w:r w:rsidRPr="008E7E5A">
        <w:rPr>
          <w:rFonts w:ascii="Arial" w:hAnsi="Arial" w:cs="Arial"/>
        </w:rPr>
        <w:t xml:space="preserve">CPF and Medisave changes were announced in the </w:t>
      </w:r>
      <w:r w:rsidR="000A3141" w:rsidRPr="008E7E5A">
        <w:rPr>
          <w:rFonts w:ascii="Arial" w:hAnsi="Arial" w:cs="Arial"/>
        </w:rPr>
        <w:t>2025</w:t>
      </w:r>
      <w:r w:rsidRPr="008E7E5A">
        <w:rPr>
          <w:rFonts w:ascii="Arial" w:hAnsi="Arial" w:cs="Arial"/>
        </w:rPr>
        <w:t xml:space="preserve"> Budget to allow Singapore the cost of burden with its citizens, whilst managing long-term healthcare affordability</w:t>
      </w:r>
      <w:r w:rsidR="000A3141" w:rsidRPr="008E7E5A">
        <w:rPr>
          <w:rFonts w:ascii="Arial" w:hAnsi="Arial" w:cs="Arial"/>
        </w:rPr>
        <w:t xml:space="preserve"> (Central Provident Fund, 2025)</w:t>
      </w:r>
      <w:r w:rsidRPr="008E7E5A">
        <w:rPr>
          <w:rFonts w:ascii="Arial" w:hAnsi="Arial" w:cs="Arial"/>
        </w:rPr>
        <w:t xml:space="preserve">. </w:t>
      </w:r>
    </w:p>
    <w:p w14:paraId="6114446C" w14:textId="77777777" w:rsidR="00C742B4" w:rsidRPr="008E7E5A" w:rsidRDefault="00C742B4" w:rsidP="00C742B4">
      <w:pPr>
        <w:jc w:val="both"/>
        <w:rPr>
          <w:rFonts w:ascii="Arial" w:hAnsi="Arial" w:cs="Arial"/>
        </w:rPr>
      </w:pPr>
      <w:r w:rsidRPr="008E7E5A">
        <w:rPr>
          <w:rFonts w:ascii="Arial" w:hAnsi="Arial" w:cs="Arial"/>
        </w:rPr>
        <w:t>Overall. Singapore's healthcare system appears sustainable through 2035 under base case assumptions but a combination of high inflation, lower bed expansion rates and increase elderly cost multiplier effect could simultaneously stress all four dimensions of the model.</w:t>
      </w:r>
    </w:p>
    <w:p w14:paraId="6191BCFF" w14:textId="77777777" w:rsidR="00C742B4" w:rsidRPr="008E7E5A" w:rsidRDefault="00C742B4" w:rsidP="00C742B4">
      <w:pPr>
        <w:jc w:val="both"/>
        <w:rPr>
          <w:rFonts w:ascii="Arial" w:hAnsi="Arial" w:cs="Arial"/>
          <w:b/>
          <w:bCs/>
        </w:rPr>
      </w:pPr>
      <w:r w:rsidRPr="008E7E5A">
        <w:rPr>
          <w:rFonts w:ascii="Arial" w:hAnsi="Arial" w:cs="Arial"/>
          <w:b/>
          <w:bCs/>
        </w:rPr>
        <w:t xml:space="preserve">Limitations </w:t>
      </w:r>
    </w:p>
    <w:p w14:paraId="2F0C73B4" w14:textId="77777777" w:rsidR="00C742B4" w:rsidRPr="008E7E5A" w:rsidRDefault="00C742B4" w:rsidP="00C742B4">
      <w:pPr>
        <w:jc w:val="both"/>
        <w:rPr>
          <w:rFonts w:ascii="Arial" w:hAnsi="Arial" w:cs="Arial"/>
        </w:rPr>
      </w:pPr>
      <w:r w:rsidRPr="008E7E5A">
        <w:rPr>
          <w:rFonts w:ascii="Arial" w:hAnsi="Arial" w:cs="Arial"/>
        </w:rPr>
        <w:t xml:space="preserve">Low granularity in empirical data of hospital admissions rate by age disallowed useful insights based on age cohorts but was partially mitigated with the elderly cost multiplier. </w:t>
      </w:r>
    </w:p>
    <w:p w14:paraId="0BBF9DE8" w14:textId="77777777" w:rsidR="00C742B4" w:rsidRPr="008E7E5A" w:rsidRDefault="00C742B4" w:rsidP="00C742B4">
      <w:pPr>
        <w:jc w:val="both"/>
        <w:rPr>
          <w:rFonts w:ascii="Arial" w:hAnsi="Arial" w:cs="Arial"/>
        </w:rPr>
      </w:pPr>
      <w:r w:rsidRPr="008E7E5A">
        <w:rPr>
          <w:rFonts w:ascii="Arial" w:hAnsi="Arial" w:cs="Arial"/>
        </w:rPr>
        <w:t>Government healthcare budget projection is based on historical data and does not account for   future policy shifts or occurrence of pandemic events.</w:t>
      </w:r>
    </w:p>
    <w:p w14:paraId="511974C5" w14:textId="77777777" w:rsidR="00C742B4" w:rsidRPr="008E7E5A" w:rsidRDefault="00C742B4" w:rsidP="00C742B4">
      <w:pPr>
        <w:jc w:val="both"/>
        <w:rPr>
          <w:rFonts w:ascii="Arial" w:hAnsi="Arial" w:cs="Arial"/>
        </w:rPr>
      </w:pPr>
      <w:r w:rsidRPr="008E7E5A">
        <w:rPr>
          <w:rFonts w:ascii="Arial" w:hAnsi="Arial" w:cs="Arial"/>
        </w:rPr>
        <w:t xml:space="preserve">A lack of access to detailed data on public hospital income and expenditure necessitated the assumption to use 40% of total operating expenditure for cost per admission projection. </w:t>
      </w:r>
    </w:p>
    <w:p w14:paraId="58A178D7" w14:textId="5A0BB53F" w:rsidR="00C16400" w:rsidRPr="008E7E5A" w:rsidRDefault="00C742B4" w:rsidP="00C742B4">
      <w:pPr>
        <w:jc w:val="both"/>
        <w:rPr>
          <w:rFonts w:ascii="Arial" w:hAnsi="Arial" w:cs="Arial"/>
        </w:rPr>
      </w:pPr>
      <w:r w:rsidRPr="008E7E5A">
        <w:rPr>
          <w:rFonts w:ascii="Arial" w:hAnsi="Arial" w:cs="Arial"/>
        </w:rPr>
        <w:t xml:space="preserve">Household healthcare burden is likely underestimated by use of inpatient costs as a proxy for total healthcare affordability and is a larger percentage of total income for low-income households. </w:t>
      </w:r>
    </w:p>
    <w:p w14:paraId="5390E140" w14:textId="5839039C" w:rsidR="009A7200" w:rsidRPr="008E7E5A" w:rsidRDefault="006647E6" w:rsidP="006647E6">
      <w:pPr>
        <w:pStyle w:val="Heading1"/>
        <w:rPr>
          <w:rFonts w:ascii="Arial" w:hAnsi="Arial" w:cs="Arial"/>
        </w:rPr>
      </w:pPr>
      <w:bookmarkStart w:id="25" w:name="_Toc225459987"/>
      <w:r w:rsidRPr="008E7E5A">
        <w:rPr>
          <w:rFonts w:ascii="Arial" w:hAnsi="Arial" w:cs="Arial"/>
        </w:rPr>
        <w:lastRenderedPageBreak/>
        <w:t>Appendix</w:t>
      </w:r>
      <w:bookmarkEnd w:id="25"/>
    </w:p>
    <w:p w14:paraId="089E1AA4" w14:textId="77777777" w:rsidR="008E7E5A" w:rsidRPr="008E7E5A" w:rsidRDefault="00182E2C" w:rsidP="00182E2C">
      <w:pPr>
        <w:rPr>
          <w:rFonts w:ascii="Arial" w:hAnsi="Arial" w:cs="Arial"/>
        </w:rPr>
      </w:pPr>
      <w:r w:rsidRPr="008E7E5A">
        <w:rPr>
          <w:rFonts w:ascii="Arial" w:hAnsi="Arial" w:cs="Arial"/>
          <w:b/>
          <w:bCs/>
        </w:rPr>
        <w:t>Data Sources</w:t>
      </w:r>
      <w:r w:rsidR="008E7E5A" w:rsidRPr="008E7E5A">
        <w:rPr>
          <w:rFonts w:ascii="Arial" w:hAnsi="Arial" w:cs="Arial"/>
          <w:b/>
          <w:bCs/>
        </w:rPr>
        <w:t xml:space="preserve"> </w:t>
      </w:r>
    </w:p>
    <w:p w14:paraId="3DF4342D" w14:textId="3470A7D2" w:rsidR="00182E2C" w:rsidRPr="008E7E5A" w:rsidRDefault="008E7E5A" w:rsidP="00182E2C">
      <w:pPr>
        <w:rPr>
          <w:rFonts w:ascii="Arial" w:hAnsi="Arial" w:cs="Arial"/>
          <w:b/>
          <w:bCs/>
        </w:rPr>
      </w:pPr>
      <w:r w:rsidRPr="008E7E5A">
        <w:rPr>
          <w:rFonts w:ascii="Arial" w:hAnsi="Arial" w:cs="Arial"/>
        </w:rPr>
        <w:t>Click on data description to be directed to the source</w:t>
      </w:r>
    </w:p>
    <w:tbl>
      <w:tblPr>
        <w:tblW w:w="9067" w:type="dxa"/>
        <w:tblLook w:val="04A0" w:firstRow="1" w:lastRow="0" w:firstColumn="1" w:lastColumn="0" w:noHBand="0" w:noVBand="1"/>
      </w:tblPr>
      <w:tblGrid>
        <w:gridCol w:w="4106"/>
        <w:gridCol w:w="4961"/>
      </w:tblGrid>
      <w:tr w:rsidR="008E7E5A" w:rsidRPr="008E7E5A" w14:paraId="608805A1" w14:textId="77777777" w:rsidTr="008E7E5A">
        <w:trPr>
          <w:trHeight w:val="576"/>
        </w:trPr>
        <w:tc>
          <w:tcPr>
            <w:tcW w:w="4106" w:type="dxa"/>
            <w:tcBorders>
              <w:top w:val="single" w:sz="4" w:space="0" w:color="auto"/>
              <w:left w:val="single" w:sz="4" w:space="0" w:color="auto"/>
              <w:bottom w:val="single" w:sz="4" w:space="0" w:color="auto"/>
              <w:right w:val="single" w:sz="4" w:space="0" w:color="auto"/>
            </w:tcBorders>
            <w:vAlign w:val="bottom"/>
            <w:hideMark/>
          </w:tcPr>
          <w:p w14:paraId="7709E026" w14:textId="77777777" w:rsidR="008E7E5A" w:rsidRPr="00915BC6" w:rsidRDefault="008E7E5A" w:rsidP="00915BC6">
            <w:pPr>
              <w:spacing w:after="0" w:line="240" w:lineRule="auto"/>
              <w:rPr>
                <w:rFonts w:ascii="Arial" w:eastAsia="Times New Roman" w:hAnsi="Arial" w:cs="Arial"/>
                <w:b/>
                <w:bCs/>
                <w:color w:val="000000"/>
                <w:kern w:val="0"/>
                <w:lang w:eastAsia="zh-CN"/>
                <w14:ligatures w14:val="none"/>
              </w:rPr>
            </w:pPr>
            <w:r w:rsidRPr="00915BC6">
              <w:rPr>
                <w:rFonts w:ascii="Arial" w:eastAsia="Times New Roman" w:hAnsi="Arial" w:cs="Arial"/>
                <w:b/>
                <w:bCs/>
                <w:color w:val="000000"/>
                <w:kern w:val="0"/>
                <w:lang w:eastAsia="zh-CN"/>
                <w14:ligatures w14:val="none"/>
              </w:rPr>
              <w:t>Data Description</w:t>
            </w:r>
          </w:p>
        </w:tc>
        <w:tc>
          <w:tcPr>
            <w:tcW w:w="4961" w:type="dxa"/>
            <w:tcBorders>
              <w:top w:val="single" w:sz="4" w:space="0" w:color="auto"/>
              <w:left w:val="nil"/>
              <w:bottom w:val="single" w:sz="4" w:space="0" w:color="auto"/>
              <w:right w:val="single" w:sz="4" w:space="0" w:color="auto"/>
            </w:tcBorders>
            <w:vAlign w:val="bottom"/>
            <w:hideMark/>
          </w:tcPr>
          <w:p w14:paraId="50E91AB3" w14:textId="77777777" w:rsidR="008E7E5A" w:rsidRPr="00915BC6" w:rsidRDefault="008E7E5A" w:rsidP="00915BC6">
            <w:pPr>
              <w:spacing w:after="0" w:line="240" w:lineRule="auto"/>
              <w:rPr>
                <w:rFonts w:ascii="Arial" w:eastAsia="Times New Roman" w:hAnsi="Arial" w:cs="Arial"/>
                <w:b/>
                <w:bCs/>
                <w:color w:val="000000"/>
                <w:kern w:val="0"/>
                <w:lang w:eastAsia="zh-CN"/>
                <w14:ligatures w14:val="none"/>
              </w:rPr>
            </w:pPr>
            <w:r w:rsidRPr="00915BC6">
              <w:rPr>
                <w:rFonts w:ascii="Arial" w:eastAsia="Times New Roman" w:hAnsi="Arial" w:cs="Arial"/>
                <w:b/>
                <w:bCs/>
                <w:color w:val="000000"/>
                <w:kern w:val="0"/>
                <w:lang w:eastAsia="zh-CN"/>
                <w14:ligatures w14:val="none"/>
              </w:rPr>
              <w:t>Purpose</w:t>
            </w:r>
          </w:p>
        </w:tc>
      </w:tr>
      <w:tr w:rsidR="008E7E5A" w:rsidRPr="008E7E5A" w14:paraId="720EBF43" w14:textId="77777777" w:rsidTr="008E7E5A">
        <w:trPr>
          <w:trHeight w:val="1152"/>
        </w:trPr>
        <w:tc>
          <w:tcPr>
            <w:tcW w:w="4106" w:type="dxa"/>
            <w:tcBorders>
              <w:top w:val="nil"/>
              <w:left w:val="single" w:sz="4" w:space="0" w:color="auto"/>
              <w:bottom w:val="single" w:sz="4" w:space="0" w:color="auto"/>
              <w:right w:val="single" w:sz="4" w:space="0" w:color="auto"/>
            </w:tcBorders>
            <w:vAlign w:val="bottom"/>
            <w:hideMark/>
          </w:tcPr>
          <w:p w14:paraId="5D4CE70D" w14:textId="744D633F"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29" w:history="1">
              <w:r w:rsidRPr="00915BC6">
                <w:rPr>
                  <w:rStyle w:val="Hyperlink"/>
                  <w:rFonts w:ascii="Arial" w:eastAsia="Times New Roman" w:hAnsi="Arial" w:cs="Arial"/>
                  <w:kern w:val="0"/>
                  <w:lang w:eastAsia="zh-CN"/>
                  <w14:ligatures w14:val="none"/>
                </w:rPr>
                <w:t>Singapore Population by Age Group</w:t>
              </w:r>
            </w:hyperlink>
          </w:p>
        </w:tc>
        <w:tc>
          <w:tcPr>
            <w:tcW w:w="4961" w:type="dxa"/>
            <w:tcBorders>
              <w:top w:val="nil"/>
              <w:left w:val="nil"/>
              <w:bottom w:val="single" w:sz="4" w:space="0" w:color="auto"/>
              <w:right w:val="single" w:sz="4" w:space="0" w:color="auto"/>
            </w:tcBorders>
            <w:vAlign w:val="bottom"/>
            <w:hideMark/>
          </w:tcPr>
          <w:p w14:paraId="6A48B756"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 xml:space="preserve">To analyze population growth trends and project future population by age group through 2035. Base population will be used to forecast hospital demand </w:t>
            </w:r>
          </w:p>
        </w:tc>
      </w:tr>
      <w:tr w:rsidR="008E7E5A" w:rsidRPr="008E7E5A" w14:paraId="0D14B148" w14:textId="77777777" w:rsidTr="008E7E5A">
        <w:trPr>
          <w:trHeight w:val="1152"/>
        </w:trPr>
        <w:tc>
          <w:tcPr>
            <w:tcW w:w="4106" w:type="dxa"/>
            <w:tcBorders>
              <w:top w:val="nil"/>
              <w:left w:val="single" w:sz="4" w:space="0" w:color="auto"/>
              <w:bottom w:val="single" w:sz="4" w:space="0" w:color="auto"/>
              <w:right w:val="single" w:sz="4" w:space="0" w:color="auto"/>
            </w:tcBorders>
            <w:vAlign w:val="bottom"/>
            <w:hideMark/>
          </w:tcPr>
          <w:p w14:paraId="3ACC60CF" w14:textId="45FDA19E"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0" w:history="1">
              <w:r w:rsidRPr="00915BC6">
                <w:rPr>
                  <w:rStyle w:val="Hyperlink"/>
                  <w:rFonts w:ascii="Arial" w:eastAsia="Times New Roman" w:hAnsi="Arial" w:cs="Arial"/>
                  <w:kern w:val="0"/>
                  <w:lang w:eastAsia="zh-CN"/>
                  <w14:ligatures w14:val="none"/>
                </w:rPr>
                <w:t>Hospital Admission Rate By Sex And Age, Annually-HAR</w:t>
              </w:r>
            </w:hyperlink>
          </w:p>
        </w:tc>
        <w:tc>
          <w:tcPr>
            <w:tcW w:w="4961" w:type="dxa"/>
            <w:tcBorders>
              <w:top w:val="nil"/>
              <w:left w:val="nil"/>
              <w:bottom w:val="single" w:sz="4" w:space="0" w:color="auto"/>
              <w:right w:val="single" w:sz="4" w:space="0" w:color="auto"/>
            </w:tcBorders>
            <w:vAlign w:val="bottom"/>
            <w:hideMark/>
          </w:tcPr>
          <w:p w14:paraId="4DAAAC28"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Obtain baseline age-specific admission rates.</w:t>
            </w:r>
          </w:p>
        </w:tc>
      </w:tr>
      <w:tr w:rsidR="008E7E5A" w:rsidRPr="008E7E5A" w14:paraId="0C7F892C" w14:textId="77777777" w:rsidTr="008E7E5A">
        <w:trPr>
          <w:trHeight w:val="864"/>
        </w:trPr>
        <w:tc>
          <w:tcPr>
            <w:tcW w:w="4106" w:type="dxa"/>
            <w:tcBorders>
              <w:top w:val="nil"/>
              <w:left w:val="single" w:sz="4" w:space="0" w:color="auto"/>
              <w:bottom w:val="single" w:sz="4" w:space="0" w:color="auto"/>
              <w:right w:val="single" w:sz="4" w:space="0" w:color="auto"/>
            </w:tcBorders>
            <w:vAlign w:val="bottom"/>
            <w:hideMark/>
          </w:tcPr>
          <w:p w14:paraId="6DE1D3B2" w14:textId="74465A05"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1" w:history="1">
              <w:r w:rsidRPr="00915BC6">
                <w:rPr>
                  <w:rStyle w:val="Hyperlink"/>
                  <w:rFonts w:ascii="Arial" w:eastAsia="Times New Roman" w:hAnsi="Arial" w:cs="Arial"/>
                  <w:kern w:val="0"/>
                  <w:lang w:eastAsia="zh-CN"/>
                  <w14:ligatures w14:val="none"/>
                </w:rPr>
                <w:t>MOH Bed Expansion Plan</w:t>
              </w:r>
            </w:hyperlink>
          </w:p>
        </w:tc>
        <w:tc>
          <w:tcPr>
            <w:tcW w:w="4961" w:type="dxa"/>
            <w:tcBorders>
              <w:top w:val="nil"/>
              <w:left w:val="nil"/>
              <w:bottom w:val="single" w:sz="4" w:space="0" w:color="auto"/>
              <w:right w:val="single" w:sz="4" w:space="0" w:color="auto"/>
            </w:tcBorders>
            <w:vAlign w:val="bottom"/>
            <w:hideMark/>
          </w:tcPr>
          <w:p w14:paraId="0B834AE1"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Acute hospital beds in 2024. Annual bed expansion rate.</w:t>
            </w:r>
          </w:p>
        </w:tc>
      </w:tr>
      <w:tr w:rsidR="008E7E5A" w:rsidRPr="008E7E5A" w14:paraId="10CCC960" w14:textId="77777777" w:rsidTr="008E7E5A">
        <w:trPr>
          <w:trHeight w:val="864"/>
        </w:trPr>
        <w:tc>
          <w:tcPr>
            <w:tcW w:w="4106" w:type="dxa"/>
            <w:tcBorders>
              <w:top w:val="nil"/>
              <w:left w:val="single" w:sz="4" w:space="0" w:color="auto"/>
              <w:bottom w:val="single" w:sz="4" w:space="0" w:color="auto"/>
              <w:right w:val="single" w:sz="4" w:space="0" w:color="auto"/>
            </w:tcBorders>
            <w:vAlign w:val="bottom"/>
            <w:hideMark/>
          </w:tcPr>
          <w:p w14:paraId="13BE207F" w14:textId="11BFB752"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2" w:history="1">
              <w:r w:rsidRPr="00915BC6">
                <w:rPr>
                  <w:rStyle w:val="Hyperlink"/>
                  <w:rFonts w:ascii="Arial" w:eastAsia="Times New Roman" w:hAnsi="Arial" w:cs="Arial"/>
                  <w:kern w:val="0"/>
                  <w:lang w:eastAsia="zh-CN"/>
                  <w14:ligatures w14:val="none"/>
                </w:rPr>
                <w:t>Beds In Inpatient Facilities</w:t>
              </w:r>
            </w:hyperlink>
          </w:p>
        </w:tc>
        <w:tc>
          <w:tcPr>
            <w:tcW w:w="4961" w:type="dxa"/>
            <w:tcBorders>
              <w:top w:val="nil"/>
              <w:left w:val="nil"/>
              <w:bottom w:val="single" w:sz="4" w:space="0" w:color="auto"/>
              <w:right w:val="single" w:sz="4" w:space="0" w:color="auto"/>
            </w:tcBorders>
            <w:vAlign w:val="bottom"/>
            <w:hideMark/>
          </w:tcPr>
          <w:p w14:paraId="7FF174DC"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 xml:space="preserve">Used to forecast future acute hospital beds. </w:t>
            </w:r>
          </w:p>
        </w:tc>
      </w:tr>
      <w:tr w:rsidR="008E7E5A" w:rsidRPr="008E7E5A" w14:paraId="09A3A634" w14:textId="77777777" w:rsidTr="008E7E5A">
        <w:trPr>
          <w:trHeight w:val="576"/>
        </w:trPr>
        <w:tc>
          <w:tcPr>
            <w:tcW w:w="4106" w:type="dxa"/>
            <w:tcBorders>
              <w:top w:val="nil"/>
              <w:left w:val="single" w:sz="4" w:space="0" w:color="auto"/>
              <w:bottom w:val="single" w:sz="4" w:space="0" w:color="auto"/>
              <w:right w:val="single" w:sz="4" w:space="0" w:color="auto"/>
            </w:tcBorders>
            <w:vAlign w:val="bottom"/>
            <w:hideMark/>
          </w:tcPr>
          <w:p w14:paraId="1B5621F2" w14:textId="4B4DDAAE"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3" w:history="1">
              <w:r w:rsidRPr="00915BC6">
                <w:rPr>
                  <w:rStyle w:val="Hyperlink"/>
                  <w:rFonts w:ascii="Arial" w:eastAsia="Times New Roman" w:hAnsi="Arial" w:cs="Arial"/>
                  <w:kern w:val="0"/>
                  <w:lang w:eastAsia="zh-CN"/>
                  <w14:ligatures w14:val="none"/>
                </w:rPr>
                <w:t>Waiting Times for Admissions</w:t>
              </w:r>
            </w:hyperlink>
          </w:p>
        </w:tc>
        <w:tc>
          <w:tcPr>
            <w:tcW w:w="4961" w:type="dxa"/>
            <w:tcBorders>
              <w:top w:val="nil"/>
              <w:left w:val="nil"/>
              <w:bottom w:val="single" w:sz="4" w:space="0" w:color="auto"/>
              <w:right w:val="single" w:sz="4" w:space="0" w:color="auto"/>
            </w:tcBorders>
            <w:vAlign w:val="bottom"/>
            <w:hideMark/>
          </w:tcPr>
          <w:p w14:paraId="526111FC"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ALOS: Average length of stay</w:t>
            </w:r>
          </w:p>
        </w:tc>
      </w:tr>
      <w:tr w:rsidR="008E7E5A" w:rsidRPr="008E7E5A" w14:paraId="0ED4A306" w14:textId="77777777" w:rsidTr="008E7E5A">
        <w:trPr>
          <w:trHeight w:val="576"/>
        </w:trPr>
        <w:tc>
          <w:tcPr>
            <w:tcW w:w="4106" w:type="dxa"/>
            <w:tcBorders>
              <w:top w:val="nil"/>
              <w:left w:val="single" w:sz="4" w:space="0" w:color="auto"/>
              <w:bottom w:val="single" w:sz="4" w:space="0" w:color="auto"/>
              <w:right w:val="single" w:sz="4" w:space="0" w:color="auto"/>
            </w:tcBorders>
            <w:vAlign w:val="bottom"/>
            <w:hideMark/>
          </w:tcPr>
          <w:p w14:paraId="662BE1A5" w14:textId="571AE6A7"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4" w:history="1">
              <w:r w:rsidRPr="00915BC6">
                <w:rPr>
                  <w:rStyle w:val="Hyperlink"/>
                  <w:rFonts w:ascii="Arial" w:eastAsia="Times New Roman" w:hAnsi="Arial" w:cs="Arial"/>
                  <w:kern w:val="0"/>
                  <w:lang w:eastAsia="zh-CN"/>
                  <w14:ligatures w14:val="none"/>
                </w:rPr>
                <w:t>Hospital Bed Occupancy Rate</w:t>
              </w:r>
            </w:hyperlink>
          </w:p>
        </w:tc>
        <w:tc>
          <w:tcPr>
            <w:tcW w:w="4961" w:type="dxa"/>
            <w:tcBorders>
              <w:top w:val="nil"/>
              <w:left w:val="nil"/>
              <w:bottom w:val="single" w:sz="4" w:space="0" w:color="auto"/>
              <w:right w:val="single" w:sz="4" w:space="0" w:color="auto"/>
            </w:tcBorders>
            <w:vAlign w:val="bottom"/>
            <w:hideMark/>
          </w:tcPr>
          <w:p w14:paraId="3C7C5F18"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BOR thresholds</w:t>
            </w:r>
          </w:p>
        </w:tc>
      </w:tr>
      <w:tr w:rsidR="008E7E5A" w:rsidRPr="008E7E5A" w14:paraId="41FCC947" w14:textId="77777777" w:rsidTr="008E7E5A">
        <w:trPr>
          <w:trHeight w:val="1152"/>
        </w:trPr>
        <w:tc>
          <w:tcPr>
            <w:tcW w:w="4106" w:type="dxa"/>
            <w:tcBorders>
              <w:top w:val="nil"/>
              <w:left w:val="single" w:sz="4" w:space="0" w:color="auto"/>
              <w:bottom w:val="single" w:sz="4" w:space="0" w:color="auto"/>
              <w:right w:val="single" w:sz="4" w:space="0" w:color="auto"/>
            </w:tcBorders>
            <w:vAlign w:val="bottom"/>
            <w:hideMark/>
          </w:tcPr>
          <w:p w14:paraId="0E7EE63D" w14:textId="3DEFFD4C"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5" w:history="1">
              <w:r w:rsidRPr="00915BC6">
                <w:rPr>
                  <w:rStyle w:val="Hyperlink"/>
                  <w:rFonts w:ascii="Arial" w:eastAsia="Times New Roman" w:hAnsi="Arial" w:cs="Arial"/>
                  <w:kern w:val="0"/>
                  <w:lang w:eastAsia="zh-CN"/>
                  <w14:ligatures w14:val="none"/>
                </w:rPr>
                <w:t>Annual Government Healthcare Expenditure</w:t>
              </w:r>
            </w:hyperlink>
          </w:p>
        </w:tc>
        <w:tc>
          <w:tcPr>
            <w:tcW w:w="4961" w:type="dxa"/>
            <w:tcBorders>
              <w:top w:val="nil"/>
              <w:left w:val="nil"/>
              <w:bottom w:val="single" w:sz="4" w:space="0" w:color="auto"/>
              <w:right w:val="single" w:sz="4" w:space="0" w:color="auto"/>
            </w:tcBorders>
            <w:vAlign w:val="bottom"/>
            <w:hideMark/>
          </w:tcPr>
          <w:p w14:paraId="35536975"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Used to forecast future expenditure</w:t>
            </w:r>
          </w:p>
        </w:tc>
      </w:tr>
      <w:tr w:rsidR="008E7E5A" w:rsidRPr="008E7E5A" w14:paraId="5A5DAD0A" w14:textId="77777777" w:rsidTr="008E7E5A">
        <w:trPr>
          <w:trHeight w:val="1152"/>
        </w:trPr>
        <w:tc>
          <w:tcPr>
            <w:tcW w:w="4106" w:type="dxa"/>
            <w:tcBorders>
              <w:top w:val="nil"/>
              <w:left w:val="single" w:sz="4" w:space="0" w:color="auto"/>
              <w:bottom w:val="single" w:sz="4" w:space="0" w:color="auto"/>
              <w:right w:val="single" w:sz="4" w:space="0" w:color="auto"/>
            </w:tcBorders>
            <w:vAlign w:val="bottom"/>
            <w:hideMark/>
          </w:tcPr>
          <w:p w14:paraId="19C28A21" w14:textId="6BD919D5"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6" w:history="1">
              <w:r w:rsidRPr="00915BC6">
                <w:rPr>
                  <w:rStyle w:val="Hyperlink"/>
                  <w:rFonts w:ascii="Arial" w:eastAsia="Times New Roman" w:hAnsi="Arial" w:cs="Arial"/>
                  <w:kern w:val="0"/>
                  <w:lang w:eastAsia="zh-CN"/>
                  <w14:ligatures w14:val="none"/>
                </w:rPr>
                <w:t>MOH Healthcare Consumer Price Index</w:t>
              </w:r>
            </w:hyperlink>
          </w:p>
        </w:tc>
        <w:tc>
          <w:tcPr>
            <w:tcW w:w="4961" w:type="dxa"/>
            <w:tcBorders>
              <w:top w:val="nil"/>
              <w:left w:val="nil"/>
              <w:bottom w:val="single" w:sz="4" w:space="0" w:color="auto"/>
              <w:right w:val="single" w:sz="4" w:space="0" w:color="auto"/>
            </w:tcBorders>
            <w:vAlign w:val="bottom"/>
            <w:hideMark/>
          </w:tcPr>
          <w:p w14:paraId="5739C597"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Used to calculate healthcare inflation rate</w:t>
            </w:r>
          </w:p>
        </w:tc>
      </w:tr>
      <w:tr w:rsidR="008E7E5A" w:rsidRPr="008E7E5A" w14:paraId="12546F02" w14:textId="77777777" w:rsidTr="008E7E5A">
        <w:trPr>
          <w:trHeight w:val="864"/>
        </w:trPr>
        <w:tc>
          <w:tcPr>
            <w:tcW w:w="4106" w:type="dxa"/>
            <w:tcBorders>
              <w:top w:val="nil"/>
              <w:left w:val="single" w:sz="4" w:space="0" w:color="auto"/>
              <w:bottom w:val="single" w:sz="4" w:space="0" w:color="auto"/>
              <w:right w:val="single" w:sz="4" w:space="0" w:color="auto"/>
            </w:tcBorders>
            <w:vAlign w:val="bottom"/>
            <w:hideMark/>
          </w:tcPr>
          <w:p w14:paraId="56C443DB" w14:textId="53A99A4F"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7" w:history="1">
              <w:r w:rsidRPr="00915BC6">
                <w:rPr>
                  <w:rStyle w:val="Hyperlink"/>
                  <w:rFonts w:ascii="Arial" w:eastAsia="Times New Roman" w:hAnsi="Arial" w:cs="Arial"/>
                  <w:kern w:val="0"/>
                  <w:lang w:eastAsia="zh-CN"/>
                  <w14:ligatures w14:val="none"/>
                </w:rPr>
                <w:t>Median household Income</w:t>
              </w:r>
            </w:hyperlink>
            <w:r w:rsidRPr="00915BC6">
              <w:rPr>
                <w:rFonts w:ascii="Arial" w:eastAsia="Times New Roman" w:hAnsi="Arial" w:cs="Arial"/>
                <w:color w:val="000000"/>
                <w:kern w:val="0"/>
                <w:lang w:eastAsia="zh-CN"/>
                <w14:ligatures w14:val="none"/>
              </w:rPr>
              <w:t xml:space="preserve"> </w:t>
            </w:r>
          </w:p>
        </w:tc>
        <w:tc>
          <w:tcPr>
            <w:tcW w:w="4961" w:type="dxa"/>
            <w:tcBorders>
              <w:top w:val="nil"/>
              <w:left w:val="nil"/>
              <w:bottom w:val="single" w:sz="4" w:space="0" w:color="auto"/>
              <w:right w:val="single" w:sz="4" w:space="0" w:color="auto"/>
            </w:tcBorders>
            <w:vAlign w:val="bottom"/>
            <w:hideMark/>
          </w:tcPr>
          <w:p w14:paraId="426BFFA0"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 xml:space="preserve">Latest median monthly income figure </w:t>
            </w:r>
          </w:p>
        </w:tc>
      </w:tr>
      <w:tr w:rsidR="008E7E5A" w:rsidRPr="008E7E5A" w14:paraId="27505E7E" w14:textId="77777777" w:rsidTr="008E7E5A">
        <w:trPr>
          <w:trHeight w:val="864"/>
        </w:trPr>
        <w:tc>
          <w:tcPr>
            <w:tcW w:w="4106" w:type="dxa"/>
            <w:tcBorders>
              <w:top w:val="nil"/>
              <w:left w:val="single" w:sz="4" w:space="0" w:color="auto"/>
              <w:bottom w:val="single" w:sz="4" w:space="0" w:color="auto"/>
              <w:right w:val="single" w:sz="4" w:space="0" w:color="auto"/>
            </w:tcBorders>
            <w:vAlign w:val="bottom"/>
            <w:hideMark/>
          </w:tcPr>
          <w:p w14:paraId="4C336017" w14:textId="44A03E23"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8" w:history="1">
              <w:r w:rsidRPr="00915BC6">
                <w:rPr>
                  <w:rStyle w:val="Hyperlink"/>
                  <w:rFonts w:ascii="Arial" w:eastAsia="Times New Roman" w:hAnsi="Arial" w:cs="Arial"/>
                  <w:kern w:val="0"/>
                  <w:lang w:eastAsia="zh-CN"/>
                  <w14:ligatures w14:val="none"/>
                </w:rPr>
                <w:t>Household employment Income</w:t>
              </w:r>
            </w:hyperlink>
            <w:r w:rsidRPr="00915BC6">
              <w:rPr>
                <w:rFonts w:ascii="Arial" w:eastAsia="Times New Roman" w:hAnsi="Arial" w:cs="Arial"/>
                <w:color w:val="000000"/>
                <w:kern w:val="0"/>
                <w:lang w:eastAsia="zh-CN"/>
                <w14:ligatures w14:val="none"/>
              </w:rPr>
              <w:t xml:space="preserve"> </w:t>
            </w:r>
          </w:p>
        </w:tc>
        <w:tc>
          <w:tcPr>
            <w:tcW w:w="4961" w:type="dxa"/>
            <w:tcBorders>
              <w:top w:val="nil"/>
              <w:left w:val="nil"/>
              <w:bottom w:val="single" w:sz="4" w:space="0" w:color="auto"/>
              <w:right w:val="single" w:sz="4" w:space="0" w:color="auto"/>
            </w:tcBorders>
            <w:vAlign w:val="bottom"/>
            <w:hideMark/>
          </w:tcPr>
          <w:p w14:paraId="69FA2D51"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To calculate key household income trends (KHIT)</w:t>
            </w:r>
          </w:p>
        </w:tc>
      </w:tr>
      <w:tr w:rsidR="008E7E5A" w:rsidRPr="008E7E5A" w14:paraId="4D5B3B72" w14:textId="77777777" w:rsidTr="008E7E5A">
        <w:trPr>
          <w:trHeight w:val="864"/>
        </w:trPr>
        <w:tc>
          <w:tcPr>
            <w:tcW w:w="4106" w:type="dxa"/>
            <w:tcBorders>
              <w:top w:val="nil"/>
              <w:left w:val="single" w:sz="4" w:space="0" w:color="auto"/>
              <w:bottom w:val="single" w:sz="4" w:space="0" w:color="auto"/>
              <w:right w:val="single" w:sz="4" w:space="0" w:color="auto"/>
            </w:tcBorders>
            <w:vAlign w:val="bottom"/>
            <w:hideMark/>
          </w:tcPr>
          <w:p w14:paraId="5145DB9E" w14:textId="5F9AD3A8"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39" w:history="1">
              <w:r w:rsidRPr="00915BC6">
                <w:rPr>
                  <w:rStyle w:val="Hyperlink"/>
                  <w:rFonts w:ascii="Arial" w:eastAsia="Times New Roman" w:hAnsi="Arial" w:cs="Arial"/>
                  <w:kern w:val="0"/>
                  <w:lang w:eastAsia="zh-CN"/>
                  <w14:ligatures w14:val="none"/>
                </w:rPr>
                <w:t>Number of households in Singapore</w:t>
              </w:r>
            </w:hyperlink>
            <w:r w:rsidRPr="00915BC6">
              <w:rPr>
                <w:rFonts w:ascii="Arial" w:eastAsia="Times New Roman" w:hAnsi="Arial" w:cs="Arial"/>
                <w:color w:val="000000"/>
                <w:kern w:val="0"/>
                <w:lang w:eastAsia="zh-CN"/>
                <w14:ligatures w14:val="none"/>
              </w:rPr>
              <w:t xml:space="preserve"> </w:t>
            </w:r>
          </w:p>
        </w:tc>
        <w:tc>
          <w:tcPr>
            <w:tcW w:w="4961" w:type="dxa"/>
            <w:tcBorders>
              <w:top w:val="nil"/>
              <w:left w:val="nil"/>
              <w:bottom w:val="single" w:sz="4" w:space="0" w:color="auto"/>
              <w:right w:val="single" w:sz="4" w:space="0" w:color="auto"/>
            </w:tcBorders>
            <w:vAlign w:val="bottom"/>
            <w:hideMark/>
          </w:tcPr>
          <w:p w14:paraId="0007200F"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 xml:space="preserve">Total number of residents households </w:t>
            </w:r>
          </w:p>
        </w:tc>
      </w:tr>
      <w:tr w:rsidR="008E7E5A" w:rsidRPr="008E7E5A" w14:paraId="6C261D56" w14:textId="77777777" w:rsidTr="008E7E5A">
        <w:trPr>
          <w:trHeight w:val="1440"/>
        </w:trPr>
        <w:tc>
          <w:tcPr>
            <w:tcW w:w="4106" w:type="dxa"/>
            <w:tcBorders>
              <w:top w:val="nil"/>
              <w:left w:val="single" w:sz="4" w:space="0" w:color="auto"/>
              <w:bottom w:val="single" w:sz="4" w:space="0" w:color="auto"/>
              <w:right w:val="single" w:sz="4" w:space="0" w:color="auto"/>
            </w:tcBorders>
            <w:vAlign w:val="bottom"/>
            <w:hideMark/>
          </w:tcPr>
          <w:p w14:paraId="40046AFE" w14:textId="127281B4" w:rsidR="008E7E5A" w:rsidRPr="00915BC6" w:rsidRDefault="008E7E5A" w:rsidP="00915BC6">
            <w:pPr>
              <w:spacing w:after="0" w:line="240" w:lineRule="auto"/>
              <w:rPr>
                <w:rFonts w:ascii="Arial" w:eastAsia="Times New Roman" w:hAnsi="Arial" w:cs="Arial"/>
                <w:color w:val="000000"/>
                <w:kern w:val="0"/>
                <w:lang w:eastAsia="zh-CN"/>
                <w14:ligatures w14:val="none"/>
              </w:rPr>
            </w:pPr>
            <w:hyperlink r:id="rId40" w:history="1">
              <w:r w:rsidRPr="00915BC6">
                <w:rPr>
                  <w:rStyle w:val="Hyperlink"/>
                  <w:rFonts w:ascii="Arial" w:eastAsia="Times New Roman" w:hAnsi="Arial" w:cs="Arial"/>
                  <w:kern w:val="0"/>
                  <w:lang w:eastAsia="zh-CN"/>
                  <w14:ligatures w14:val="none"/>
                </w:rPr>
                <w:t>Subsidies for Acute Inpatient Care at Public Healthcare Institutions</w:t>
              </w:r>
            </w:hyperlink>
          </w:p>
        </w:tc>
        <w:tc>
          <w:tcPr>
            <w:tcW w:w="4961" w:type="dxa"/>
            <w:tcBorders>
              <w:top w:val="nil"/>
              <w:left w:val="nil"/>
              <w:bottom w:val="single" w:sz="4" w:space="0" w:color="auto"/>
              <w:right w:val="single" w:sz="4" w:space="0" w:color="auto"/>
            </w:tcBorders>
            <w:vAlign w:val="bottom"/>
            <w:hideMark/>
          </w:tcPr>
          <w:p w14:paraId="04895F4E" w14:textId="77777777" w:rsidR="008E7E5A" w:rsidRPr="00915BC6" w:rsidRDefault="008E7E5A" w:rsidP="00915BC6">
            <w:pPr>
              <w:spacing w:after="0" w:line="240" w:lineRule="auto"/>
              <w:rPr>
                <w:rFonts w:ascii="Arial" w:eastAsia="Times New Roman" w:hAnsi="Arial" w:cs="Arial"/>
                <w:color w:val="000000"/>
                <w:kern w:val="0"/>
                <w:lang w:eastAsia="zh-CN"/>
                <w14:ligatures w14:val="none"/>
              </w:rPr>
            </w:pPr>
            <w:r w:rsidRPr="00915BC6">
              <w:rPr>
                <w:rFonts w:ascii="Arial" w:eastAsia="Times New Roman" w:hAnsi="Arial" w:cs="Arial"/>
                <w:color w:val="000000"/>
                <w:kern w:val="0"/>
                <w:lang w:eastAsia="zh-CN"/>
                <w14:ligatures w14:val="none"/>
              </w:rPr>
              <w:t>% subsidy for public hospital patients by ward class</w:t>
            </w:r>
          </w:p>
        </w:tc>
      </w:tr>
    </w:tbl>
    <w:p w14:paraId="0560F17E" w14:textId="622615B1" w:rsidR="00863BDD" w:rsidRPr="008E7E5A" w:rsidRDefault="00863BDD" w:rsidP="373E0290">
      <w:pPr>
        <w:pStyle w:val="Heading1"/>
        <w:rPr>
          <w:rFonts w:ascii="Arial" w:hAnsi="Arial" w:cs="Arial"/>
          <w:sz w:val="36"/>
          <w:szCs w:val="36"/>
        </w:rPr>
      </w:pPr>
      <w:bookmarkStart w:id="26" w:name="_Toc225459988"/>
      <w:r w:rsidRPr="008E7E5A">
        <w:rPr>
          <w:rFonts w:ascii="Arial" w:hAnsi="Arial" w:cs="Arial"/>
          <w:sz w:val="36"/>
          <w:szCs w:val="36"/>
        </w:rPr>
        <w:lastRenderedPageBreak/>
        <w:t>References</w:t>
      </w:r>
      <w:bookmarkEnd w:id="26"/>
      <w:r w:rsidRPr="008E7E5A">
        <w:rPr>
          <w:rFonts w:ascii="Arial" w:hAnsi="Arial" w:cs="Arial"/>
          <w:sz w:val="36"/>
          <w:szCs w:val="36"/>
        </w:rPr>
        <w:t> </w:t>
      </w:r>
    </w:p>
    <w:p w14:paraId="38F9BF2E" w14:textId="6008C03A" w:rsidR="0007551A" w:rsidRPr="008E7E5A" w:rsidRDefault="00C16E3F" w:rsidP="00321AFD">
      <w:pPr>
        <w:ind w:left="720" w:hanging="720"/>
        <w:jc w:val="both"/>
        <w:rPr>
          <w:rFonts w:ascii="Arial" w:hAnsi="Arial" w:cs="Arial"/>
        </w:rPr>
      </w:pPr>
      <w:r w:rsidRPr="008E7E5A">
        <w:rPr>
          <w:rFonts w:ascii="Arial" w:hAnsi="Arial" w:cs="Arial"/>
        </w:rPr>
        <w:t>[1]</w:t>
      </w:r>
      <w:r w:rsidRPr="008E7E5A">
        <w:rPr>
          <w:rFonts w:ascii="Arial" w:hAnsi="Arial" w:cs="Arial"/>
        </w:rPr>
        <w:tab/>
      </w:r>
      <w:r w:rsidR="0094619C" w:rsidRPr="008E7E5A">
        <w:rPr>
          <w:rFonts w:ascii="Arial" w:hAnsi="Arial" w:cs="Arial"/>
        </w:rPr>
        <w:t>Ministry of Health.</w:t>
      </w:r>
      <w:r w:rsidR="00AF1194" w:rsidRPr="008E7E5A">
        <w:rPr>
          <w:rFonts w:ascii="Arial" w:hAnsi="Arial" w:cs="Arial"/>
        </w:rPr>
        <w:t xml:space="preserve"> (2026</w:t>
      </w:r>
      <w:r w:rsidR="00C14FCB" w:rsidRPr="008E7E5A">
        <w:rPr>
          <w:rFonts w:ascii="Arial" w:hAnsi="Arial" w:cs="Arial"/>
        </w:rPr>
        <w:t>a</w:t>
      </w:r>
      <w:r w:rsidR="001539B0" w:rsidRPr="008E7E5A">
        <w:rPr>
          <w:rFonts w:ascii="Arial" w:hAnsi="Arial" w:cs="Arial"/>
        </w:rPr>
        <w:t>, March 16</w:t>
      </w:r>
      <w:r w:rsidR="00AF1194" w:rsidRPr="008E7E5A">
        <w:rPr>
          <w:rFonts w:ascii="Arial" w:hAnsi="Arial" w:cs="Arial"/>
        </w:rPr>
        <w:t>)</w:t>
      </w:r>
      <w:r w:rsidR="0007551A" w:rsidRPr="008E7E5A">
        <w:rPr>
          <w:rFonts w:ascii="Arial" w:hAnsi="Arial" w:cs="Arial"/>
        </w:rPr>
        <w:t>. Age Well SG.</w:t>
      </w:r>
    </w:p>
    <w:p w14:paraId="0C975B19" w14:textId="70B05D57" w:rsidR="00C16E3F" w:rsidRPr="008E7E5A" w:rsidRDefault="0094619C" w:rsidP="00321AFD">
      <w:pPr>
        <w:ind w:left="720"/>
        <w:jc w:val="both"/>
        <w:rPr>
          <w:rFonts w:ascii="Arial" w:hAnsi="Arial" w:cs="Arial"/>
        </w:rPr>
      </w:pPr>
      <w:r w:rsidRPr="008E7E5A">
        <w:rPr>
          <w:rFonts w:ascii="Arial" w:hAnsi="Arial" w:cs="Arial"/>
        </w:rPr>
        <w:t xml:space="preserve"> </w:t>
      </w:r>
      <w:hyperlink r:id="rId41" w:history="1">
        <w:r w:rsidR="001C2B61" w:rsidRPr="008E7E5A">
          <w:rPr>
            <w:rStyle w:val="Hyperlink"/>
            <w:rFonts w:ascii="Arial" w:hAnsi="Arial" w:cs="Arial"/>
            <w:color w:val="auto"/>
          </w:rPr>
          <w:t>https://www.moh.gov.sg/ageing-well/ageing-in-the-community/</w:t>
        </w:r>
      </w:hyperlink>
    </w:p>
    <w:p w14:paraId="6ECB6829" w14:textId="77777777" w:rsidR="00574F44" w:rsidRPr="008E7E5A" w:rsidRDefault="001C2B61" w:rsidP="00321AFD">
      <w:pPr>
        <w:ind w:left="720" w:hanging="720"/>
        <w:jc w:val="both"/>
        <w:rPr>
          <w:rFonts w:ascii="Arial" w:hAnsi="Arial" w:cs="Arial"/>
        </w:rPr>
      </w:pPr>
      <w:r w:rsidRPr="008E7E5A">
        <w:rPr>
          <w:rFonts w:ascii="Arial" w:hAnsi="Arial" w:cs="Arial"/>
        </w:rPr>
        <w:t>[2]</w:t>
      </w:r>
      <w:r w:rsidRPr="008E7E5A">
        <w:rPr>
          <w:rFonts w:ascii="Arial" w:hAnsi="Arial" w:cs="Arial"/>
        </w:rPr>
        <w:tab/>
      </w:r>
      <w:r w:rsidR="006D5831" w:rsidRPr="008E7E5A">
        <w:rPr>
          <w:rFonts w:ascii="Arial" w:hAnsi="Arial" w:cs="Arial"/>
        </w:rPr>
        <w:t>World Health Organization</w:t>
      </w:r>
      <w:r w:rsidR="00574F44" w:rsidRPr="008E7E5A">
        <w:rPr>
          <w:rFonts w:ascii="Arial" w:hAnsi="Arial" w:cs="Arial"/>
        </w:rPr>
        <w:t>. (2023). Singapore</w:t>
      </w:r>
    </w:p>
    <w:p w14:paraId="63F10EB1" w14:textId="3F7E63E7" w:rsidR="00C16E3F" w:rsidRPr="008E7E5A" w:rsidRDefault="006D5831" w:rsidP="00321AFD">
      <w:pPr>
        <w:ind w:left="720"/>
        <w:jc w:val="both"/>
        <w:rPr>
          <w:rFonts w:ascii="Arial" w:hAnsi="Arial" w:cs="Arial"/>
        </w:rPr>
      </w:pPr>
      <w:r w:rsidRPr="008E7E5A">
        <w:rPr>
          <w:rFonts w:ascii="Arial" w:hAnsi="Arial" w:cs="Arial"/>
        </w:rPr>
        <w:t xml:space="preserve"> </w:t>
      </w:r>
      <w:hyperlink r:id="rId42" w:history="1">
        <w:r w:rsidR="00574F44" w:rsidRPr="008E7E5A">
          <w:rPr>
            <w:rStyle w:val="Hyperlink"/>
            <w:rFonts w:ascii="Arial" w:hAnsi="Arial" w:cs="Arial"/>
            <w:color w:val="auto"/>
          </w:rPr>
          <w:t>https://data.who.int/countries/702</w:t>
        </w:r>
      </w:hyperlink>
      <w:r w:rsidR="00C16E3F" w:rsidRPr="008E7E5A">
        <w:rPr>
          <w:rFonts w:ascii="Arial" w:hAnsi="Arial" w:cs="Arial"/>
        </w:rPr>
        <w:t xml:space="preserve"> </w:t>
      </w:r>
    </w:p>
    <w:p w14:paraId="0F115D93" w14:textId="01C1BE33" w:rsidR="009F435A" w:rsidRPr="008E7E5A" w:rsidRDefault="001C2B61" w:rsidP="00321AFD">
      <w:pPr>
        <w:jc w:val="both"/>
        <w:rPr>
          <w:rFonts w:ascii="Arial" w:hAnsi="Arial" w:cs="Arial"/>
        </w:rPr>
      </w:pPr>
      <w:r w:rsidRPr="008E7E5A">
        <w:rPr>
          <w:rFonts w:ascii="Arial" w:hAnsi="Arial" w:cs="Arial"/>
        </w:rPr>
        <w:t>[3]</w:t>
      </w:r>
      <w:r w:rsidRPr="008E7E5A">
        <w:rPr>
          <w:rFonts w:ascii="Arial" w:hAnsi="Arial" w:cs="Arial"/>
        </w:rPr>
        <w:tab/>
      </w:r>
      <w:r w:rsidR="009F435A" w:rsidRPr="008E7E5A">
        <w:rPr>
          <w:rFonts w:ascii="Arial" w:hAnsi="Arial" w:cs="Arial"/>
        </w:rPr>
        <w:t>Ministry of Health. (2023</w:t>
      </w:r>
      <w:r w:rsidR="00BC57D9" w:rsidRPr="008E7E5A">
        <w:rPr>
          <w:rFonts w:ascii="Arial" w:hAnsi="Arial" w:cs="Arial"/>
        </w:rPr>
        <w:t>, October 23</w:t>
      </w:r>
      <w:r w:rsidR="009F435A" w:rsidRPr="008E7E5A">
        <w:rPr>
          <w:rFonts w:ascii="Arial" w:hAnsi="Arial" w:cs="Arial"/>
        </w:rPr>
        <w:t>). Disease Burden.</w:t>
      </w:r>
    </w:p>
    <w:p w14:paraId="31CD80EE" w14:textId="00B9FB56" w:rsidR="00C16E3F" w:rsidRPr="008E7E5A" w:rsidRDefault="009F435A" w:rsidP="00321AFD">
      <w:pPr>
        <w:ind w:firstLine="720"/>
        <w:jc w:val="both"/>
        <w:rPr>
          <w:rFonts w:ascii="Arial" w:hAnsi="Arial" w:cs="Arial"/>
        </w:rPr>
      </w:pPr>
      <w:hyperlink r:id="rId43" w:history="1">
        <w:r w:rsidRPr="008E7E5A">
          <w:rPr>
            <w:rStyle w:val="Hyperlink"/>
            <w:rFonts w:ascii="Arial" w:hAnsi="Arial" w:cs="Arial"/>
            <w:color w:val="auto"/>
          </w:rPr>
          <w:t>https://www.moh.gov.sg/others/resources-and-statistics/disease-burden/</w:t>
        </w:r>
      </w:hyperlink>
    </w:p>
    <w:p w14:paraId="5514DB50" w14:textId="36AFD138" w:rsidR="004E53E8" w:rsidRPr="008E7E5A" w:rsidRDefault="001C2B61" w:rsidP="00321AFD">
      <w:pPr>
        <w:ind w:left="720" w:hanging="720"/>
        <w:jc w:val="both"/>
        <w:rPr>
          <w:rFonts w:ascii="Arial" w:hAnsi="Arial" w:cs="Arial"/>
        </w:rPr>
      </w:pPr>
      <w:r w:rsidRPr="008E7E5A">
        <w:rPr>
          <w:rFonts w:ascii="Arial" w:hAnsi="Arial" w:cs="Arial"/>
        </w:rPr>
        <w:t>[4]</w:t>
      </w:r>
      <w:r w:rsidRPr="008E7E5A">
        <w:rPr>
          <w:rFonts w:ascii="Arial" w:hAnsi="Arial" w:cs="Arial"/>
        </w:rPr>
        <w:tab/>
      </w:r>
      <w:r w:rsidR="002C5607" w:rsidRPr="008E7E5A">
        <w:rPr>
          <w:rFonts w:ascii="Arial" w:hAnsi="Arial" w:cs="Arial"/>
        </w:rPr>
        <w:t xml:space="preserve">Ministry of Health. </w:t>
      </w:r>
      <w:r w:rsidR="00BF3086" w:rsidRPr="008E7E5A">
        <w:rPr>
          <w:rFonts w:ascii="Arial" w:hAnsi="Arial" w:cs="Arial"/>
        </w:rPr>
        <w:t>(2025</w:t>
      </w:r>
      <w:r w:rsidR="00DA7D63" w:rsidRPr="008E7E5A">
        <w:rPr>
          <w:rFonts w:ascii="Arial" w:hAnsi="Arial" w:cs="Arial"/>
        </w:rPr>
        <w:t>a</w:t>
      </w:r>
      <w:r w:rsidR="00BF3086" w:rsidRPr="008E7E5A">
        <w:rPr>
          <w:rFonts w:ascii="Arial" w:hAnsi="Arial" w:cs="Arial"/>
        </w:rPr>
        <w:t xml:space="preserve">, March 7). </w:t>
      </w:r>
      <w:r w:rsidR="00BF3086" w:rsidRPr="008E7E5A">
        <w:rPr>
          <w:rFonts w:ascii="Arial" w:hAnsi="Arial" w:cs="Arial"/>
          <w:i/>
          <w:iCs/>
        </w:rPr>
        <w:t>Speech by Mr Ong Ye Kung, Minister for Health, at the Ministry of Health Committee of Supply Debate 2025</w:t>
      </w:r>
      <w:r w:rsidR="00BF3086" w:rsidRPr="008E7E5A">
        <w:rPr>
          <w:rFonts w:ascii="Arial" w:hAnsi="Arial" w:cs="Arial"/>
        </w:rPr>
        <w:t>.</w:t>
      </w:r>
    </w:p>
    <w:p w14:paraId="33D80221" w14:textId="0D7DDCB5" w:rsidR="00C16E3F" w:rsidRPr="008E7E5A" w:rsidRDefault="00047584" w:rsidP="00321AFD">
      <w:pPr>
        <w:ind w:left="720"/>
        <w:jc w:val="both"/>
        <w:rPr>
          <w:rFonts w:ascii="Arial" w:hAnsi="Arial" w:cs="Arial"/>
        </w:rPr>
      </w:pPr>
      <w:hyperlink r:id="rId44">
        <w:r w:rsidRPr="008E7E5A">
          <w:rPr>
            <w:rStyle w:val="Hyperlink"/>
            <w:rFonts w:ascii="Arial" w:hAnsi="Arial" w:cs="Arial"/>
            <w:color w:val="auto"/>
          </w:rPr>
          <w:t>https://www.moh.gov.sg/newsroom/speech-by-mr-ong-ye-kung--minister-for-health--at-the-ministry-of-health-committee-of-supply-debate-2025--on-friday-7-march-2025/</w:t>
        </w:r>
      </w:hyperlink>
    </w:p>
    <w:p w14:paraId="5D6BC1DF" w14:textId="399B43C9" w:rsidR="0060512A" w:rsidRPr="008E7E5A" w:rsidRDefault="0060512A" w:rsidP="00321AFD">
      <w:pPr>
        <w:ind w:left="720" w:hanging="720"/>
        <w:jc w:val="both"/>
        <w:rPr>
          <w:rFonts w:ascii="Arial" w:hAnsi="Arial" w:cs="Arial"/>
        </w:rPr>
      </w:pPr>
      <w:r w:rsidRPr="008E7E5A">
        <w:rPr>
          <w:rFonts w:ascii="Arial" w:hAnsi="Arial" w:cs="Arial"/>
        </w:rPr>
        <w:t>[</w:t>
      </w:r>
      <w:r w:rsidR="003D45EB" w:rsidRPr="008E7E5A">
        <w:rPr>
          <w:rFonts w:ascii="Arial" w:hAnsi="Arial" w:cs="Arial"/>
        </w:rPr>
        <w:t>5</w:t>
      </w:r>
      <w:r w:rsidRPr="008E7E5A">
        <w:rPr>
          <w:rFonts w:ascii="Arial" w:hAnsi="Arial" w:cs="Arial"/>
        </w:rPr>
        <w:t>]</w:t>
      </w:r>
      <w:r w:rsidRPr="008E7E5A">
        <w:rPr>
          <w:rFonts w:ascii="Arial" w:hAnsi="Arial" w:cs="Arial"/>
        </w:rPr>
        <w:tab/>
      </w:r>
      <w:r w:rsidR="00DA7D63" w:rsidRPr="008E7E5A">
        <w:rPr>
          <w:rFonts w:ascii="Arial" w:hAnsi="Arial" w:cs="Arial"/>
        </w:rPr>
        <w:t xml:space="preserve">Ministry of Health. (2025b, March 7). </w:t>
      </w:r>
      <w:r w:rsidR="00DA7D63" w:rsidRPr="008E7E5A">
        <w:rPr>
          <w:rFonts w:ascii="Arial" w:hAnsi="Arial" w:cs="Arial"/>
          <w:i/>
          <w:iCs/>
        </w:rPr>
        <w:t>Expanding Healthcare Capacity and Transforming the Healthcare Workforce</w:t>
      </w:r>
      <w:r w:rsidR="00DA7D63" w:rsidRPr="008E7E5A">
        <w:rPr>
          <w:rFonts w:ascii="Arial" w:hAnsi="Arial" w:cs="Arial"/>
        </w:rPr>
        <w:t>.</w:t>
      </w:r>
    </w:p>
    <w:p w14:paraId="033ACAE3" w14:textId="24B2FDA1" w:rsidR="00D55F4C" w:rsidRPr="008E7E5A" w:rsidRDefault="00D55F4C" w:rsidP="00321AFD">
      <w:pPr>
        <w:ind w:left="720"/>
        <w:jc w:val="both"/>
        <w:rPr>
          <w:rFonts w:ascii="Arial" w:hAnsi="Arial" w:cs="Arial"/>
        </w:rPr>
      </w:pPr>
      <w:hyperlink r:id="rId45" w:history="1">
        <w:r w:rsidRPr="008E7E5A">
          <w:rPr>
            <w:rStyle w:val="Hyperlink"/>
            <w:rFonts w:ascii="Arial" w:hAnsi="Arial" w:cs="Arial"/>
            <w:color w:val="auto"/>
          </w:rPr>
          <w:t>https://www.moh.gov.sg/newsroom/expanding-healthcare-capacity-and-transforming-the-healthcare-workforce/</w:t>
        </w:r>
      </w:hyperlink>
    </w:p>
    <w:p w14:paraId="51C5A057" w14:textId="349949D8" w:rsidR="00047584" w:rsidRPr="008E7E5A" w:rsidRDefault="00047584" w:rsidP="00321AFD">
      <w:pPr>
        <w:jc w:val="both"/>
        <w:rPr>
          <w:rFonts w:ascii="Arial" w:hAnsi="Arial" w:cs="Arial"/>
        </w:rPr>
      </w:pPr>
      <w:r w:rsidRPr="008E7E5A">
        <w:rPr>
          <w:rFonts w:ascii="Arial" w:hAnsi="Arial" w:cs="Arial"/>
        </w:rPr>
        <w:t>[</w:t>
      </w:r>
      <w:r w:rsidR="003D45EB" w:rsidRPr="008E7E5A">
        <w:rPr>
          <w:rFonts w:ascii="Arial" w:hAnsi="Arial" w:cs="Arial"/>
        </w:rPr>
        <w:t>6</w:t>
      </w:r>
      <w:r w:rsidRPr="008E7E5A">
        <w:rPr>
          <w:rFonts w:ascii="Arial" w:hAnsi="Arial" w:cs="Arial"/>
        </w:rPr>
        <w:t>]</w:t>
      </w:r>
      <w:r w:rsidRPr="008E7E5A">
        <w:rPr>
          <w:rFonts w:ascii="Arial" w:hAnsi="Arial" w:cs="Arial"/>
        </w:rPr>
        <w:tab/>
        <w:t xml:space="preserve">Ministry of Health. (2022, March 10). </w:t>
      </w:r>
      <w:r w:rsidRPr="008E7E5A">
        <w:rPr>
          <w:rFonts w:ascii="Arial" w:hAnsi="Arial" w:cs="Arial"/>
          <w:i/>
          <w:iCs/>
        </w:rPr>
        <w:t>Hospital bed occupancy rate.</w:t>
      </w:r>
    </w:p>
    <w:p w14:paraId="25A4FBB9" w14:textId="77777777" w:rsidR="00047584" w:rsidRPr="008E7E5A" w:rsidRDefault="00047584" w:rsidP="00321AFD">
      <w:pPr>
        <w:ind w:firstLine="720"/>
        <w:jc w:val="both"/>
        <w:rPr>
          <w:rFonts w:ascii="Arial" w:hAnsi="Arial" w:cs="Arial"/>
        </w:rPr>
      </w:pPr>
      <w:hyperlink r:id="rId46" w:history="1">
        <w:r w:rsidRPr="008E7E5A">
          <w:rPr>
            <w:rStyle w:val="Hyperlink"/>
            <w:rFonts w:ascii="Arial" w:hAnsi="Arial" w:cs="Arial"/>
            <w:color w:val="auto"/>
          </w:rPr>
          <w:t>https://www.moh.gov.sg/newsroom/hospital-bed-occupancy-rate/</w:t>
        </w:r>
      </w:hyperlink>
      <w:r w:rsidRPr="008E7E5A">
        <w:rPr>
          <w:rFonts w:ascii="Arial" w:hAnsi="Arial" w:cs="Arial"/>
        </w:rPr>
        <w:t xml:space="preserve"> </w:t>
      </w:r>
    </w:p>
    <w:p w14:paraId="6C8AA367" w14:textId="1BB4184D" w:rsidR="000770D5" w:rsidRPr="008E7E5A" w:rsidRDefault="0001198C" w:rsidP="00321AFD">
      <w:pPr>
        <w:ind w:left="720" w:hanging="720"/>
        <w:jc w:val="both"/>
        <w:rPr>
          <w:rFonts w:ascii="Arial" w:hAnsi="Arial" w:cs="Arial"/>
        </w:rPr>
      </w:pPr>
      <w:r w:rsidRPr="008E7E5A">
        <w:rPr>
          <w:rFonts w:ascii="Arial" w:hAnsi="Arial" w:cs="Arial"/>
        </w:rPr>
        <w:t>[</w:t>
      </w:r>
      <w:r w:rsidR="003D45EB" w:rsidRPr="008E7E5A">
        <w:rPr>
          <w:rFonts w:ascii="Arial" w:hAnsi="Arial" w:cs="Arial"/>
        </w:rPr>
        <w:t>7</w:t>
      </w:r>
      <w:r w:rsidRPr="008E7E5A">
        <w:rPr>
          <w:rFonts w:ascii="Arial" w:hAnsi="Arial" w:cs="Arial"/>
        </w:rPr>
        <w:t>]</w:t>
      </w:r>
      <w:r w:rsidRPr="008E7E5A">
        <w:rPr>
          <w:rFonts w:ascii="Arial" w:hAnsi="Arial" w:cs="Arial"/>
        </w:rPr>
        <w:tab/>
      </w:r>
      <w:r w:rsidR="000770D5" w:rsidRPr="008E7E5A">
        <w:rPr>
          <w:rFonts w:ascii="Arial" w:hAnsi="Arial" w:cs="Arial"/>
        </w:rPr>
        <w:t>Ministry of Health. (202</w:t>
      </w:r>
      <w:r w:rsidR="00E20515" w:rsidRPr="008E7E5A">
        <w:rPr>
          <w:rFonts w:ascii="Arial" w:hAnsi="Arial" w:cs="Arial"/>
        </w:rPr>
        <w:t>4</w:t>
      </w:r>
      <w:r w:rsidR="00426040" w:rsidRPr="008E7E5A">
        <w:rPr>
          <w:rFonts w:ascii="Arial" w:hAnsi="Arial" w:cs="Arial"/>
        </w:rPr>
        <w:t>a</w:t>
      </w:r>
      <w:r w:rsidR="00E20515" w:rsidRPr="008E7E5A">
        <w:rPr>
          <w:rFonts w:ascii="Arial" w:hAnsi="Arial" w:cs="Arial"/>
        </w:rPr>
        <w:t>, April 2</w:t>
      </w:r>
      <w:r w:rsidR="000770D5" w:rsidRPr="008E7E5A">
        <w:rPr>
          <w:rFonts w:ascii="Arial" w:hAnsi="Arial" w:cs="Arial"/>
        </w:rPr>
        <w:t>).</w:t>
      </w:r>
      <w:r w:rsidR="00450508" w:rsidRPr="008E7E5A">
        <w:rPr>
          <w:rFonts w:ascii="Arial" w:hAnsi="Arial" w:cs="Arial"/>
        </w:rPr>
        <w:t xml:space="preserve"> </w:t>
      </w:r>
      <w:r w:rsidR="00450508" w:rsidRPr="008E7E5A">
        <w:rPr>
          <w:rFonts w:ascii="Arial" w:hAnsi="Arial" w:cs="Arial"/>
          <w:i/>
          <w:iCs/>
        </w:rPr>
        <w:t>Statistics on government expenditure on public healthcare, subsidised medical care for citizens, PRs and foreigners, and healthcare spend by government and individuals</w:t>
      </w:r>
      <w:r w:rsidR="00450508" w:rsidRPr="008E7E5A">
        <w:rPr>
          <w:rFonts w:ascii="Arial" w:hAnsi="Arial" w:cs="Arial"/>
        </w:rPr>
        <w:t>.</w:t>
      </w:r>
    </w:p>
    <w:p w14:paraId="722DA126" w14:textId="259E70CD" w:rsidR="0001198C" w:rsidRPr="008E7E5A" w:rsidRDefault="00450508" w:rsidP="00321AFD">
      <w:pPr>
        <w:ind w:left="720"/>
        <w:jc w:val="both"/>
        <w:rPr>
          <w:rFonts w:ascii="Arial" w:hAnsi="Arial" w:cs="Arial"/>
        </w:rPr>
      </w:pPr>
      <w:hyperlink r:id="rId47" w:history="1">
        <w:r w:rsidRPr="008E7E5A">
          <w:rPr>
            <w:rStyle w:val="Hyperlink"/>
            <w:rFonts w:ascii="Arial" w:hAnsi="Arial" w:cs="Arial"/>
            <w:color w:val="auto"/>
          </w:rPr>
          <w:t>https://www.moh.gov.sg/newsroom/statistics-on-government-expenditure-on-public-healthcare--subsidised-medical-care-for-citizens--prs-and-foreigners--and-healthcare-spend-by-government-and-individuals/</w:t>
        </w:r>
      </w:hyperlink>
      <w:r w:rsidRPr="008E7E5A">
        <w:rPr>
          <w:rFonts w:ascii="Arial" w:hAnsi="Arial" w:cs="Arial"/>
        </w:rPr>
        <w:t xml:space="preserve"> </w:t>
      </w:r>
    </w:p>
    <w:p w14:paraId="531F1F0D" w14:textId="6ABB73A0" w:rsidR="002C5607" w:rsidRPr="008E7E5A" w:rsidRDefault="00C26E67" w:rsidP="00321AFD">
      <w:pPr>
        <w:ind w:left="720" w:hanging="720"/>
        <w:jc w:val="both"/>
        <w:rPr>
          <w:rFonts w:ascii="Arial" w:hAnsi="Arial" w:cs="Arial"/>
        </w:rPr>
      </w:pPr>
      <w:r w:rsidRPr="008E7E5A">
        <w:rPr>
          <w:rFonts w:ascii="Arial" w:hAnsi="Arial" w:cs="Arial"/>
        </w:rPr>
        <w:t>[</w:t>
      </w:r>
      <w:r w:rsidR="001559D3" w:rsidRPr="008E7E5A">
        <w:rPr>
          <w:rFonts w:ascii="Arial" w:hAnsi="Arial" w:cs="Arial"/>
        </w:rPr>
        <w:t>8</w:t>
      </w:r>
      <w:r w:rsidRPr="008E7E5A">
        <w:rPr>
          <w:rFonts w:ascii="Arial" w:hAnsi="Arial" w:cs="Arial"/>
        </w:rPr>
        <w:t>]</w:t>
      </w:r>
      <w:r w:rsidRPr="008E7E5A">
        <w:rPr>
          <w:rFonts w:ascii="Arial" w:hAnsi="Arial" w:cs="Arial"/>
        </w:rPr>
        <w:tab/>
      </w:r>
      <w:r w:rsidR="002C5607" w:rsidRPr="008E7E5A">
        <w:rPr>
          <w:rFonts w:ascii="Arial" w:hAnsi="Arial" w:cs="Arial"/>
        </w:rPr>
        <w:t>Ministry of Health. (2026</w:t>
      </w:r>
      <w:r w:rsidR="00426040" w:rsidRPr="008E7E5A">
        <w:rPr>
          <w:rFonts w:ascii="Arial" w:hAnsi="Arial" w:cs="Arial"/>
        </w:rPr>
        <w:t>b</w:t>
      </w:r>
      <w:r w:rsidR="002C5607" w:rsidRPr="008E7E5A">
        <w:rPr>
          <w:rFonts w:ascii="Arial" w:hAnsi="Arial" w:cs="Arial"/>
        </w:rPr>
        <w:t xml:space="preserve">, March 4). </w:t>
      </w:r>
      <w:r w:rsidR="002C5607" w:rsidRPr="008E7E5A">
        <w:rPr>
          <w:rFonts w:ascii="Arial" w:hAnsi="Arial" w:cs="Arial"/>
          <w:i/>
          <w:iCs/>
        </w:rPr>
        <w:t>Operating Expenditure for the Ministry of Health</w:t>
      </w:r>
      <w:r w:rsidR="002C5607" w:rsidRPr="008E7E5A">
        <w:rPr>
          <w:rFonts w:ascii="Arial" w:hAnsi="Arial" w:cs="Arial"/>
        </w:rPr>
        <w:t>.</w:t>
      </w:r>
    </w:p>
    <w:p w14:paraId="3D377D50" w14:textId="3B07BF20" w:rsidR="0001198C" w:rsidRPr="008E7E5A" w:rsidRDefault="002C5607" w:rsidP="00321AFD">
      <w:pPr>
        <w:ind w:left="720"/>
        <w:jc w:val="both"/>
        <w:rPr>
          <w:rFonts w:ascii="Arial" w:hAnsi="Arial" w:cs="Arial"/>
        </w:rPr>
      </w:pPr>
      <w:hyperlink r:id="rId48" w:history="1">
        <w:r w:rsidRPr="008E7E5A">
          <w:rPr>
            <w:rStyle w:val="Hyperlink"/>
            <w:rFonts w:ascii="Arial" w:hAnsi="Arial" w:cs="Arial"/>
            <w:color w:val="auto"/>
          </w:rPr>
          <w:t>https://www.moh.gov.sg/newsroom/operating-expenditure-for-the-ministry-of-health/</w:t>
        </w:r>
      </w:hyperlink>
    </w:p>
    <w:p w14:paraId="3E3E8A0A" w14:textId="71F7EDD9" w:rsidR="001B7B72" w:rsidRPr="008E7E5A" w:rsidRDefault="000A1C11" w:rsidP="00321AFD">
      <w:pPr>
        <w:ind w:left="720" w:hanging="720"/>
        <w:jc w:val="both"/>
        <w:rPr>
          <w:rFonts w:ascii="Arial" w:hAnsi="Arial" w:cs="Arial"/>
        </w:rPr>
      </w:pPr>
      <w:r w:rsidRPr="008E7E5A">
        <w:rPr>
          <w:rFonts w:ascii="Arial" w:hAnsi="Arial" w:cs="Arial"/>
        </w:rPr>
        <w:t>[</w:t>
      </w:r>
      <w:r w:rsidR="001559D3" w:rsidRPr="008E7E5A">
        <w:rPr>
          <w:rFonts w:ascii="Arial" w:hAnsi="Arial" w:cs="Arial"/>
        </w:rPr>
        <w:t>9</w:t>
      </w:r>
      <w:r w:rsidRPr="008E7E5A">
        <w:rPr>
          <w:rFonts w:ascii="Arial" w:hAnsi="Arial" w:cs="Arial"/>
        </w:rPr>
        <w:t>]</w:t>
      </w:r>
      <w:r w:rsidRPr="008E7E5A">
        <w:rPr>
          <w:rFonts w:ascii="Arial" w:hAnsi="Arial" w:cs="Arial"/>
        </w:rPr>
        <w:tab/>
      </w:r>
      <w:r w:rsidR="00817ECB" w:rsidRPr="008E7E5A">
        <w:rPr>
          <w:rFonts w:ascii="Arial" w:hAnsi="Arial" w:cs="Arial"/>
        </w:rPr>
        <w:t xml:space="preserve">Singapore Department of Statistics. (2020, March). </w:t>
      </w:r>
      <w:r w:rsidR="00817ECB" w:rsidRPr="008E7E5A">
        <w:rPr>
          <w:rFonts w:ascii="Arial" w:hAnsi="Arial" w:cs="Arial"/>
          <w:i/>
          <w:iCs/>
        </w:rPr>
        <w:t>Recommendations on definition and classification of age</w:t>
      </w:r>
      <w:r w:rsidR="00817ECB" w:rsidRPr="008E7E5A">
        <w:rPr>
          <w:rFonts w:ascii="Arial" w:hAnsi="Arial" w:cs="Arial"/>
        </w:rPr>
        <w:t>.</w:t>
      </w:r>
    </w:p>
    <w:p w14:paraId="603D1FD2" w14:textId="6422B366" w:rsidR="000A1C11" w:rsidRPr="008E7E5A" w:rsidRDefault="000A1C11" w:rsidP="00321AFD">
      <w:pPr>
        <w:ind w:left="720"/>
        <w:jc w:val="both"/>
        <w:rPr>
          <w:rFonts w:ascii="Arial" w:hAnsi="Arial" w:cs="Arial"/>
        </w:rPr>
      </w:pPr>
      <w:hyperlink r:id="rId49" w:history="1">
        <w:r w:rsidRPr="008E7E5A">
          <w:rPr>
            <w:rStyle w:val="Hyperlink"/>
            <w:rFonts w:ascii="Arial" w:hAnsi="Arial" w:cs="Arial"/>
            <w:color w:val="auto"/>
          </w:rPr>
          <w:t>https://assets.app.optical.gov.sg/singstat/production/published/assets/fab914bb-0775-4604-b3ab-f43402727b2d.pdf</w:t>
        </w:r>
      </w:hyperlink>
      <w:r w:rsidRPr="008E7E5A">
        <w:rPr>
          <w:rFonts w:ascii="Arial" w:hAnsi="Arial" w:cs="Arial"/>
        </w:rPr>
        <w:t xml:space="preserve"> </w:t>
      </w:r>
    </w:p>
    <w:p w14:paraId="465390EA" w14:textId="64A7524B" w:rsidR="0097196F" w:rsidRPr="008E7E5A" w:rsidRDefault="0097196F" w:rsidP="00321AFD">
      <w:pPr>
        <w:ind w:left="720" w:hanging="720"/>
        <w:jc w:val="both"/>
        <w:rPr>
          <w:rFonts w:ascii="Arial" w:hAnsi="Arial" w:cs="Arial"/>
        </w:rPr>
      </w:pPr>
      <w:r w:rsidRPr="008E7E5A">
        <w:rPr>
          <w:rFonts w:ascii="Arial" w:hAnsi="Arial" w:cs="Arial"/>
        </w:rPr>
        <w:t>[</w:t>
      </w:r>
      <w:r w:rsidR="001559D3" w:rsidRPr="008E7E5A">
        <w:rPr>
          <w:rFonts w:ascii="Arial" w:hAnsi="Arial" w:cs="Arial"/>
        </w:rPr>
        <w:t>10</w:t>
      </w:r>
      <w:r w:rsidRPr="008E7E5A">
        <w:rPr>
          <w:rFonts w:ascii="Arial" w:hAnsi="Arial" w:cs="Arial"/>
        </w:rPr>
        <w:t>]</w:t>
      </w:r>
      <w:r w:rsidRPr="008E7E5A">
        <w:rPr>
          <w:rFonts w:ascii="Arial" w:hAnsi="Arial" w:cs="Arial"/>
        </w:rPr>
        <w:tab/>
        <w:t xml:space="preserve">Fortin, M., Stewart, M., Poitras, M.-E., Almirall, J., &amp; Maddocks, H. (2012). A systematic review of prevalence studies on multimorbidity: Toward a more uniform methodology. </w:t>
      </w:r>
      <w:r w:rsidRPr="008E7E5A">
        <w:rPr>
          <w:rFonts w:ascii="Arial" w:hAnsi="Arial" w:cs="Arial"/>
          <w:i/>
          <w:iCs/>
        </w:rPr>
        <w:t>Epidemiologic Reviews</w:t>
      </w:r>
      <w:r w:rsidRPr="008E7E5A">
        <w:rPr>
          <w:rFonts w:ascii="Arial" w:hAnsi="Arial" w:cs="Arial"/>
        </w:rPr>
        <w:t xml:space="preserve">, </w:t>
      </w:r>
      <w:r w:rsidRPr="008E7E5A">
        <w:rPr>
          <w:rFonts w:ascii="Arial" w:hAnsi="Arial" w:cs="Arial"/>
          <w:i/>
          <w:iCs/>
        </w:rPr>
        <w:t>35</w:t>
      </w:r>
      <w:r w:rsidRPr="008E7E5A">
        <w:rPr>
          <w:rFonts w:ascii="Arial" w:hAnsi="Arial" w:cs="Arial"/>
        </w:rPr>
        <w:t xml:space="preserve">(1), 75–83. </w:t>
      </w:r>
      <w:hyperlink r:id="rId50" w:history="1">
        <w:r w:rsidRPr="008E7E5A">
          <w:rPr>
            <w:rStyle w:val="Hyperlink"/>
            <w:rFonts w:ascii="Arial" w:hAnsi="Arial" w:cs="Arial"/>
            <w:color w:val="auto"/>
          </w:rPr>
          <w:t>https://doi.org/10.1093/epirev/mxs004</w:t>
        </w:r>
      </w:hyperlink>
    </w:p>
    <w:p w14:paraId="61F36CDF" w14:textId="3202B29D" w:rsidR="00B85C19" w:rsidRPr="008E7E5A" w:rsidRDefault="00340E02" w:rsidP="00321AFD">
      <w:pPr>
        <w:ind w:left="720" w:hanging="720"/>
        <w:jc w:val="both"/>
        <w:rPr>
          <w:rFonts w:ascii="Arial" w:hAnsi="Arial" w:cs="Arial"/>
        </w:rPr>
      </w:pPr>
      <w:r w:rsidRPr="008E7E5A">
        <w:rPr>
          <w:rFonts w:ascii="Arial" w:hAnsi="Arial" w:cs="Arial"/>
        </w:rPr>
        <w:t>[</w:t>
      </w:r>
      <w:r w:rsidR="001E128B" w:rsidRPr="008E7E5A">
        <w:rPr>
          <w:rFonts w:ascii="Arial" w:hAnsi="Arial" w:cs="Arial"/>
        </w:rPr>
        <w:t>1</w:t>
      </w:r>
      <w:r w:rsidR="001559D3" w:rsidRPr="008E7E5A">
        <w:rPr>
          <w:rFonts w:ascii="Arial" w:hAnsi="Arial" w:cs="Arial"/>
        </w:rPr>
        <w:t>1</w:t>
      </w:r>
      <w:r w:rsidRPr="008E7E5A">
        <w:rPr>
          <w:rFonts w:ascii="Arial" w:hAnsi="Arial" w:cs="Arial"/>
        </w:rPr>
        <w:t>]</w:t>
      </w:r>
      <w:r w:rsidRPr="008E7E5A">
        <w:rPr>
          <w:rFonts w:ascii="Arial" w:hAnsi="Arial" w:cs="Arial"/>
        </w:rPr>
        <w:tab/>
        <w:t xml:space="preserve">Lim, A. (2025, March 21). 7 Healthcare cost statistics in Singapore (2025). </w:t>
      </w:r>
      <w:r w:rsidRPr="008E7E5A">
        <w:rPr>
          <w:rFonts w:ascii="Arial" w:hAnsi="Arial" w:cs="Arial"/>
          <w:i/>
          <w:iCs/>
        </w:rPr>
        <w:t>SmartWealth Singapore</w:t>
      </w:r>
      <w:r w:rsidRPr="008E7E5A">
        <w:rPr>
          <w:rFonts w:ascii="Arial" w:hAnsi="Arial" w:cs="Arial"/>
        </w:rPr>
        <w:t xml:space="preserve">. </w:t>
      </w:r>
    </w:p>
    <w:p w14:paraId="409112C6" w14:textId="7D5B011F" w:rsidR="00340E02" w:rsidRPr="008E7E5A" w:rsidRDefault="00CC681B" w:rsidP="00321AFD">
      <w:pPr>
        <w:ind w:left="720"/>
        <w:jc w:val="both"/>
        <w:rPr>
          <w:rFonts w:ascii="Arial" w:hAnsi="Arial" w:cs="Arial"/>
        </w:rPr>
      </w:pPr>
      <w:hyperlink r:id="rId51">
        <w:r w:rsidRPr="008E7E5A">
          <w:rPr>
            <w:rStyle w:val="Hyperlink"/>
            <w:rFonts w:ascii="Arial" w:hAnsi="Arial" w:cs="Arial"/>
            <w:color w:val="auto"/>
          </w:rPr>
          <w:t>https://smartwealth.sg/healthcare-cost-statistics-singapore/</w:t>
        </w:r>
      </w:hyperlink>
    </w:p>
    <w:p w14:paraId="365C37DB" w14:textId="6AB1B853" w:rsidR="00F04449" w:rsidRPr="008E7E5A" w:rsidRDefault="00BA2074" w:rsidP="00321AFD">
      <w:pPr>
        <w:ind w:left="720" w:hanging="720"/>
        <w:jc w:val="both"/>
        <w:rPr>
          <w:rFonts w:ascii="Arial" w:hAnsi="Arial" w:cs="Arial"/>
        </w:rPr>
      </w:pPr>
      <w:r w:rsidRPr="008E7E5A">
        <w:rPr>
          <w:rFonts w:ascii="Arial" w:hAnsi="Arial" w:cs="Arial"/>
        </w:rPr>
        <w:t>[12]</w:t>
      </w:r>
      <w:r w:rsidR="00C00D74" w:rsidRPr="008E7E5A">
        <w:rPr>
          <w:rFonts w:ascii="Arial" w:hAnsi="Arial" w:cs="Arial"/>
        </w:rPr>
        <w:tab/>
      </w:r>
      <w:r w:rsidR="00DA4A6D" w:rsidRPr="008E7E5A">
        <w:rPr>
          <w:rFonts w:ascii="Arial" w:hAnsi="Arial" w:cs="Arial"/>
        </w:rPr>
        <w:t>Yong</w:t>
      </w:r>
      <w:r w:rsidR="00C00D74" w:rsidRPr="008E7E5A">
        <w:rPr>
          <w:rFonts w:ascii="Arial" w:hAnsi="Arial" w:cs="Arial"/>
        </w:rPr>
        <w:t xml:space="preserve">, </w:t>
      </w:r>
      <w:r w:rsidR="00DA4A6D" w:rsidRPr="008E7E5A">
        <w:rPr>
          <w:rFonts w:ascii="Arial" w:hAnsi="Arial" w:cs="Arial"/>
        </w:rPr>
        <w:t>G</w:t>
      </w:r>
      <w:r w:rsidR="00C00D74" w:rsidRPr="008E7E5A">
        <w:rPr>
          <w:rFonts w:ascii="Arial" w:hAnsi="Arial" w:cs="Arial"/>
        </w:rPr>
        <w:t>. (202</w:t>
      </w:r>
      <w:r w:rsidR="002A217A" w:rsidRPr="008E7E5A">
        <w:rPr>
          <w:rFonts w:ascii="Arial" w:hAnsi="Arial" w:cs="Arial"/>
        </w:rPr>
        <w:t>6</w:t>
      </w:r>
      <w:r w:rsidR="00C00D74" w:rsidRPr="008E7E5A">
        <w:rPr>
          <w:rFonts w:ascii="Arial" w:hAnsi="Arial" w:cs="Arial"/>
        </w:rPr>
        <w:t>, February 2</w:t>
      </w:r>
      <w:r w:rsidR="002A217A" w:rsidRPr="008E7E5A">
        <w:rPr>
          <w:rFonts w:ascii="Arial" w:hAnsi="Arial" w:cs="Arial"/>
        </w:rPr>
        <w:t>6</w:t>
      </w:r>
      <w:r w:rsidR="00C00D74" w:rsidRPr="008E7E5A">
        <w:rPr>
          <w:rFonts w:ascii="Arial" w:hAnsi="Arial" w:cs="Arial"/>
        </w:rPr>
        <w:t xml:space="preserve">). </w:t>
      </w:r>
      <w:r w:rsidR="00C00D74" w:rsidRPr="008E7E5A">
        <w:rPr>
          <w:rFonts w:ascii="Arial" w:hAnsi="Arial" w:cs="Arial"/>
          <w:i/>
          <w:iCs/>
        </w:rPr>
        <w:t>Singapore's total fertility rate sinks to new low of 0.87</w:t>
      </w:r>
      <w:r w:rsidR="00C00D74" w:rsidRPr="008E7E5A">
        <w:rPr>
          <w:rFonts w:ascii="Arial" w:hAnsi="Arial" w:cs="Arial"/>
        </w:rPr>
        <w:t xml:space="preserve">. The Straits Times. </w:t>
      </w:r>
    </w:p>
    <w:p w14:paraId="370F4026" w14:textId="449A99BD" w:rsidR="00C00D74" w:rsidRPr="008E7E5A" w:rsidRDefault="00962DAF" w:rsidP="00321AFD">
      <w:pPr>
        <w:ind w:left="720"/>
        <w:jc w:val="both"/>
        <w:rPr>
          <w:rFonts w:ascii="Arial" w:hAnsi="Arial" w:cs="Arial"/>
        </w:rPr>
      </w:pPr>
      <w:hyperlink r:id="rId52" w:history="1">
        <w:r w:rsidRPr="008E7E5A">
          <w:rPr>
            <w:rStyle w:val="Hyperlink"/>
            <w:rFonts w:ascii="Arial" w:hAnsi="Arial" w:cs="Arial"/>
          </w:rPr>
          <w:t>https://www.straitstimes.com/singapore/politics/spores-total-fertility-rate-sinks-to-new-low-of-0-87</w:t>
        </w:r>
      </w:hyperlink>
    </w:p>
    <w:p w14:paraId="32A6B62B" w14:textId="32721AF5" w:rsidR="00BA2074" w:rsidRPr="008E7E5A" w:rsidRDefault="00332A0E" w:rsidP="00321AFD">
      <w:pPr>
        <w:jc w:val="both"/>
        <w:rPr>
          <w:rFonts w:ascii="Arial" w:hAnsi="Arial" w:cs="Arial"/>
          <w:i/>
          <w:iCs/>
        </w:rPr>
      </w:pPr>
      <w:r w:rsidRPr="008E7E5A">
        <w:rPr>
          <w:rFonts w:ascii="Arial" w:hAnsi="Arial" w:cs="Arial"/>
        </w:rPr>
        <w:t>[13]</w:t>
      </w:r>
      <w:r w:rsidRPr="008E7E5A">
        <w:rPr>
          <w:rFonts w:ascii="Arial" w:hAnsi="Arial" w:cs="Arial"/>
        </w:rPr>
        <w:tab/>
        <w:t>Ministry of Health. (20</w:t>
      </w:r>
      <w:r w:rsidR="00150A19" w:rsidRPr="008E7E5A">
        <w:rPr>
          <w:rFonts w:ascii="Arial" w:hAnsi="Arial" w:cs="Arial"/>
        </w:rPr>
        <w:t>24</w:t>
      </w:r>
      <w:r w:rsidR="007D0749" w:rsidRPr="008E7E5A">
        <w:rPr>
          <w:rFonts w:ascii="Arial" w:hAnsi="Arial" w:cs="Arial"/>
        </w:rPr>
        <w:t>b</w:t>
      </w:r>
      <w:r w:rsidRPr="008E7E5A">
        <w:rPr>
          <w:rFonts w:ascii="Arial" w:hAnsi="Arial" w:cs="Arial"/>
        </w:rPr>
        <w:t xml:space="preserve">, </w:t>
      </w:r>
      <w:r w:rsidR="00150A19" w:rsidRPr="008E7E5A">
        <w:rPr>
          <w:rFonts w:ascii="Arial" w:hAnsi="Arial" w:cs="Arial"/>
        </w:rPr>
        <w:t>October</w:t>
      </w:r>
      <w:r w:rsidRPr="008E7E5A">
        <w:rPr>
          <w:rFonts w:ascii="Arial" w:hAnsi="Arial" w:cs="Arial"/>
        </w:rPr>
        <w:t xml:space="preserve"> </w:t>
      </w:r>
      <w:r w:rsidR="00150A19" w:rsidRPr="008E7E5A">
        <w:rPr>
          <w:rFonts w:ascii="Arial" w:hAnsi="Arial" w:cs="Arial"/>
        </w:rPr>
        <w:t>10</w:t>
      </w:r>
      <w:r w:rsidRPr="008E7E5A">
        <w:rPr>
          <w:rFonts w:ascii="Arial" w:hAnsi="Arial" w:cs="Arial"/>
        </w:rPr>
        <w:t>).</w:t>
      </w:r>
      <w:r w:rsidR="007D0749" w:rsidRPr="008E7E5A">
        <w:rPr>
          <w:rFonts w:ascii="Arial" w:hAnsi="Arial" w:cs="Arial"/>
        </w:rPr>
        <w:t xml:space="preserve"> </w:t>
      </w:r>
      <w:r w:rsidR="007D0749" w:rsidRPr="008E7E5A">
        <w:rPr>
          <w:rFonts w:ascii="Arial" w:hAnsi="Arial" w:cs="Arial"/>
          <w:i/>
          <w:iCs/>
        </w:rPr>
        <w:t>Transforming Healthcare Through Technology.</w:t>
      </w:r>
    </w:p>
    <w:p w14:paraId="3C728344" w14:textId="43023261" w:rsidR="00332A0E" w:rsidRPr="008E7E5A" w:rsidRDefault="00332A0E" w:rsidP="00321AFD">
      <w:pPr>
        <w:ind w:firstLine="720"/>
        <w:jc w:val="both"/>
        <w:rPr>
          <w:rFonts w:ascii="Arial" w:hAnsi="Arial" w:cs="Arial"/>
        </w:rPr>
      </w:pPr>
      <w:hyperlink r:id="rId53" w:history="1">
        <w:r w:rsidRPr="008E7E5A">
          <w:rPr>
            <w:rStyle w:val="Hyperlink"/>
            <w:rFonts w:ascii="Arial" w:hAnsi="Arial" w:cs="Arial"/>
          </w:rPr>
          <w:t>https://www.moh.gov.sg/newsroom/transforming-healthcare-through-technology/</w:t>
        </w:r>
      </w:hyperlink>
      <w:r w:rsidRPr="008E7E5A">
        <w:rPr>
          <w:rFonts w:ascii="Arial" w:hAnsi="Arial" w:cs="Arial"/>
        </w:rPr>
        <w:t xml:space="preserve"> </w:t>
      </w:r>
    </w:p>
    <w:p w14:paraId="053DFE08" w14:textId="2ACC3749" w:rsidR="00466945" w:rsidRPr="008E7E5A" w:rsidRDefault="007D0749" w:rsidP="00321AFD">
      <w:pPr>
        <w:ind w:left="720" w:hanging="720"/>
        <w:jc w:val="both"/>
        <w:rPr>
          <w:rFonts w:ascii="Arial" w:hAnsi="Arial" w:cs="Arial"/>
        </w:rPr>
      </w:pPr>
      <w:r w:rsidRPr="008E7E5A">
        <w:rPr>
          <w:rFonts w:ascii="Arial" w:hAnsi="Arial" w:cs="Arial"/>
        </w:rPr>
        <w:t>[14]</w:t>
      </w:r>
      <w:r w:rsidRPr="008E7E5A">
        <w:rPr>
          <w:rFonts w:ascii="Arial" w:hAnsi="Arial" w:cs="Arial"/>
        </w:rPr>
        <w:tab/>
      </w:r>
      <w:r w:rsidR="00466945" w:rsidRPr="008E7E5A">
        <w:rPr>
          <w:rFonts w:ascii="Arial" w:hAnsi="Arial" w:cs="Arial"/>
        </w:rPr>
        <w:t>Central Provident Fund Board. (2025</w:t>
      </w:r>
      <w:r w:rsidR="00E1175B" w:rsidRPr="008E7E5A">
        <w:rPr>
          <w:rFonts w:ascii="Arial" w:hAnsi="Arial" w:cs="Arial"/>
        </w:rPr>
        <w:t>, March 18</w:t>
      </w:r>
      <w:r w:rsidR="00466945" w:rsidRPr="008E7E5A">
        <w:rPr>
          <w:rFonts w:ascii="Arial" w:hAnsi="Arial" w:cs="Arial"/>
        </w:rPr>
        <w:t xml:space="preserve">). </w:t>
      </w:r>
      <w:r w:rsidR="00466945" w:rsidRPr="008E7E5A">
        <w:rPr>
          <w:rFonts w:ascii="Arial" w:hAnsi="Arial" w:cs="Arial"/>
          <w:i/>
          <w:iCs/>
        </w:rPr>
        <w:t>CPF changes announced in Budget and COS 2025 and what it means for you</w:t>
      </w:r>
      <w:r w:rsidR="00466945" w:rsidRPr="008E7E5A">
        <w:rPr>
          <w:rFonts w:ascii="Arial" w:hAnsi="Arial" w:cs="Arial"/>
        </w:rPr>
        <w:t xml:space="preserve">. </w:t>
      </w:r>
    </w:p>
    <w:p w14:paraId="0F92D5C2" w14:textId="21981C5D" w:rsidR="452CAB7C" w:rsidRPr="008E7E5A" w:rsidRDefault="00592001" w:rsidP="373E0290">
      <w:pPr>
        <w:ind w:left="720"/>
        <w:jc w:val="both"/>
        <w:rPr>
          <w:rFonts w:ascii="Arial" w:hAnsi="Arial" w:cs="Arial"/>
        </w:rPr>
      </w:pPr>
      <w:hyperlink r:id="rId54">
        <w:r w:rsidRPr="008E7E5A">
          <w:rPr>
            <w:rStyle w:val="Hyperlink"/>
            <w:rFonts w:ascii="Arial" w:hAnsi="Arial" w:cs="Arial"/>
          </w:rPr>
          <w:t>https://www.cpf.gov.sg/member/infohub/educational-resources/cpf-changes-announced-in-budget-and-cos-2025-and-what-it-means-for-you</w:t>
        </w:r>
      </w:hyperlink>
    </w:p>
    <w:p w14:paraId="2C4C02C6" w14:textId="15E38867" w:rsidR="001559D3" w:rsidRPr="008E7E5A" w:rsidRDefault="001559D3" w:rsidP="373E0290">
      <w:pPr>
        <w:rPr>
          <w:rFonts w:ascii="Arial" w:hAnsi="Arial" w:cs="Arial"/>
        </w:rPr>
      </w:pPr>
    </w:p>
    <w:sectPr w:rsidR="001559D3" w:rsidRPr="008E7E5A" w:rsidSect="00864B3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EO Cher In" w:date="2026-03-25T22:39:00Z" w:initials="TCI">
    <w:p w14:paraId="75EB7B2B" w14:textId="77777777" w:rsidR="00F57C43" w:rsidRDefault="00F57C43" w:rsidP="00F57C43">
      <w:pPr>
        <w:pStyle w:val="CommentText"/>
      </w:pPr>
      <w:r>
        <w:rPr>
          <w:rStyle w:val="CommentReference"/>
        </w:rPr>
        <w:annotationRef/>
      </w:r>
      <w:r>
        <w:t>Any reason why this is 70 onwards and not 65 onwards?</w:t>
      </w:r>
    </w:p>
  </w:comment>
  <w:comment w:id="7" w:author="Akshaya VIJAYAKUMAR SIVAKAMI" w:date="2026-03-26T14:00:00Z" w:initials="AS">
    <w:p w14:paraId="6133090A" w14:textId="4800D6DA" w:rsidR="00E52743" w:rsidRDefault="00E52743">
      <w:pPr>
        <w:pStyle w:val="CommentText"/>
      </w:pPr>
      <w:r>
        <w:rPr>
          <w:rStyle w:val="CommentReference"/>
        </w:rPr>
        <w:annotationRef/>
      </w:r>
      <w:r w:rsidRPr="5390894A">
        <w:t>changed it to 65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EB7B2B" w15:done="1"/>
  <w15:commentEx w15:paraId="6133090A" w15:paraIdParent="75EB7B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7FB372" w16cex:dateUtc="2026-03-25T14:39:00Z"/>
  <w16cex:commentExtensible w16cex:durableId="32C262B1" w16cex:dateUtc="2026-03-26T0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EB7B2B" w16cid:durableId="1A7FB372"/>
  <w16cid:commentId w16cid:paraId="6133090A" w16cid:durableId="32C262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intelligence2.xml><?xml version="1.0" encoding="utf-8"?>
<int2:intelligence xmlns:int2="http://schemas.microsoft.com/office/intelligence/2020/intelligence" xmlns:oel="http://schemas.microsoft.com/office/2019/extlst">
  <int2:observations>
    <int2:bookmark int2:bookmarkName="_Int_hT6Da0Jp" int2:invalidationBookmarkName="" int2:hashCode="QM/WZnNenIhHm2" int2:id="yC2jg6Xu">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04C4"/>
    <w:multiLevelType w:val="hybridMultilevel"/>
    <w:tmpl w:val="F7C02C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2921F11"/>
    <w:multiLevelType w:val="multilevel"/>
    <w:tmpl w:val="2A8CBC5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2175D0F"/>
    <w:multiLevelType w:val="hybridMultilevel"/>
    <w:tmpl w:val="B178CA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3503BD0"/>
    <w:multiLevelType w:val="hybridMultilevel"/>
    <w:tmpl w:val="84CE5C66"/>
    <w:lvl w:ilvl="0" w:tplc="17B4D43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37C11724"/>
    <w:multiLevelType w:val="hybridMultilevel"/>
    <w:tmpl w:val="DAE40B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4B704915"/>
    <w:multiLevelType w:val="hybridMultilevel"/>
    <w:tmpl w:val="B77ED736"/>
    <w:lvl w:ilvl="0" w:tplc="AD065A76">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4B926ABE"/>
    <w:multiLevelType w:val="hybridMultilevel"/>
    <w:tmpl w:val="9252D8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58364CA9"/>
    <w:multiLevelType w:val="multilevel"/>
    <w:tmpl w:val="8CD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E5875"/>
    <w:multiLevelType w:val="hybridMultilevel"/>
    <w:tmpl w:val="814A6C98"/>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5DC1701E"/>
    <w:multiLevelType w:val="multilevel"/>
    <w:tmpl w:val="F8F0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70BB2"/>
    <w:multiLevelType w:val="hybridMultilevel"/>
    <w:tmpl w:val="34C4AAF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5F62FE57"/>
    <w:multiLevelType w:val="hybridMultilevel"/>
    <w:tmpl w:val="03AC4A44"/>
    <w:lvl w:ilvl="0" w:tplc="8F34652E">
      <w:start w:val="1"/>
      <w:numFmt w:val="bullet"/>
      <w:lvlText w:val=""/>
      <w:lvlJc w:val="left"/>
      <w:pPr>
        <w:ind w:left="720" w:hanging="360"/>
      </w:pPr>
      <w:rPr>
        <w:rFonts w:ascii="Symbol" w:hAnsi="Symbol" w:hint="default"/>
      </w:rPr>
    </w:lvl>
    <w:lvl w:ilvl="1" w:tplc="0748BAA0">
      <w:start w:val="1"/>
      <w:numFmt w:val="bullet"/>
      <w:lvlText w:val="o"/>
      <w:lvlJc w:val="left"/>
      <w:pPr>
        <w:ind w:left="1440" w:hanging="360"/>
      </w:pPr>
      <w:rPr>
        <w:rFonts w:ascii="Courier New" w:hAnsi="Courier New" w:hint="default"/>
      </w:rPr>
    </w:lvl>
    <w:lvl w:ilvl="2" w:tplc="407E830C">
      <w:start w:val="1"/>
      <w:numFmt w:val="bullet"/>
      <w:lvlText w:val=""/>
      <w:lvlJc w:val="left"/>
      <w:pPr>
        <w:ind w:left="2160" w:hanging="360"/>
      </w:pPr>
      <w:rPr>
        <w:rFonts w:ascii="Wingdings" w:hAnsi="Wingdings" w:hint="default"/>
      </w:rPr>
    </w:lvl>
    <w:lvl w:ilvl="3" w:tplc="F7D693CE">
      <w:start w:val="1"/>
      <w:numFmt w:val="bullet"/>
      <w:lvlText w:val=""/>
      <w:lvlJc w:val="left"/>
      <w:pPr>
        <w:ind w:left="2880" w:hanging="360"/>
      </w:pPr>
      <w:rPr>
        <w:rFonts w:ascii="Symbol" w:hAnsi="Symbol" w:hint="default"/>
      </w:rPr>
    </w:lvl>
    <w:lvl w:ilvl="4" w:tplc="D840C742">
      <w:start w:val="1"/>
      <w:numFmt w:val="bullet"/>
      <w:lvlText w:val="o"/>
      <w:lvlJc w:val="left"/>
      <w:pPr>
        <w:ind w:left="3600" w:hanging="360"/>
      </w:pPr>
      <w:rPr>
        <w:rFonts w:ascii="Courier New" w:hAnsi="Courier New" w:hint="default"/>
      </w:rPr>
    </w:lvl>
    <w:lvl w:ilvl="5" w:tplc="A4BC661E">
      <w:start w:val="1"/>
      <w:numFmt w:val="bullet"/>
      <w:lvlText w:val=""/>
      <w:lvlJc w:val="left"/>
      <w:pPr>
        <w:ind w:left="4320" w:hanging="360"/>
      </w:pPr>
      <w:rPr>
        <w:rFonts w:ascii="Wingdings" w:hAnsi="Wingdings" w:hint="default"/>
      </w:rPr>
    </w:lvl>
    <w:lvl w:ilvl="6" w:tplc="F7EA66F2">
      <w:start w:val="1"/>
      <w:numFmt w:val="bullet"/>
      <w:lvlText w:val=""/>
      <w:lvlJc w:val="left"/>
      <w:pPr>
        <w:ind w:left="5040" w:hanging="360"/>
      </w:pPr>
      <w:rPr>
        <w:rFonts w:ascii="Symbol" w:hAnsi="Symbol" w:hint="default"/>
      </w:rPr>
    </w:lvl>
    <w:lvl w:ilvl="7" w:tplc="CF381770">
      <w:start w:val="1"/>
      <w:numFmt w:val="bullet"/>
      <w:lvlText w:val="o"/>
      <w:lvlJc w:val="left"/>
      <w:pPr>
        <w:ind w:left="5760" w:hanging="360"/>
      </w:pPr>
      <w:rPr>
        <w:rFonts w:ascii="Courier New" w:hAnsi="Courier New" w:hint="default"/>
      </w:rPr>
    </w:lvl>
    <w:lvl w:ilvl="8" w:tplc="9190A406">
      <w:start w:val="1"/>
      <w:numFmt w:val="bullet"/>
      <w:lvlText w:val=""/>
      <w:lvlJc w:val="left"/>
      <w:pPr>
        <w:ind w:left="6480" w:hanging="360"/>
      </w:pPr>
      <w:rPr>
        <w:rFonts w:ascii="Wingdings" w:hAnsi="Wingdings" w:hint="default"/>
      </w:rPr>
    </w:lvl>
  </w:abstractNum>
  <w:abstractNum w:abstractNumId="12" w15:restartNumberingAfterBreak="0">
    <w:nsid w:val="6E1F5A21"/>
    <w:multiLevelType w:val="hybridMultilevel"/>
    <w:tmpl w:val="592C3DD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757BC262"/>
    <w:multiLevelType w:val="hybridMultilevel"/>
    <w:tmpl w:val="49D276E6"/>
    <w:lvl w:ilvl="0" w:tplc="F008F18E">
      <w:start w:val="1"/>
      <w:numFmt w:val="bullet"/>
      <w:lvlText w:val=""/>
      <w:lvlJc w:val="left"/>
      <w:pPr>
        <w:ind w:left="720" w:hanging="360"/>
      </w:pPr>
      <w:rPr>
        <w:rFonts w:ascii="Symbol" w:hAnsi="Symbol" w:hint="default"/>
      </w:rPr>
    </w:lvl>
    <w:lvl w:ilvl="1" w:tplc="6D1E8EA4">
      <w:start w:val="1"/>
      <w:numFmt w:val="bullet"/>
      <w:lvlText w:val="o"/>
      <w:lvlJc w:val="left"/>
      <w:pPr>
        <w:ind w:left="1440" w:hanging="360"/>
      </w:pPr>
      <w:rPr>
        <w:rFonts w:ascii="Courier New" w:hAnsi="Courier New" w:hint="default"/>
      </w:rPr>
    </w:lvl>
    <w:lvl w:ilvl="2" w:tplc="C6C8626E">
      <w:start w:val="1"/>
      <w:numFmt w:val="bullet"/>
      <w:lvlText w:val=""/>
      <w:lvlJc w:val="left"/>
      <w:pPr>
        <w:ind w:left="2160" w:hanging="360"/>
      </w:pPr>
      <w:rPr>
        <w:rFonts w:ascii="Wingdings" w:hAnsi="Wingdings" w:hint="default"/>
      </w:rPr>
    </w:lvl>
    <w:lvl w:ilvl="3" w:tplc="A8E869CC">
      <w:start w:val="1"/>
      <w:numFmt w:val="bullet"/>
      <w:lvlText w:val=""/>
      <w:lvlJc w:val="left"/>
      <w:pPr>
        <w:ind w:left="2880" w:hanging="360"/>
      </w:pPr>
      <w:rPr>
        <w:rFonts w:ascii="Symbol" w:hAnsi="Symbol" w:hint="default"/>
      </w:rPr>
    </w:lvl>
    <w:lvl w:ilvl="4" w:tplc="0E70572C">
      <w:start w:val="1"/>
      <w:numFmt w:val="bullet"/>
      <w:lvlText w:val="o"/>
      <w:lvlJc w:val="left"/>
      <w:pPr>
        <w:ind w:left="3600" w:hanging="360"/>
      </w:pPr>
      <w:rPr>
        <w:rFonts w:ascii="Courier New" w:hAnsi="Courier New" w:hint="default"/>
      </w:rPr>
    </w:lvl>
    <w:lvl w:ilvl="5" w:tplc="BC6C3434">
      <w:start w:val="1"/>
      <w:numFmt w:val="bullet"/>
      <w:lvlText w:val=""/>
      <w:lvlJc w:val="left"/>
      <w:pPr>
        <w:ind w:left="4320" w:hanging="360"/>
      </w:pPr>
      <w:rPr>
        <w:rFonts w:ascii="Wingdings" w:hAnsi="Wingdings" w:hint="default"/>
      </w:rPr>
    </w:lvl>
    <w:lvl w:ilvl="6" w:tplc="26585A0E">
      <w:start w:val="1"/>
      <w:numFmt w:val="bullet"/>
      <w:lvlText w:val=""/>
      <w:lvlJc w:val="left"/>
      <w:pPr>
        <w:ind w:left="5040" w:hanging="360"/>
      </w:pPr>
      <w:rPr>
        <w:rFonts w:ascii="Symbol" w:hAnsi="Symbol" w:hint="default"/>
      </w:rPr>
    </w:lvl>
    <w:lvl w:ilvl="7" w:tplc="48BA614A">
      <w:start w:val="1"/>
      <w:numFmt w:val="bullet"/>
      <w:lvlText w:val="o"/>
      <w:lvlJc w:val="left"/>
      <w:pPr>
        <w:ind w:left="5760" w:hanging="360"/>
      </w:pPr>
      <w:rPr>
        <w:rFonts w:ascii="Courier New" w:hAnsi="Courier New" w:hint="default"/>
      </w:rPr>
    </w:lvl>
    <w:lvl w:ilvl="8" w:tplc="C352CAC0">
      <w:start w:val="1"/>
      <w:numFmt w:val="bullet"/>
      <w:lvlText w:val=""/>
      <w:lvlJc w:val="left"/>
      <w:pPr>
        <w:ind w:left="6480" w:hanging="360"/>
      </w:pPr>
      <w:rPr>
        <w:rFonts w:ascii="Wingdings" w:hAnsi="Wingdings" w:hint="default"/>
      </w:rPr>
    </w:lvl>
  </w:abstractNum>
  <w:num w:numId="1" w16cid:durableId="1332610366">
    <w:abstractNumId w:val="7"/>
  </w:num>
  <w:num w:numId="2" w16cid:durableId="829901959">
    <w:abstractNumId w:val="9"/>
  </w:num>
  <w:num w:numId="3" w16cid:durableId="335546052">
    <w:abstractNumId w:val="12"/>
  </w:num>
  <w:num w:numId="4" w16cid:durableId="1003123025">
    <w:abstractNumId w:val="0"/>
  </w:num>
  <w:num w:numId="5" w16cid:durableId="1792674613">
    <w:abstractNumId w:val="2"/>
  </w:num>
  <w:num w:numId="6" w16cid:durableId="1629045778">
    <w:abstractNumId w:val="10"/>
  </w:num>
  <w:num w:numId="7" w16cid:durableId="1345520161">
    <w:abstractNumId w:val="8"/>
  </w:num>
  <w:num w:numId="8" w16cid:durableId="249239806">
    <w:abstractNumId w:val="3"/>
  </w:num>
  <w:num w:numId="9" w16cid:durableId="1170410955">
    <w:abstractNumId w:val="5"/>
  </w:num>
  <w:num w:numId="10" w16cid:durableId="345251169">
    <w:abstractNumId w:val="4"/>
  </w:num>
  <w:num w:numId="11" w16cid:durableId="1839271391">
    <w:abstractNumId w:val="6"/>
  </w:num>
  <w:num w:numId="12" w16cid:durableId="1634098256">
    <w:abstractNumId w:val="11"/>
  </w:num>
  <w:num w:numId="13" w16cid:durableId="2131435010">
    <w:abstractNumId w:val="13"/>
  </w:num>
  <w:num w:numId="14" w16cid:durableId="2112318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O Cher In">
    <w15:presenceInfo w15:providerId="AD" w15:userId="S::cherin.teo.2025@mitb.smu.edu.sg::20fb3352-4b52-4631-926e-e68cf9763623"/>
  </w15:person>
  <w15:person w15:author="Akshaya VIJAYAKUMAR SIVAKAMI">
    <w15:presenceInfo w15:providerId="AD" w15:userId="S::akshaya.vs.2025@mitb.smu.edu.sg::b13639dd-0d9a-4665-951a-bea0f02ff5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BDD"/>
    <w:rsid w:val="00000605"/>
    <w:rsid w:val="00003F48"/>
    <w:rsid w:val="00006E0E"/>
    <w:rsid w:val="0001198C"/>
    <w:rsid w:val="00012144"/>
    <w:rsid w:val="00012C26"/>
    <w:rsid w:val="000138D3"/>
    <w:rsid w:val="00023D9C"/>
    <w:rsid w:val="00034FA3"/>
    <w:rsid w:val="000401AC"/>
    <w:rsid w:val="000406A8"/>
    <w:rsid w:val="00041044"/>
    <w:rsid w:val="000418D8"/>
    <w:rsid w:val="0004728F"/>
    <w:rsid w:val="00047584"/>
    <w:rsid w:val="00053CD6"/>
    <w:rsid w:val="00060B20"/>
    <w:rsid w:val="000657D5"/>
    <w:rsid w:val="00065B3A"/>
    <w:rsid w:val="00070825"/>
    <w:rsid w:val="00071F4D"/>
    <w:rsid w:val="0007551A"/>
    <w:rsid w:val="000770D5"/>
    <w:rsid w:val="00087135"/>
    <w:rsid w:val="0009058D"/>
    <w:rsid w:val="00090C91"/>
    <w:rsid w:val="0009164C"/>
    <w:rsid w:val="00093E9C"/>
    <w:rsid w:val="00094D85"/>
    <w:rsid w:val="00096AFC"/>
    <w:rsid w:val="000A1C11"/>
    <w:rsid w:val="000A3141"/>
    <w:rsid w:val="000A6445"/>
    <w:rsid w:val="000B1D0A"/>
    <w:rsid w:val="000B2ED4"/>
    <w:rsid w:val="000B3544"/>
    <w:rsid w:val="000B39A4"/>
    <w:rsid w:val="000B5119"/>
    <w:rsid w:val="000B6621"/>
    <w:rsid w:val="000C0948"/>
    <w:rsid w:val="000C125C"/>
    <w:rsid w:val="000C38DE"/>
    <w:rsid w:val="000C543F"/>
    <w:rsid w:val="000D1B8C"/>
    <w:rsid w:val="000D54AC"/>
    <w:rsid w:val="000D5650"/>
    <w:rsid w:val="000E462A"/>
    <w:rsid w:val="000E4B9C"/>
    <w:rsid w:val="000E61B3"/>
    <w:rsid w:val="000F248C"/>
    <w:rsid w:val="000F3D35"/>
    <w:rsid w:val="000F3FE1"/>
    <w:rsid w:val="00100064"/>
    <w:rsid w:val="0010179A"/>
    <w:rsid w:val="001028A7"/>
    <w:rsid w:val="0011279B"/>
    <w:rsid w:val="001260DC"/>
    <w:rsid w:val="00126465"/>
    <w:rsid w:val="001347F6"/>
    <w:rsid w:val="0013663B"/>
    <w:rsid w:val="0014136A"/>
    <w:rsid w:val="00145788"/>
    <w:rsid w:val="00147271"/>
    <w:rsid w:val="00150603"/>
    <w:rsid w:val="00150A19"/>
    <w:rsid w:val="00151E13"/>
    <w:rsid w:val="00153384"/>
    <w:rsid w:val="001539B0"/>
    <w:rsid w:val="001552A5"/>
    <w:rsid w:val="001559D3"/>
    <w:rsid w:val="00157D6C"/>
    <w:rsid w:val="00162B4A"/>
    <w:rsid w:val="00171109"/>
    <w:rsid w:val="00172616"/>
    <w:rsid w:val="00174439"/>
    <w:rsid w:val="0017457A"/>
    <w:rsid w:val="001811F8"/>
    <w:rsid w:val="00182E2C"/>
    <w:rsid w:val="00185AE4"/>
    <w:rsid w:val="00185EFA"/>
    <w:rsid w:val="00186779"/>
    <w:rsid w:val="00186FFB"/>
    <w:rsid w:val="001944C1"/>
    <w:rsid w:val="001978F2"/>
    <w:rsid w:val="001A3727"/>
    <w:rsid w:val="001A556F"/>
    <w:rsid w:val="001A5E9B"/>
    <w:rsid w:val="001B221B"/>
    <w:rsid w:val="001B68AB"/>
    <w:rsid w:val="001B78C0"/>
    <w:rsid w:val="001B7B72"/>
    <w:rsid w:val="001C2B61"/>
    <w:rsid w:val="001C5558"/>
    <w:rsid w:val="001D4E57"/>
    <w:rsid w:val="001D6175"/>
    <w:rsid w:val="001E128B"/>
    <w:rsid w:val="001E26A4"/>
    <w:rsid w:val="001E4E58"/>
    <w:rsid w:val="001F07A9"/>
    <w:rsid w:val="001F1D90"/>
    <w:rsid w:val="001F3817"/>
    <w:rsid w:val="001F4146"/>
    <w:rsid w:val="001F4A26"/>
    <w:rsid w:val="002013F2"/>
    <w:rsid w:val="00201F09"/>
    <w:rsid w:val="0020452B"/>
    <w:rsid w:val="00204C9A"/>
    <w:rsid w:val="00210AFF"/>
    <w:rsid w:val="0022046C"/>
    <w:rsid w:val="00225B26"/>
    <w:rsid w:val="0023257E"/>
    <w:rsid w:val="00235499"/>
    <w:rsid w:val="00237B95"/>
    <w:rsid w:val="002431D7"/>
    <w:rsid w:val="002479B1"/>
    <w:rsid w:val="00253338"/>
    <w:rsid w:val="00256550"/>
    <w:rsid w:val="00260AC5"/>
    <w:rsid w:val="00262E6D"/>
    <w:rsid w:val="00267FE8"/>
    <w:rsid w:val="0026C9F7"/>
    <w:rsid w:val="0027075C"/>
    <w:rsid w:val="0027678C"/>
    <w:rsid w:val="002818C2"/>
    <w:rsid w:val="00281C96"/>
    <w:rsid w:val="00284010"/>
    <w:rsid w:val="002856A7"/>
    <w:rsid w:val="00290730"/>
    <w:rsid w:val="002966DD"/>
    <w:rsid w:val="002972E5"/>
    <w:rsid w:val="002A217A"/>
    <w:rsid w:val="002A68C4"/>
    <w:rsid w:val="002A7164"/>
    <w:rsid w:val="002B5DAA"/>
    <w:rsid w:val="002C5607"/>
    <w:rsid w:val="002D6DCA"/>
    <w:rsid w:val="002E0C2C"/>
    <w:rsid w:val="002E0F46"/>
    <w:rsid w:val="002E2209"/>
    <w:rsid w:val="002E619D"/>
    <w:rsid w:val="002E7015"/>
    <w:rsid w:val="002F06F9"/>
    <w:rsid w:val="002F26F9"/>
    <w:rsid w:val="002F69B7"/>
    <w:rsid w:val="00312496"/>
    <w:rsid w:val="00313B47"/>
    <w:rsid w:val="00321AFD"/>
    <w:rsid w:val="00327B50"/>
    <w:rsid w:val="0033066E"/>
    <w:rsid w:val="00332A0E"/>
    <w:rsid w:val="003356B1"/>
    <w:rsid w:val="00340E02"/>
    <w:rsid w:val="003556C6"/>
    <w:rsid w:val="00361576"/>
    <w:rsid w:val="00373578"/>
    <w:rsid w:val="00374DB1"/>
    <w:rsid w:val="00381DE9"/>
    <w:rsid w:val="00382A90"/>
    <w:rsid w:val="003844DA"/>
    <w:rsid w:val="00386C51"/>
    <w:rsid w:val="003905AD"/>
    <w:rsid w:val="003932F6"/>
    <w:rsid w:val="00393E2C"/>
    <w:rsid w:val="003A0A48"/>
    <w:rsid w:val="003A3A04"/>
    <w:rsid w:val="003A5CDA"/>
    <w:rsid w:val="003B239E"/>
    <w:rsid w:val="003B24DE"/>
    <w:rsid w:val="003B4757"/>
    <w:rsid w:val="003B6FB4"/>
    <w:rsid w:val="003B7E03"/>
    <w:rsid w:val="003B7F81"/>
    <w:rsid w:val="003C0407"/>
    <w:rsid w:val="003C2CBC"/>
    <w:rsid w:val="003C4F8B"/>
    <w:rsid w:val="003C60B9"/>
    <w:rsid w:val="003D0C95"/>
    <w:rsid w:val="003D2C99"/>
    <w:rsid w:val="003D45EB"/>
    <w:rsid w:val="003D53F4"/>
    <w:rsid w:val="003E0D13"/>
    <w:rsid w:val="003E3B53"/>
    <w:rsid w:val="003E4ED8"/>
    <w:rsid w:val="003E56BF"/>
    <w:rsid w:val="003E7825"/>
    <w:rsid w:val="003F582E"/>
    <w:rsid w:val="003F6736"/>
    <w:rsid w:val="0040589B"/>
    <w:rsid w:val="00405F2F"/>
    <w:rsid w:val="004064C5"/>
    <w:rsid w:val="0041377B"/>
    <w:rsid w:val="00414C89"/>
    <w:rsid w:val="00417F43"/>
    <w:rsid w:val="00420A1F"/>
    <w:rsid w:val="0042250B"/>
    <w:rsid w:val="004225FB"/>
    <w:rsid w:val="00422794"/>
    <w:rsid w:val="004245BB"/>
    <w:rsid w:val="00425667"/>
    <w:rsid w:val="00425FE1"/>
    <w:rsid w:val="00426040"/>
    <w:rsid w:val="00432056"/>
    <w:rsid w:val="0043353A"/>
    <w:rsid w:val="00441145"/>
    <w:rsid w:val="00442187"/>
    <w:rsid w:val="00442442"/>
    <w:rsid w:val="004426D3"/>
    <w:rsid w:val="00442BE5"/>
    <w:rsid w:val="00444F2D"/>
    <w:rsid w:val="00450508"/>
    <w:rsid w:val="0045276D"/>
    <w:rsid w:val="00456FE0"/>
    <w:rsid w:val="00457062"/>
    <w:rsid w:val="0046011E"/>
    <w:rsid w:val="0046375A"/>
    <w:rsid w:val="004654A7"/>
    <w:rsid w:val="00466772"/>
    <w:rsid w:val="00466945"/>
    <w:rsid w:val="0046725C"/>
    <w:rsid w:val="00467A57"/>
    <w:rsid w:val="00470BBC"/>
    <w:rsid w:val="004731AF"/>
    <w:rsid w:val="004759FD"/>
    <w:rsid w:val="0047C4AD"/>
    <w:rsid w:val="0048454E"/>
    <w:rsid w:val="00484698"/>
    <w:rsid w:val="00484C2F"/>
    <w:rsid w:val="00492D86"/>
    <w:rsid w:val="00497375"/>
    <w:rsid w:val="004A5FB2"/>
    <w:rsid w:val="004B2FA9"/>
    <w:rsid w:val="004B3B5E"/>
    <w:rsid w:val="004B49BF"/>
    <w:rsid w:val="004B4ED7"/>
    <w:rsid w:val="004B59A4"/>
    <w:rsid w:val="004C7D97"/>
    <w:rsid w:val="004D0765"/>
    <w:rsid w:val="004D1C6D"/>
    <w:rsid w:val="004D3DCD"/>
    <w:rsid w:val="004D3F51"/>
    <w:rsid w:val="004E0211"/>
    <w:rsid w:val="004E0950"/>
    <w:rsid w:val="004E2C1E"/>
    <w:rsid w:val="004E325A"/>
    <w:rsid w:val="004E46DD"/>
    <w:rsid w:val="004E5233"/>
    <w:rsid w:val="004E53E8"/>
    <w:rsid w:val="004F3C14"/>
    <w:rsid w:val="004F3EE6"/>
    <w:rsid w:val="004F493E"/>
    <w:rsid w:val="005003FC"/>
    <w:rsid w:val="005034FB"/>
    <w:rsid w:val="00506EF6"/>
    <w:rsid w:val="00507A44"/>
    <w:rsid w:val="00507F82"/>
    <w:rsid w:val="00511FE5"/>
    <w:rsid w:val="00515F63"/>
    <w:rsid w:val="00523841"/>
    <w:rsid w:val="00524F00"/>
    <w:rsid w:val="00526AB8"/>
    <w:rsid w:val="005317A0"/>
    <w:rsid w:val="00532FEB"/>
    <w:rsid w:val="00540491"/>
    <w:rsid w:val="005453CA"/>
    <w:rsid w:val="0055020F"/>
    <w:rsid w:val="00550FFC"/>
    <w:rsid w:val="00551163"/>
    <w:rsid w:val="00554058"/>
    <w:rsid w:val="0056585A"/>
    <w:rsid w:val="00567662"/>
    <w:rsid w:val="00574F44"/>
    <w:rsid w:val="005752F9"/>
    <w:rsid w:val="00582FF9"/>
    <w:rsid w:val="005876D6"/>
    <w:rsid w:val="005903AC"/>
    <w:rsid w:val="00590696"/>
    <w:rsid w:val="00592001"/>
    <w:rsid w:val="00595C48"/>
    <w:rsid w:val="005A0D0F"/>
    <w:rsid w:val="005A5E70"/>
    <w:rsid w:val="005A64DD"/>
    <w:rsid w:val="005A75A8"/>
    <w:rsid w:val="005B3F1F"/>
    <w:rsid w:val="005C05F2"/>
    <w:rsid w:val="005C3C86"/>
    <w:rsid w:val="005C3E58"/>
    <w:rsid w:val="005D1979"/>
    <w:rsid w:val="005D2FFD"/>
    <w:rsid w:val="005E2CF9"/>
    <w:rsid w:val="005E4870"/>
    <w:rsid w:val="005E5073"/>
    <w:rsid w:val="005E66A4"/>
    <w:rsid w:val="005F11FF"/>
    <w:rsid w:val="005F26C5"/>
    <w:rsid w:val="005F42F4"/>
    <w:rsid w:val="00600784"/>
    <w:rsid w:val="006039A7"/>
    <w:rsid w:val="00604A96"/>
    <w:rsid w:val="0060512A"/>
    <w:rsid w:val="00606B6E"/>
    <w:rsid w:val="00607B42"/>
    <w:rsid w:val="0061278E"/>
    <w:rsid w:val="00613DB8"/>
    <w:rsid w:val="00615CC3"/>
    <w:rsid w:val="00617F67"/>
    <w:rsid w:val="00620674"/>
    <w:rsid w:val="00620E07"/>
    <w:rsid w:val="00621A7B"/>
    <w:rsid w:val="00624625"/>
    <w:rsid w:val="00627E72"/>
    <w:rsid w:val="00633515"/>
    <w:rsid w:val="00635FCE"/>
    <w:rsid w:val="00636D6D"/>
    <w:rsid w:val="00640CB2"/>
    <w:rsid w:val="00640E12"/>
    <w:rsid w:val="00642C25"/>
    <w:rsid w:val="00644BB7"/>
    <w:rsid w:val="006468E7"/>
    <w:rsid w:val="00654B02"/>
    <w:rsid w:val="00656DF0"/>
    <w:rsid w:val="00662B1B"/>
    <w:rsid w:val="006647E6"/>
    <w:rsid w:val="00667AB6"/>
    <w:rsid w:val="006700D2"/>
    <w:rsid w:val="006720FB"/>
    <w:rsid w:val="00672A2D"/>
    <w:rsid w:val="006852CB"/>
    <w:rsid w:val="0069029C"/>
    <w:rsid w:val="00696205"/>
    <w:rsid w:val="00697021"/>
    <w:rsid w:val="006A02D4"/>
    <w:rsid w:val="006B07E5"/>
    <w:rsid w:val="006B1DDD"/>
    <w:rsid w:val="006B218A"/>
    <w:rsid w:val="006B3CD7"/>
    <w:rsid w:val="006B673A"/>
    <w:rsid w:val="006C1309"/>
    <w:rsid w:val="006C1A4B"/>
    <w:rsid w:val="006C6450"/>
    <w:rsid w:val="006C704C"/>
    <w:rsid w:val="006D00B6"/>
    <w:rsid w:val="006D5831"/>
    <w:rsid w:val="006D5A43"/>
    <w:rsid w:val="006D5DB9"/>
    <w:rsid w:val="006D697B"/>
    <w:rsid w:val="006E1655"/>
    <w:rsid w:val="006E364E"/>
    <w:rsid w:val="006E3DF2"/>
    <w:rsid w:val="006E52C3"/>
    <w:rsid w:val="006E57BD"/>
    <w:rsid w:val="006E7307"/>
    <w:rsid w:val="006F10A7"/>
    <w:rsid w:val="006F3188"/>
    <w:rsid w:val="006F59F4"/>
    <w:rsid w:val="006F7302"/>
    <w:rsid w:val="00701BFF"/>
    <w:rsid w:val="00703659"/>
    <w:rsid w:val="007036C6"/>
    <w:rsid w:val="00711DC4"/>
    <w:rsid w:val="0071367A"/>
    <w:rsid w:val="00713AE5"/>
    <w:rsid w:val="00714984"/>
    <w:rsid w:val="0071608B"/>
    <w:rsid w:val="00717736"/>
    <w:rsid w:val="00717AC7"/>
    <w:rsid w:val="0073006E"/>
    <w:rsid w:val="007304A6"/>
    <w:rsid w:val="00730ADB"/>
    <w:rsid w:val="007428F0"/>
    <w:rsid w:val="00744218"/>
    <w:rsid w:val="00744959"/>
    <w:rsid w:val="007454F6"/>
    <w:rsid w:val="00745A6D"/>
    <w:rsid w:val="007469F8"/>
    <w:rsid w:val="007518CC"/>
    <w:rsid w:val="00751938"/>
    <w:rsid w:val="007531E5"/>
    <w:rsid w:val="00753545"/>
    <w:rsid w:val="0077124D"/>
    <w:rsid w:val="00777B1A"/>
    <w:rsid w:val="00783D52"/>
    <w:rsid w:val="00786EDE"/>
    <w:rsid w:val="00794365"/>
    <w:rsid w:val="0079521E"/>
    <w:rsid w:val="00796176"/>
    <w:rsid w:val="00796F4A"/>
    <w:rsid w:val="007A18C7"/>
    <w:rsid w:val="007A2DAE"/>
    <w:rsid w:val="007A3C3F"/>
    <w:rsid w:val="007A7A7F"/>
    <w:rsid w:val="007B1B59"/>
    <w:rsid w:val="007B4009"/>
    <w:rsid w:val="007C1222"/>
    <w:rsid w:val="007C369B"/>
    <w:rsid w:val="007C4158"/>
    <w:rsid w:val="007C7441"/>
    <w:rsid w:val="007D0749"/>
    <w:rsid w:val="007D07EF"/>
    <w:rsid w:val="007D4908"/>
    <w:rsid w:val="007D5320"/>
    <w:rsid w:val="007D766B"/>
    <w:rsid w:val="007E0176"/>
    <w:rsid w:val="007E0CE0"/>
    <w:rsid w:val="007E111F"/>
    <w:rsid w:val="007E3D4E"/>
    <w:rsid w:val="007E4B1B"/>
    <w:rsid w:val="007E5A49"/>
    <w:rsid w:val="007E6771"/>
    <w:rsid w:val="007F25A4"/>
    <w:rsid w:val="007F32E6"/>
    <w:rsid w:val="007F474A"/>
    <w:rsid w:val="007F7583"/>
    <w:rsid w:val="007F7D22"/>
    <w:rsid w:val="0080119C"/>
    <w:rsid w:val="00806CD6"/>
    <w:rsid w:val="00811C93"/>
    <w:rsid w:val="008167EB"/>
    <w:rsid w:val="00817634"/>
    <w:rsid w:val="00817C9A"/>
    <w:rsid w:val="00817ECB"/>
    <w:rsid w:val="00821855"/>
    <w:rsid w:val="00824F33"/>
    <w:rsid w:val="00826B26"/>
    <w:rsid w:val="00832165"/>
    <w:rsid w:val="00836BFF"/>
    <w:rsid w:val="008472EF"/>
    <w:rsid w:val="00847790"/>
    <w:rsid w:val="00850AFC"/>
    <w:rsid w:val="00851D08"/>
    <w:rsid w:val="0085478C"/>
    <w:rsid w:val="008548A1"/>
    <w:rsid w:val="00861613"/>
    <w:rsid w:val="00861D43"/>
    <w:rsid w:val="00863BDD"/>
    <w:rsid w:val="00864A79"/>
    <w:rsid w:val="00864B33"/>
    <w:rsid w:val="00866D5F"/>
    <w:rsid w:val="00867ADB"/>
    <w:rsid w:val="008714AC"/>
    <w:rsid w:val="00875C7C"/>
    <w:rsid w:val="0088396E"/>
    <w:rsid w:val="008854D5"/>
    <w:rsid w:val="008856F8"/>
    <w:rsid w:val="00892F6D"/>
    <w:rsid w:val="00893F0A"/>
    <w:rsid w:val="00895B22"/>
    <w:rsid w:val="008A114D"/>
    <w:rsid w:val="008A4D36"/>
    <w:rsid w:val="008A54A4"/>
    <w:rsid w:val="008A65D3"/>
    <w:rsid w:val="008A6852"/>
    <w:rsid w:val="008A6DD8"/>
    <w:rsid w:val="008B0FDC"/>
    <w:rsid w:val="008C5A3F"/>
    <w:rsid w:val="008C5E2A"/>
    <w:rsid w:val="008C7017"/>
    <w:rsid w:val="008C7B90"/>
    <w:rsid w:val="008E146F"/>
    <w:rsid w:val="008E7E5A"/>
    <w:rsid w:val="008F0C56"/>
    <w:rsid w:val="008F2964"/>
    <w:rsid w:val="008F6884"/>
    <w:rsid w:val="0090300E"/>
    <w:rsid w:val="00905FD1"/>
    <w:rsid w:val="00912540"/>
    <w:rsid w:val="009150E4"/>
    <w:rsid w:val="00915A10"/>
    <w:rsid w:val="00915BC6"/>
    <w:rsid w:val="009168A7"/>
    <w:rsid w:val="00920505"/>
    <w:rsid w:val="009238B3"/>
    <w:rsid w:val="009256AC"/>
    <w:rsid w:val="00930371"/>
    <w:rsid w:val="009317B1"/>
    <w:rsid w:val="009319BF"/>
    <w:rsid w:val="0094063A"/>
    <w:rsid w:val="0094619C"/>
    <w:rsid w:val="009539B2"/>
    <w:rsid w:val="00956324"/>
    <w:rsid w:val="00957FDC"/>
    <w:rsid w:val="00962DAF"/>
    <w:rsid w:val="00965C43"/>
    <w:rsid w:val="00970D51"/>
    <w:rsid w:val="0097196F"/>
    <w:rsid w:val="00972CE5"/>
    <w:rsid w:val="009737D6"/>
    <w:rsid w:val="009761C5"/>
    <w:rsid w:val="00985CE2"/>
    <w:rsid w:val="0099388F"/>
    <w:rsid w:val="00994DBD"/>
    <w:rsid w:val="009979B2"/>
    <w:rsid w:val="009A058A"/>
    <w:rsid w:val="009A7200"/>
    <w:rsid w:val="009B10FF"/>
    <w:rsid w:val="009B195D"/>
    <w:rsid w:val="009B462F"/>
    <w:rsid w:val="009B4CA4"/>
    <w:rsid w:val="009B673E"/>
    <w:rsid w:val="009B74A3"/>
    <w:rsid w:val="009C1FC7"/>
    <w:rsid w:val="009C3A67"/>
    <w:rsid w:val="009C4C1E"/>
    <w:rsid w:val="009C760A"/>
    <w:rsid w:val="009C7D75"/>
    <w:rsid w:val="009D1878"/>
    <w:rsid w:val="009D6C46"/>
    <w:rsid w:val="009E14A4"/>
    <w:rsid w:val="009F435A"/>
    <w:rsid w:val="009F615A"/>
    <w:rsid w:val="009F76B4"/>
    <w:rsid w:val="00A03C18"/>
    <w:rsid w:val="00A100C9"/>
    <w:rsid w:val="00A10F1F"/>
    <w:rsid w:val="00A1119E"/>
    <w:rsid w:val="00A162EF"/>
    <w:rsid w:val="00A1729C"/>
    <w:rsid w:val="00A21822"/>
    <w:rsid w:val="00A23139"/>
    <w:rsid w:val="00A2330A"/>
    <w:rsid w:val="00A23A48"/>
    <w:rsid w:val="00A244EF"/>
    <w:rsid w:val="00A24A08"/>
    <w:rsid w:val="00A2591F"/>
    <w:rsid w:val="00A307B2"/>
    <w:rsid w:val="00A417BE"/>
    <w:rsid w:val="00A41F65"/>
    <w:rsid w:val="00A43DEB"/>
    <w:rsid w:val="00A446AA"/>
    <w:rsid w:val="00A45E70"/>
    <w:rsid w:val="00A4645D"/>
    <w:rsid w:val="00A50F63"/>
    <w:rsid w:val="00A529F4"/>
    <w:rsid w:val="00A53226"/>
    <w:rsid w:val="00A55FC4"/>
    <w:rsid w:val="00A62EE4"/>
    <w:rsid w:val="00A64A94"/>
    <w:rsid w:val="00A64FCF"/>
    <w:rsid w:val="00A651FB"/>
    <w:rsid w:val="00A74B54"/>
    <w:rsid w:val="00A83344"/>
    <w:rsid w:val="00A8392C"/>
    <w:rsid w:val="00A855EE"/>
    <w:rsid w:val="00A907F5"/>
    <w:rsid w:val="00A93F07"/>
    <w:rsid w:val="00A94966"/>
    <w:rsid w:val="00A9723D"/>
    <w:rsid w:val="00AA2FA7"/>
    <w:rsid w:val="00AA3F49"/>
    <w:rsid w:val="00AB39AE"/>
    <w:rsid w:val="00AB405F"/>
    <w:rsid w:val="00AB4B07"/>
    <w:rsid w:val="00AB61BB"/>
    <w:rsid w:val="00AB6E98"/>
    <w:rsid w:val="00AC2A8A"/>
    <w:rsid w:val="00AC2B2D"/>
    <w:rsid w:val="00AC633D"/>
    <w:rsid w:val="00AC7955"/>
    <w:rsid w:val="00AD7FC3"/>
    <w:rsid w:val="00AE0C73"/>
    <w:rsid w:val="00AE128E"/>
    <w:rsid w:val="00AE260E"/>
    <w:rsid w:val="00AF031F"/>
    <w:rsid w:val="00AF1194"/>
    <w:rsid w:val="00AF2ECB"/>
    <w:rsid w:val="00AF3FBA"/>
    <w:rsid w:val="00B0021D"/>
    <w:rsid w:val="00B011D3"/>
    <w:rsid w:val="00B03198"/>
    <w:rsid w:val="00B076C9"/>
    <w:rsid w:val="00B1034A"/>
    <w:rsid w:val="00B12796"/>
    <w:rsid w:val="00B13B1B"/>
    <w:rsid w:val="00B13E22"/>
    <w:rsid w:val="00B214EC"/>
    <w:rsid w:val="00B23EC6"/>
    <w:rsid w:val="00B3481E"/>
    <w:rsid w:val="00B35209"/>
    <w:rsid w:val="00B41082"/>
    <w:rsid w:val="00B42B41"/>
    <w:rsid w:val="00B46A25"/>
    <w:rsid w:val="00B52C45"/>
    <w:rsid w:val="00B53962"/>
    <w:rsid w:val="00B53FE0"/>
    <w:rsid w:val="00B5602F"/>
    <w:rsid w:val="00B659A1"/>
    <w:rsid w:val="00B82324"/>
    <w:rsid w:val="00B85C19"/>
    <w:rsid w:val="00B930C5"/>
    <w:rsid w:val="00B96CBA"/>
    <w:rsid w:val="00BA2074"/>
    <w:rsid w:val="00BA3F9F"/>
    <w:rsid w:val="00BA79EB"/>
    <w:rsid w:val="00BB4D09"/>
    <w:rsid w:val="00BB6B95"/>
    <w:rsid w:val="00BC2BEC"/>
    <w:rsid w:val="00BC3872"/>
    <w:rsid w:val="00BC5261"/>
    <w:rsid w:val="00BC57D9"/>
    <w:rsid w:val="00BD21B9"/>
    <w:rsid w:val="00BD7FF7"/>
    <w:rsid w:val="00BE00CF"/>
    <w:rsid w:val="00BF1208"/>
    <w:rsid w:val="00BF1440"/>
    <w:rsid w:val="00BF1CD8"/>
    <w:rsid w:val="00BF3086"/>
    <w:rsid w:val="00BF50F1"/>
    <w:rsid w:val="00C005D9"/>
    <w:rsid w:val="00C00D74"/>
    <w:rsid w:val="00C0384A"/>
    <w:rsid w:val="00C06C4C"/>
    <w:rsid w:val="00C10F8A"/>
    <w:rsid w:val="00C12C1E"/>
    <w:rsid w:val="00C13CA3"/>
    <w:rsid w:val="00C14FCB"/>
    <w:rsid w:val="00C16400"/>
    <w:rsid w:val="00C1675B"/>
    <w:rsid w:val="00C16CE5"/>
    <w:rsid w:val="00C16E3F"/>
    <w:rsid w:val="00C17D0A"/>
    <w:rsid w:val="00C238ED"/>
    <w:rsid w:val="00C26E67"/>
    <w:rsid w:val="00C2733D"/>
    <w:rsid w:val="00C2741F"/>
    <w:rsid w:val="00C3196A"/>
    <w:rsid w:val="00C4307B"/>
    <w:rsid w:val="00C47127"/>
    <w:rsid w:val="00C51CAC"/>
    <w:rsid w:val="00C52D69"/>
    <w:rsid w:val="00C55261"/>
    <w:rsid w:val="00C62E43"/>
    <w:rsid w:val="00C62FA5"/>
    <w:rsid w:val="00C66A88"/>
    <w:rsid w:val="00C701F2"/>
    <w:rsid w:val="00C7347A"/>
    <w:rsid w:val="00C742B4"/>
    <w:rsid w:val="00C77565"/>
    <w:rsid w:val="00C77E17"/>
    <w:rsid w:val="00C860DB"/>
    <w:rsid w:val="00C90954"/>
    <w:rsid w:val="00C90B1B"/>
    <w:rsid w:val="00C910DC"/>
    <w:rsid w:val="00C93F5A"/>
    <w:rsid w:val="00C95AE5"/>
    <w:rsid w:val="00C961F9"/>
    <w:rsid w:val="00CA1196"/>
    <w:rsid w:val="00CA1BA3"/>
    <w:rsid w:val="00CA2A32"/>
    <w:rsid w:val="00CA65D6"/>
    <w:rsid w:val="00CA6ADA"/>
    <w:rsid w:val="00CB23D7"/>
    <w:rsid w:val="00CB2A0E"/>
    <w:rsid w:val="00CB55BF"/>
    <w:rsid w:val="00CC6324"/>
    <w:rsid w:val="00CC681B"/>
    <w:rsid w:val="00CD0D09"/>
    <w:rsid w:val="00CD4139"/>
    <w:rsid w:val="00CD523A"/>
    <w:rsid w:val="00CD636B"/>
    <w:rsid w:val="00CE19BE"/>
    <w:rsid w:val="00CE63A3"/>
    <w:rsid w:val="00CF0E92"/>
    <w:rsid w:val="00CF19C3"/>
    <w:rsid w:val="00CF7198"/>
    <w:rsid w:val="00CF77AD"/>
    <w:rsid w:val="00D03828"/>
    <w:rsid w:val="00D047D6"/>
    <w:rsid w:val="00D05212"/>
    <w:rsid w:val="00D07534"/>
    <w:rsid w:val="00D07862"/>
    <w:rsid w:val="00D13AD2"/>
    <w:rsid w:val="00D14FBC"/>
    <w:rsid w:val="00D15F51"/>
    <w:rsid w:val="00D2619A"/>
    <w:rsid w:val="00D26BF5"/>
    <w:rsid w:val="00D27630"/>
    <w:rsid w:val="00D30E1E"/>
    <w:rsid w:val="00D331BD"/>
    <w:rsid w:val="00D3430C"/>
    <w:rsid w:val="00D357EA"/>
    <w:rsid w:val="00D427AA"/>
    <w:rsid w:val="00D44E29"/>
    <w:rsid w:val="00D44EEA"/>
    <w:rsid w:val="00D4795D"/>
    <w:rsid w:val="00D50B98"/>
    <w:rsid w:val="00D518C6"/>
    <w:rsid w:val="00D55B5D"/>
    <w:rsid w:val="00D55F4C"/>
    <w:rsid w:val="00D65257"/>
    <w:rsid w:val="00D67089"/>
    <w:rsid w:val="00D74D46"/>
    <w:rsid w:val="00D7598E"/>
    <w:rsid w:val="00D77199"/>
    <w:rsid w:val="00D77A6D"/>
    <w:rsid w:val="00D83718"/>
    <w:rsid w:val="00D84578"/>
    <w:rsid w:val="00D84725"/>
    <w:rsid w:val="00D84B92"/>
    <w:rsid w:val="00D850C1"/>
    <w:rsid w:val="00D86C20"/>
    <w:rsid w:val="00D90F4F"/>
    <w:rsid w:val="00D941C7"/>
    <w:rsid w:val="00D95849"/>
    <w:rsid w:val="00DA07E4"/>
    <w:rsid w:val="00DA3273"/>
    <w:rsid w:val="00DA385E"/>
    <w:rsid w:val="00DA4A6D"/>
    <w:rsid w:val="00DA4FA7"/>
    <w:rsid w:val="00DA7D63"/>
    <w:rsid w:val="00DB10DD"/>
    <w:rsid w:val="00DC083A"/>
    <w:rsid w:val="00DC0D54"/>
    <w:rsid w:val="00DC35A5"/>
    <w:rsid w:val="00DC5507"/>
    <w:rsid w:val="00DC775F"/>
    <w:rsid w:val="00DD21E4"/>
    <w:rsid w:val="00DD2202"/>
    <w:rsid w:val="00DD2920"/>
    <w:rsid w:val="00DD5104"/>
    <w:rsid w:val="00DD73DD"/>
    <w:rsid w:val="00DD7E3C"/>
    <w:rsid w:val="00DE3FCF"/>
    <w:rsid w:val="00DE6342"/>
    <w:rsid w:val="00DF30A7"/>
    <w:rsid w:val="00E01042"/>
    <w:rsid w:val="00E03B4C"/>
    <w:rsid w:val="00E05FDD"/>
    <w:rsid w:val="00E076E0"/>
    <w:rsid w:val="00E07DC2"/>
    <w:rsid w:val="00E1175B"/>
    <w:rsid w:val="00E15E1D"/>
    <w:rsid w:val="00E15E33"/>
    <w:rsid w:val="00E17FD8"/>
    <w:rsid w:val="00E20515"/>
    <w:rsid w:val="00E219B1"/>
    <w:rsid w:val="00E22836"/>
    <w:rsid w:val="00E23A44"/>
    <w:rsid w:val="00E25AC2"/>
    <w:rsid w:val="00E25EDB"/>
    <w:rsid w:val="00E26F62"/>
    <w:rsid w:val="00E27D29"/>
    <w:rsid w:val="00E3478B"/>
    <w:rsid w:val="00E36741"/>
    <w:rsid w:val="00E52743"/>
    <w:rsid w:val="00E53876"/>
    <w:rsid w:val="00E53F82"/>
    <w:rsid w:val="00E55305"/>
    <w:rsid w:val="00E579B1"/>
    <w:rsid w:val="00E60428"/>
    <w:rsid w:val="00E60AC4"/>
    <w:rsid w:val="00E61209"/>
    <w:rsid w:val="00E65822"/>
    <w:rsid w:val="00E72160"/>
    <w:rsid w:val="00E734A7"/>
    <w:rsid w:val="00E7438F"/>
    <w:rsid w:val="00E74588"/>
    <w:rsid w:val="00E77D0E"/>
    <w:rsid w:val="00E85F12"/>
    <w:rsid w:val="00E86A62"/>
    <w:rsid w:val="00E93253"/>
    <w:rsid w:val="00E949C6"/>
    <w:rsid w:val="00E9558B"/>
    <w:rsid w:val="00E968A4"/>
    <w:rsid w:val="00E97C75"/>
    <w:rsid w:val="00EA14F1"/>
    <w:rsid w:val="00EB14E3"/>
    <w:rsid w:val="00EB466E"/>
    <w:rsid w:val="00EB7397"/>
    <w:rsid w:val="00EB7D37"/>
    <w:rsid w:val="00EC083D"/>
    <w:rsid w:val="00EC3889"/>
    <w:rsid w:val="00EC54D0"/>
    <w:rsid w:val="00ED2385"/>
    <w:rsid w:val="00ED4CBA"/>
    <w:rsid w:val="00EE0C60"/>
    <w:rsid w:val="00EE176C"/>
    <w:rsid w:val="00EE2914"/>
    <w:rsid w:val="00EE4339"/>
    <w:rsid w:val="00EE6B38"/>
    <w:rsid w:val="00EE7AB7"/>
    <w:rsid w:val="00EF0194"/>
    <w:rsid w:val="00EF45B1"/>
    <w:rsid w:val="00F04449"/>
    <w:rsid w:val="00F109EB"/>
    <w:rsid w:val="00F12D22"/>
    <w:rsid w:val="00F13FA2"/>
    <w:rsid w:val="00F17548"/>
    <w:rsid w:val="00F2019A"/>
    <w:rsid w:val="00F2047D"/>
    <w:rsid w:val="00F226FE"/>
    <w:rsid w:val="00F238F8"/>
    <w:rsid w:val="00F240ED"/>
    <w:rsid w:val="00F24A40"/>
    <w:rsid w:val="00F24AB4"/>
    <w:rsid w:val="00F26010"/>
    <w:rsid w:val="00F275E3"/>
    <w:rsid w:val="00F27C76"/>
    <w:rsid w:val="00F30C93"/>
    <w:rsid w:val="00F342B9"/>
    <w:rsid w:val="00F42CD0"/>
    <w:rsid w:val="00F43074"/>
    <w:rsid w:val="00F44D5E"/>
    <w:rsid w:val="00F465F6"/>
    <w:rsid w:val="00F5063F"/>
    <w:rsid w:val="00F516D8"/>
    <w:rsid w:val="00F55868"/>
    <w:rsid w:val="00F57C43"/>
    <w:rsid w:val="00F62CE3"/>
    <w:rsid w:val="00F637E0"/>
    <w:rsid w:val="00F773CE"/>
    <w:rsid w:val="00F8105A"/>
    <w:rsid w:val="00F82344"/>
    <w:rsid w:val="00F846E3"/>
    <w:rsid w:val="00F872D5"/>
    <w:rsid w:val="00F912A9"/>
    <w:rsid w:val="00F9247C"/>
    <w:rsid w:val="00F92CB0"/>
    <w:rsid w:val="00F92DD4"/>
    <w:rsid w:val="00FA0CAB"/>
    <w:rsid w:val="00FA3309"/>
    <w:rsid w:val="00FA6162"/>
    <w:rsid w:val="00FB110E"/>
    <w:rsid w:val="00FB1A2A"/>
    <w:rsid w:val="00FC165E"/>
    <w:rsid w:val="00FC24EA"/>
    <w:rsid w:val="00FC54B3"/>
    <w:rsid w:val="00FC57EC"/>
    <w:rsid w:val="00FD228D"/>
    <w:rsid w:val="00FD2B8E"/>
    <w:rsid w:val="00FD3583"/>
    <w:rsid w:val="00FD5E22"/>
    <w:rsid w:val="00FD6568"/>
    <w:rsid w:val="00FE16F1"/>
    <w:rsid w:val="00FE3BF2"/>
    <w:rsid w:val="00FE4D7B"/>
    <w:rsid w:val="00FE6622"/>
    <w:rsid w:val="00FE716B"/>
    <w:rsid w:val="00FE765D"/>
    <w:rsid w:val="00FF31F1"/>
    <w:rsid w:val="00FF3328"/>
    <w:rsid w:val="00FF561B"/>
    <w:rsid w:val="00FF614D"/>
    <w:rsid w:val="01018507"/>
    <w:rsid w:val="01DA86C5"/>
    <w:rsid w:val="01E2AC87"/>
    <w:rsid w:val="022BF3DF"/>
    <w:rsid w:val="02997A01"/>
    <w:rsid w:val="02C7F660"/>
    <w:rsid w:val="02E888CF"/>
    <w:rsid w:val="03052AD5"/>
    <w:rsid w:val="032FC309"/>
    <w:rsid w:val="0370A493"/>
    <w:rsid w:val="03C9421D"/>
    <w:rsid w:val="03E517A2"/>
    <w:rsid w:val="03F0BF42"/>
    <w:rsid w:val="03FF115D"/>
    <w:rsid w:val="0402B1EC"/>
    <w:rsid w:val="040A9417"/>
    <w:rsid w:val="041E7B0C"/>
    <w:rsid w:val="041FFC8F"/>
    <w:rsid w:val="04B4971D"/>
    <w:rsid w:val="04CCB122"/>
    <w:rsid w:val="04F91F4C"/>
    <w:rsid w:val="05823B38"/>
    <w:rsid w:val="06420ABE"/>
    <w:rsid w:val="064784D7"/>
    <w:rsid w:val="065B91F6"/>
    <w:rsid w:val="06703780"/>
    <w:rsid w:val="07409DB3"/>
    <w:rsid w:val="074CBCA4"/>
    <w:rsid w:val="074CF01A"/>
    <w:rsid w:val="0752B9F9"/>
    <w:rsid w:val="075D8FB5"/>
    <w:rsid w:val="08403A67"/>
    <w:rsid w:val="08968579"/>
    <w:rsid w:val="09C8EE9A"/>
    <w:rsid w:val="0A04FA93"/>
    <w:rsid w:val="0A63C729"/>
    <w:rsid w:val="0ABD8CA3"/>
    <w:rsid w:val="0AE2D2B9"/>
    <w:rsid w:val="0BE28F42"/>
    <w:rsid w:val="0BECEB52"/>
    <w:rsid w:val="0C25194A"/>
    <w:rsid w:val="0C359D5C"/>
    <w:rsid w:val="0C5E0580"/>
    <w:rsid w:val="0CFE2E7E"/>
    <w:rsid w:val="0D527954"/>
    <w:rsid w:val="0DB5D402"/>
    <w:rsid w:val="0E24A608"/>
    <w:rsid w:val="0EA5981B"/>
    <w:rsid w:val="0F03A7F7"/>
    <w:rsid w:val="0F04C181"/>
    <w:rsid w:val="0F0F3EA9"/>
    <w:rsid w:val="0FA32767"/>
    <w:rsid w:val="0FC254F1"/>
    <w:rsid w:val="107C47CE"/>
    <w:rsid w:val="10C3D08E"/>
    <w:rsid w:val="10F41669"/>
    <w:rsid w:val="11957F47"/>
    <w:rsid w:val="11C26AE3"/>
    <w:rsid w:val="11E109B8"/>
    <w:rsid w:val="1212AC76"/>
    <w:rsid w:val="12265BC5"/>
    <w:rsid w:val="126B86F9"/>
    <w:rsid w:val="126E0236"/>
    <w:rsid w:val="126F4BE0"/>
    <w:rsid w:val="137FDF51"/>
    <w:rsid w:val="1393A401"/>
    <w:rsid w:val="13EBD26E"/>
    <w:rsid w:val="14018D1C"/>
    <w:rsid w:val="140FEBC5"/>
    <w:rsid w:val="150B4FC5"/>
    <w:rsid w:val="15A7ABE2"/>
    <w:rsid w:val="16483891"/>
    <w:rsid w:val="16E04A9E"/>
    <w:rsid w:val="172E8707"/>
    <w:rsid w:val="173EE0A2"/>
    <w:rsid w:val="173F4B60"/>
    <w:rsid w:val="18EA9F0F"/>
    <w:rsid w:val="192ADD8C"/>
    <w:rsid w:val="1936E737"/>
    <w:rsid w:val="1938A2B4"/>
    <w:rsid w:val="1976B289"/>
    <w:rsid w:val="1A127F53"/>
    <w:rsid w:val="1A4BEEE3"/>
    <w:rsid w:val="1A8E2E2F"/>
    <w:rsid w:val="1AA78290"/>
    <w:rsid w:val="1C2B5305"/>
    <w:rsid w:val="1C5AE925"/>
    <w:rsid w:val="1CB962C8"/>
    <w:rsid w:val="1CF051CA"/>
    <w:rsid w:val="1D03BAD2"/>
    <w:rsid w:val="1D34360B"/>
    <w:rsid w:val="1E4B3B49"/>
    <w:rsid w:val="1E93CE77"/>
    <w:rsid w:val="1F524723"/>
    <w:rsid w:val="1F7BC597"/>
    <w:rsid w:val="20679888"/>
    <w:rsid w:val="2071F444"/>
    <w:rsid w:val="20FF608A"/>
    <w:rsid w:val="210E973E"/>
    <w:rsid w:val="213BE62A"/>
    <w:rsid w:val="223504F1"/>
    <w:rsid w:val="227B98E0"/>
    <w:rsid w:val="2284CBAC"/>
    <w:rsid w:val="22BF39B9"/>
    <w:rsid w:val="22FB9CC7"/>
    <w:rsid w:val="23329033"/>
    <w:rsid w:val="235D61CF"/>
    <w:rsid w:val="23A41D35"/>
    <w:rsid w:val="23ADFE02"/>
    <w:rsid w:val="23CF0814"/>
    <w:rsid w:val="23EEF55D"/>
    <w:rsid w:val="24252C12"/>
    <w:rsid w:val="2431A053"/>
    <w:rsid w:val="24C6940D"/>
    <w:rsid w:val="24D212A7"/>
    <w:rsid w:val="24FDCAAC"/>
    <w:rsid w:val="2541EC52"/>
    <w:rsid w:val="25A892DA"/>
    <w:rsid w:val="25AE0C71"/>
    <w:rsid w:val="25E9B420"/>
    <w:rsid w:val="25EDF0F8"/>
    <w:rsid w:val="26445141"/>
    <w:rsid w:val="266DC08A"/>
    <w:rsid w:val="2670A5A3"/>
    <w:rsid w:val="2680BEC5"/>
    <w:rsid w:val="268AC1F7"/>
    <w:rsid w:val="26DB78D2"/>
    <w:rsid w:val="2716D28B"/>
    <w:rsid w:val="27598777"/>
    <w:rsid w:val="289163CE"/>
    <w:rsid w:val="28D17C2B"/>
    <w:rsid w:val="28DC9A99"/>
    <w:rsid w:val="2965133C"/>
    <w:rsid w:val="29B1031E"/>
    <w:rsid w:val="2A913F75"/>
    <w:rsid w:val="2AC3E998"/>
    <w:rsid w:val="2AC4F67F"/>
    <w:rsid w:val="2AD8E4DD"/>
    <w:rsid w:val="2ADF26DA"/>
    <w:rsid w:val="2B3FAAB9"/>
    <w:rsid w:val="2B4EE7F9"/>
    <w:rsid w:val="2BB0FE63"/>
    <w:rsid w:val="2BE78BFA"/>
    <w:rsid w:val="2BFB41A7"/>
    <w:rsid w:val="2C04B450"/>
    <w:rsid w:val="2C8AA9DB"/>
    <w:rsid w:val="2D5FC9D6"/>
    <w:rsid w:val="2DAFCD76"/>
    <w:rsid w:val="2DDC2822"/>
    <w:rsid w:val="2E112A9B"/>
    <w:rsid w:val="2E1166D9"/>
    <w:rsid w:val="2F281870"/>
    <w:rsid w:val="2F5036F8"/>
    <w:rsid w:val="2F62C73E"/>
    <w:rsid w:val="2F65B381"/>
    <w:rsid w:val="2F9339A4"/>
    <w:rsid w:val="2FBAFC4F"/>
    <w:rsid w:val="2FF367BE"/>
    <w:rsid w:val="3068DD56"/>
    <w:rsid w:val="3092E5CA"/>
    <w:rsid w:val="30F7F361"/>
    <w:rsid w:val="3174E3A7"/>
    <w:rsid w:val="31958C85"/>
    <w:rsid w:val="321F61C1"/>
    <w:rsid w:val="326173FF"/>
    <w:rsid w:val="329635F0"/>
    <w:rsid w:val="32E5612A"/>
    <w:rsid w:val="32F9BCF4"/>
    <w:rsid w:val="3395045B"/>
    <w:rsid w:val="33C51570"/>
    <w:rsid w:val="33CDDA44"/>
    <w:rsid w:val="3407E153"/>
    <w:rsid w:val="340A21A0"/>
    <w:rsid w:val="34888A3C"/>
    <w:rsid w:val="349E9F0C"/>
    <w:rsid w:val="34AA405D"/>
    <w:rsid w:val="350019A2"/>
    <w:rsid w:val="350128FB"/>
    <w:rsid w:val="3509867E"/>
    <w:rsid w:val="350BF2F6"/>
    <w:rsid w:val="35107738"/>
    <w:rsid w:val="3515B9B9"/>
    <w:rsid w:val="351C5CC7"/>
    <w:rsid w:val="353EE429"/>
    <w:rsid w:val="3557C0DB"/>
    <w:rsid w:val="35A5488D"/>
    <w:rsid w:val="35A55541"/>
    <w:rsid w:val="35CEAA5F"/>
    <w:rsid w:val="35FC7875"/>
    <w:rsid w:val="3605C5A0"/>
    <w:rsid w:val="36524400"/>
    <w:rsid w:val="365FCF3F"/>
    <w:rsid w:val="36C84AEC"/>
    <w:rsid w:val="36F06AB0"/>
    <w:rsid w:val="37061548"/>
    <w:rsid w:val="37327278"/>
    <w:rsid w:val="373E0290"/>
    <w:rsid w:val="3756028B"/>
    <w:rsid w:val="3770E3AD"/>
    <w:rsid w:val="37B34DE7"/>
    <w:rsid w:val="384864ED"/>
    <w:rsid w:val="3852F76C"/>
    <w:rsid w:val="385CFF0E"/>
    <w:rsid w:val="393B5819"/>
    <w:rsid w:val="393CAB11"/>
    <w:rsid w:val="3AA41004"/>
    <w:rsid w:val="3BD1F797"/>
    <w:rsid w:val="3BF33131"/>
    <w:rsid w:val="3C096F3F"/>
    <w:rsid w:val="3C215813"/>
    <w:rsid w:val="3CD1A1B7"/>
    <w:rsid w:val="3CE14B30"/>
    <w:rsid w:val="3D3D8C13"/>
    <w:rsid w:val="3D484E68"/>
    <w:rsid w:val="3DC0DEF7"/>
    <w:rsid w:val="3E4EA1AE"/>
    <w:rsid w:val="3E6B46FF"/>
    <w:rsid w:val="3EC10417"/>
    <w:rsid w:val="3ECE301F"/>
    <w:rsid w:val="3EDEA79F"/>
    <w:rsid w:val="3F9661D4"/>
    <w:rsid w:val="3FC0A2B9"/>
    <w:rsid w:val="3FDB0F12"/>
    <w:rsid w:val="3FDDE0E6"/>
    <w:rsid w:val="4012477E"/>
    <w:rsid w:val="4013F1C3"/>
    <w:rsid w:val="402CE148"/>
    <w:rsid w:val="405B62AC"/>
    <w:rsid w:val="43051C07"/>
    <w:rsid w:val="43300CD9"/>
    <w:rsid w:val="434D6051"/>
    <w:rsid w:val="43521D18"/>
    <w:rsid w:val="43DD9213"/>
    <w:rsid w:val="444632CA"/>
    <w:rsid w:val="446655B3"/>
    <w:rsid w:val="449BF714"/>
    <w:rsid w:val="45126EB9"/>
    <w:rsid w:val="452CAB7C"/>
    <w:rsid w:val="453B6525"/>
    <w:rsid w:val="458D6490"/>
    <w:rsid w:val="458D8ED7"/>
    <w:rsid w:val="4592437D"/>
    <w:rsid w:val="46654AE2"/>
    <w:rsid w:val="4674BCE2"/>
    <w:rsid w:val="4737776D"/>
    <w:rsid w:val="47B82EBB"/>
    <w:rsid w:val="48AA5292"/>
    <w:rsid w:val="4923BF9C"/>
    <w:rsid w:val="494ABEE4"/>
    <w:rsid w:val="4957EB67"/>
    <w:rsid w:val="49BFF38E"/>
    <w:rsid w:val="49E05221"/>
    <w:rsid w:val="4A21C5C8"/>
    <w:rsid w:val="4A3FF409"/>
    <w:rsid w:val="4A9FD3EC"/>
    <w:rsid w:val="4AE43261"/>
    <w:rsid w:val="4B15F242"/>
    <w:rsid w:val="4B9EF6BF"/>
    <w:rsid w:val="4C6E4B5C"/>
    <w:rsid w:val="4D308AE9"/>
    <w:rsid w:val="4D5858C3"/>
    <w:rsid w:val="4D64BCAB"/>
    <w:rsid w:val="4E2590DE"/>
    <w:rsid w:val="4E4902E9"/>
    <w:rsid w:val="4E4B1940"/>
    <w:rsid w:val="4E55BB10"/>
    <w:rsid w:val="4E87EBAE"/>
    <w:rsid w:val="4F0525D5"/>
    <w:rsid w:val="4F1F5FB3"/>
    <w:rsid w:val="4F8781F5"/>
    <w:rsid w:val="4FB38760"/>
    <w:rsid w:val="4FCB3335"/>
    <w:rsid w:val="502AE72F"/>
    <w:rsid w:val="50D87A7B"/>
    <w:rsid w:val="514FF87E"/>
    <w:rsid w:val="51787FC8"/>
    <w:rsid w:val="51AB76CA"/>
    <w:rsid w:val="525EEB09"/>
    <w:rsid w:val="528377D6"/>
    <w:rsid w:val="529486C9"/>
    <w:rsid w:val="52F48A41"/>
    <w:rsid w:val="53160E7D"/>
    <w:rsid w:val="53CA5E4B"/>
    <w:rsid w:val="53D331E5"/>
    <w:rsid w:val="547307C3"/>
    <w:rsid w:val="55B781BE"/>
    <w:rsid w:val="55C79914"/>
    <w:rsid w:val="5601671E"/>
    <w:rsid w:val="56025204"/>
    <w:rsid w:val="56307320"/>
    <w:rsid w:val="568DD1C4"/>
    <w:rsid w:val="56C22A3C"/>
    <w:rsid w:val="5762C13E"/>
    <w:rsid w:val="57735C74"/>
    <w:rsid w:val="57D07E76"/>
    <w:rsid w:val="58470BCA"/>
    <w:rsid w:val="58795E1A"/>
    <w:rsid w:val="58F0787D"/>
    <w:rsid w:val="58FA6D72"/>
    <w:rsid w:val="594417E2"/>
    <w:rsid w:val="598D8193"/>
    <w:rsid w:val="5994B534"/>
    <w:rsid w:val="5999AF87"/>
    <w:rsid w:val="59B026A6"/>
    <w:rsid w:val="5A43DF86"/>
    <w:rsid w:val="5A602B50"/>
    <w:rsid w:val="5A6C6309"/>
    <w:rsid w:val="5A84F69D"/>
    <w:rsid w:val="5AA3CFC5"/>
    <w:rsid w:val="5ABC1E72"/>
    <w:rsid w:val="5AE08324"/>
    <w:rsid w:val="5B058E95"/>
    <w:rsid w:val="5B172961"/>
    <w:rsid w:val="5B92995E"/>
    <w:rsid w:val="5B957A77"/>
    <w:rsid w:val="5B9F3507"/>
    <w:rsid w:val="5BE1914E"/>
    <w:rsid w:val="5BEE28D9"/>
    <w:rsid w:val="5BF4C6DA"/>
    <w:rsid w:val="5CF3BA3D"/>
    <w:rsid w:val="5D2E30C4"/>
    <w:rsid w:val="5D82E2D8"/>
    <w:rsid w:val="5D8736B6"/>
    <w:rsid w:val="5DC0F464"/>
    <w:rsid w:val="5E1C1236"/>
    <w:rsid w:val="5E563E03"/>
    <w:rsid w:val="5E572B6E"/>
    <w:rsid w:val="5E5B5E96"/>
    <w:rsid w:val="5EEA117E"/>
    <w:rsid w:val="5F051602"/>
    <w:rsid w:val="5F1E866D"/>
    <w:rsid w:val="5F21187D"/>
    <w:rsid w:val="5F391EB9"/>
    <w:rsid w:val="5FA6D0D8"/>
    <w:rsid w:val="5FBC5D49"/>
    <w:rsid w:val="5FF891FC"/>
    <w:rsid w:val="605432EE"/>
    <w:rsid w:val="60944DB1"/>
    <w:rsid w:val="60C2E07F"/>
    <w:rsid w:val="614F6F11"/>
    <w:rsid w:val="614FC627"/>
    <w:rsid w:val="61753B89"/>
    <w:rsid w:val="61857277"/>
    <w:rsid w:val="625BD488"/>
    <w:rsid w:val="62670E49"/>
    <w:rsid w:val="62B6CA85"/>
    <w:rsid w:val="62CDC51A"/>
    <w:rsid w:val="62FD703D"/>
    <w:rsid w:val="636231C1"/>
    <w:rsid w:val="637FB346"/>
    <w:rsid w:val="639BC6C0"/>
    <w:rsid w:val="63CF939A"/>
    <w:rsid w:val="6507F76D"/>
    <w:rsid w:val="655E8803"/>
    <w:rsid w:val="65731526"/>
    <w:rsid w:val="65B24C6B"/>
    <w:rsid w:val="65E439F1"/>
    <w:rsid w:val="65ECA4FB"/>
    <w:rsid w:val="65F23945"/>
    <w:rsid w:val="66000721"/>
    <w:rsid w:val="6794C803"/>
    <w:rsid w:val="67D1328D"/>
    <w:rsid w:val="67E30631"/>
    <w:rsid w:val="68153C87"/>
    <w:rsid w:val="682D3DAF"/>
    <w:rsid w:val="686D2655"/>
    <w:rsid w:val="68DDD936"/>
    <w:rsid w:val="69012CA0"/>
    <w:rsid w:val="69213CDD"/>
    <w:rsid w:val="6960C2F9"/>
    <w:rsid w:val="6976DB63"/>
    <w:rsid w:val="6996C7B3"/>
    <w:rsid w:val="6A30D290"/>
    <w:rsid w:val="6A732B3F"/>
    <w:rsid w:val="6ADE68CC"/>
    <w:rsid w:val="6B3C484E"/>
    <w:rsid w:val="6BA8B663"/>
    <w:rsid w:val="6CC3076C"/>
    <w:rsid w:val="6D2DFDC5"/>
    <w:rsid w:val="6D458050"/>
    <w:rsid w:val="6D6F0A33"/>
    <w:rsid w:val="6DE99E29"/>
    <w:rsid w:val="6E3250F2"/>
    <w:rsid w:val="6E86AF2C"/>
    <w:rsid w:val="6E9C0C33"/>
    <w:rsid w:val="6EAD4FE4"/>
    <w:rsid w:val="6EED92FC"/>
    <w:rsid w:val="6F44AF22"/>
    <w:rsid w:val="6F5BFCD7"/>
    <w:rsid w:val="6FAC2C9D"/>
    <w:rsid w:val="6FFC9D1C"/>
    <w:rsid w:val="700680BB"/>
    <w:rsid w:val="701641BA"/>
    <w:rsid w:val="718A930B"/>
    <w:rsid w:val="71943E3B"/>
    <w:rsid w:val="71CF45C0"/>
    <w:rsid w:val="72BD7781"/>
    <w:rsid w:val="731E137A"/>
    <w:rsid w:val="73646F05"/>
    <w:rsid w:val="7492AE2C"/>
    <w:rsid w:val="74CC1F43"/>
    <w:rsid w:val="74D363A6"/>
    <w:rsid w:val="74F84ACD"/>
    <w:rsid w:val="75E3450C"/>
    <w:rsid w:val="75F7B6CE"/>
    <w:rsid w:val="76492BFC"/>
    <w:rsid w:val="76528AA7"/>
    <w:rsid w:val="770106D7"/>
    <w:rsid w:val="77196142"/>
    <w:rsid w:val="77941BAC"/>
    <w:rsid w:val="77B427CC"/>
    <w:rsid w:val="7803B580"/>
    <w:rsid w:val="78170E44"/>
    <w:rsid w:val="78201F98"/>
    <w:rsid w:val="7826EC96"/>
    <w:rsid w:val="78600419"/>
    <w:rsid w:val="7869A3EE"/>
    <w:rsid w:val="78957936"/>
    <w:rsid w:val="790C9E5B"/>
    <w:rsid w:val="79C83D00"/>
    <w:rsid w:val="79CCEF5D"/>
    <w:rsid w:val="7A053622"/>
    <w:rsid w:val="7ADAE97A"/>
    <w:rsid w:val="7B6E4B90"/>
    <w:rsid w:val="7B796E27"/>
    <w:rsid w:val="7BCBBDE1"/>
    <w:rsid w:val="7CCB0860"/>
    <w:rsid w:val="7D228106"/>
    <w:rsid w:val="7D272DC9"/>
    <w:rsid w:val="7D94D96A"/>
    <w:rsid w:val="7D9D01BD"/>
    <w:rsid w:val="7DF3963A"/>
    <w:rsid w:val="7E8F7544"/>
    <w:rsid w:val="7EBFB00E"/>
    <w:rsid w:val="7EC88966"/>
    <w:rsid w:val="7EED361B"/>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8B9A6"/>
  <w15:chartTrackingRefBased/>
  <w15:docId w15:val="{A52D6312-6289-4291-97D7-5B30F40C6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3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3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BDD"/>
    <w:rPr>
      <w:rFonts w:eastAsiaTheme="majorEastAsia" w:cstheme="majorBidi"/>
      <w:color w:val="272727" w:themeColor="text1" w:themeTint="D8"/>
    </w:rPr>
  </w:style>
  <w:style w:type="paragraph" w:styleId="Title">
    <w:name w:val="Title"/>
    <w:basedOn w:val="Normal"/>
    <w:next w:val="Normal"/>
    <w:link w:val="TitleChar"/>
    <w:uiPriority w:val="10"/>
    <w:qFormat/>
    <w:rsid w:val="00863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BDD"/>
    <w:pPr>
      <w:spacing w:before="160"/>
      <w:jc w:val="center"/>
    </w:pPr>
    <w:rPr>
      <w:i/>
      <w:iCs/>
      <w:color w:val="404040" w:themeColor="text1" w:themeTint="BF"/>
    </w:rPr>
  </w:style>
  <w:style w:type="character" w:customStyle="1" w:styleId="QuoteChar">
    <w:name w:val="Quote Char"/>
    <w:basedOn w:val="DefaultParagraphFont"/>
    <w:link w:val="Quote"/>
    <w:uiPriority w:val="29"/>
    <w:rsid w:val="00863BDD"/>
    <w:rPr>
      <w:i/>
      <w:iCs/>
      <w:color w:val="404040" w:themeColor="text1" w:themeTint="BF"/>
    </w:rPr>
  </w:style>
  <w:style w:type="paragraph" w:styleId="ListParagraph">
    <w:name w:val="List Paragraph"/>
    <w:basedOn w:val="Normal"/>
    <w:uiPriority w:val="34"/>
    <w:qFormat/>
    <w:rsid w:val="00863BDD"/>
    <w:pPr>
      <w:ind w:left="720"/>
      <w:contextualSpacing/>
    </w:pPr>
  </w:style>
  <w:style w:type="character" w:styleId="IntenseEmphasis">
    <w:name w:val="Intense Emphasis"/>
    <w:basedOn w:val="DefaultParagraphFont"/>
    <w:uiPriority w:val="21"/>
    <w:qFormat/>
    <w:rsid w:val="00863BDD"/>
    <w:rPr>
      <w:i/>
      <w:iCs/>
      <w:color w:val="0F4761" w:themeColor="accent1" w:themeShade="BF"/>
    </w:rPr>
  </w:style>
  <w:style w:type="paragraph" w:styleId="IntenseQuote">
    <w:name w:val="Intense Quote"/>
    <w:basedOn w:val="Normal"/>
    <w:next w:val="Normal"/>
    <w:link w:val="IntenseQuoteChar"/>
    <w:uiPriority w:val="30"/>
    <w:qFormat/>
    <w:rsid w:val="00863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BDD"/>
    <w:rPr>
      <w:i/>
      <w:iCs/>
      <w:color w:val="0F4761" w:themeColor="accent1" w:themeShade="BF"/>
    </w:rPr>
  </w:style>
  <w:style w:type="character" w:styleId="IntenseReference">
    <w:name w:val="Intense Reference"/>
    <w:basedOn w:val="DefaultParagraphFont"/>
    <w:uiPriority w:val="32"/>
    <w:qFormat/>
    <w:rsid w:val="00863BDD"/>
    <w:rPr>
      <w:b/>
      <w:bCs/>
      <w:smallCaps/>
      <w:color w:val="0F4761" w:themeColor="accent1" w:themeShade="BF"/>
      <w:spacing w:val="5"/>
    </w:rPr>
  </w:style>
  <w:style w:type="character" w:styleId="Hyperlink">
    <w:name w:val="Hyperlink"/>
    <w:basedOn w:val="DefaultParagraphFont"/>
    <w:uiPriority w:val="99"/>
    <w:unhideWhenUsed/>
    <w:rsid w:val="00863BDD"/>
    <w:rPr>
      <w:color w:val="467886" w:themeColor="hyperlink"/>
      <w:u w:val="single"/>
    </w:rPr>
  </w:style>
  <w:style w:type="character" w:styleId="UnresolvedMention">
    <w:name w:val="Unresolved Mention"/>
    <w:basedOn w:val="DefaultParagraphFont"/>
    <w:uiPriority w:val="99"/>
    <w:semiHidden/>
    <w:unhideWhenUsed/>
    <w:rsid w:val="00863BDD"/>
    <w:rPr>
      <w:color w:val="605E5C"/>
      <w:shd w:val="clear" w:color="auto" w:fill="E1DFDD"/>
    </w:rPr>
  </w:style>
  <w:style w:type="character" w:styleId="FollowedHyperlink">
    <w:name w:val="FollowedHyperlink"/>
    <w:basedOn w:val="DefaultParagraphFont"/>
    <w:uiPriority w:val="99"/>
    <w:semiHidden/>
    <w:unhideWhenUsed/>
    <w:rsid w:val="000C543F"/>
    <w:rPr>
      <w:color w:val="96607D" w:themeColor="followedHyperlink"/>
      <w:u w:val="single"/>
    </w:rPr>
  </w:style>
  <w:style w:type="paragraph" w:styleId="NoSpacing">
    <w:name w:val="No Spacing"/>
    <w:link w:val="NoSpacingChar"/>
    <w:uiPriority w:val="1"/>
    <w:qFormat/>
    <w:rsid w:val="00B076C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076C9"/>
    <w:rPr>
      <w:rFonts w:eastAsiaTheme="minorEastAsia"/>
      <w:kern w:val="0"/>
      <w:lang w:val="en-US"/>
      <w14:ligatures w14:val="none"/>
    </w:rPr>
  </w:style>
  <w:style w:type="character" w:styleId="CommentReference">
    <w:name w:val="annotation reference"/>
    <w:basedOn w:val="DefaultParagraphFont"/>
    <w:uiPriority w:val="99"/>
    <w:semiHidden/>
    <w:unhideWhenUsed/>
    <w:rsid w:val="00861613"/>
    <w:rPr>
      <w:sz w:val="16"/>
      <w:szCs w:val="16"/>
    </w:rPr>
  </w:style>
  <w:style w:type="paragraph" w:styleId="CommentText">
    <w:name w:val="annotation text"/>
    <w:basedOn w:val="Normal"/>
    <w:link w:val="CommentTextChar"/>
    <w:uiPriority w:val="99"/>
    <w:unhideWhenUsed/>
    <w:rsid w:val="00861613"/>
    <w:pPr>
      <w:spacing w:line="240" w:lineRule="auto"/>
    </w:pPr>
    <w:rPr>
      <w:sz w:val="20"/>
      <w:szCs w:val="20"/>
    </w:rPr>
  </w:style>
  <w:style w:type="character" w:customStyle="1" w:styleId="CommentTextChar">
    <w:name w:val="Comment Text Char"/>
    <w:basedOn w:val="DefaultParagraphFont"/>
    <w:link w:val="CommentText"/>
    <w:uiPriority w:val="99"/>
    <w:rsid w:val="00861613"/>
    <w:rPr>
      <w:sz w:val="20"/>
      <w:szCs w:val="20"/>
    </w:rPr>
  </w:style>
  <w:style w:type="paragraph" w:styleId="CommentSubject">
    <w:name w:val="annotation subject"/>
    <w:basedOn w:val="CommentText"/>
    <w:next w:val="CommentText"/>
    <w:link w:val="CommentSubjectChar"/>
    <w:uiPriority w:val="99"/>
    <w:semiHidden/>
    <w:unhideWhenUsed/>
    <w:rsid w:val="00861613"/>
    <w:rPr>
      <w:b/>
      <w:bCs/>
    </w:rPr>
  </w:style>
  <w:style w:type="character" w:customStyle="1" w:styleId="CommentSubjectChar">
    <w:name w:val="Comment Subject Char"/>
    <w:basedOn w:val="CommentTextChar"/>
    <w:link w:val="CommentSubject"/>
    <w:uiPriority w:val="99"/>
    <w:semiHidden/>
    <w:rsid w:val="00861613"/>
    <w:rPr>
      <w:b/>
      <w:bCs/>
      <w:sz w:val="20"/>
      <w:szCs w:val="20"/>
    </w:rPr>
  </w:style>
  <w:style w:type="paragraph" w:styleId="TOCHeading">
    <w:name w:val="TOC Heading"/>
    <w:basedOn w:val="Heading1"/>
    <w:next w:val="Normal"/>
    <w:uiPriority w:val="39"/>
    <w:unhideWhenUsed/>
    <w:qFormat/>
    <w:rsid w:val="007E677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E6771"/>
    <w:pPr>
      <w:spacing w:after="100"/>
    </w:pPr>
  </w:style>
  <w:style w:type="paragraph" w:styleId="TOC2">
    <w:name w:val="toc 2"/>
    <w:basedOn w:val="Normal"/>
    <w:next w:val="Normal"/>
    <w:autoRedefine/>
    <w:uiPriority w:val="39"/>
    <w:unhideWhenUsed/>
    <w:rsid w:val="007E6771"/>
    <w:pPr>
      <w:spacing w:after="100"/>
      <w:ind w:left="220"/>
    </w:pPr>
  </w:style>
  <w:style w:type="character" w:styleId="PlaceholderText">
    <w:name w:val="Placeholder Text"/>
    <w:basedOn w:val="DefaultParagraphFont"/>
    <w:uiPriority w:val="99"/>
    <w:semiHidden/>
    <w:rsid w:val="00C961F9"/>
    <w:rPr>
      <w:color w:val="666666"/>
    </w:rPr>
  </w:style>
  <w:style w:type="paragraph" w:customStyle="1" w:styleId="p1">
    <w:name w:val="p1"/>
    <w:basedOn w:val="Normal"/>
    <w:rsid w:val="00C961F9"/>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customStyle="1" w:styleId="s1">
    <w:name w:val="s1"/>
    <w:basedOn w:val="DefaultParagraphFont"/>
    <w:rsid w:val="00C961F9"/>
  </w:style>
  <w:style w:type="table" w:styleId="TableGrid">
    <w:name w:val="Table Grid"/>
    <w:basedOn w:val="TableNormal"/>
    <w:uiPriority w:val="59"/>
    <w:rsid w:val="007E017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2707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7967">
      <w:marLeft w:val="0"/>
      <w:marRight w:val="0"/>
      <w:marTop w:val="0"/>
      <w:marBottom w:val="0"/>
      <w:divBdr>
        <w:top w:val="none" w:sz="0" w:space="0" w:color="auto"/>
        <w:left w:val="none" w:sz="0" w:space="0" w:color="auto"/>
        <w:bottom w:val="none" w:sz="0" w:space="0" w:color="auto"/>
        <w:right w:val="none" w:sz="0" w:space="0" w:color="auto"/>
      </w:divBdr>
    </w:div>
    <w:div w:id="934901547">
      <w:marLeft w:val="0"/>
      <w:marRight w:val="0"/>
      <w:marTop w:val="0"/>
      <w:marBottom w:val="0"/>
      <w:divBdr>
        <w:top w:val="none" w:sz="0" w:space="0" w:color="auto"/>
        <w:left w:val="none" w:sz="0" w:space="0" w:color="auto"/>
        <w:bottom w:val="none" w:sz="0" w:space="0" w:color="auto"/>
        <w:right w:val="none" w:sz="0" w:space="0" w:color="auto"/>
      </w:divBdr>
    </w:div>
    <w:div w:id="1231422962">
      <w:marLeft w:val="0"/>
      <w:marRight w:val="0"/>
      <w:marTop w:val="0"/>
      <w:marBottom w:val="0"/>
      <w:divBdr>
        <w:top w:val="none" w:sz="0" w:space="0" w:color="auto"/>
        <w:left w:val="none" w:sz="0" w:space="0" w:color="auto"/>
        <w:bottom w:val="none" w:sz="0" w:space="0" w:color="auto"/>
        <w:right w:val="none" w:sz="0" w:space="0" w:color="auto"/>
      </w:divBdr>
    </w:div>
    <w:div w:id="123207900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ata.gov.sg/datasets/d_2bc812dbfd1e485638435fcdf7aac196/view" TargetMode="External"/><Relationship Id="rId21" Type="http://schemas.openxmlformats.org/officeDocument/2006/relationships/image" Target="media/image9.png"/><Relationship Id="rId34" Type="http://schemas.openxmlformats.org/officeDocument/2006/relationships/hyperlink" Target="https://www.moh.gov.sg/newsroom/hospital-bed-occupancy-rate/" TargetMode="External"/><Relationship Id="rId42" Type="http://schemas.openxmlformats.org/officeDocument/2006/relationships/hyperlink" Target="https://data.who.int/countries/702" TargetMode="External"/><Relationship Id="rId47" Type="http://schemas.openxmlformats.org/officeDocument/2006/relationships/hyperlink" Target="https://www.moh.gov.sg/newsroom/statistics-on-government-expenditure-on-public-healthcare--subsidised-medical-care-for-citizens--prs-and-foreigners--and-healthcare-spend-by-government-and-individuals/" TargetMode="External"/><Relationship Id="rId50" Type="http://schemas.openxmlformats.org/officeDocument/2006/relationships/hyperlink" Target="https://doi.org/10.1093/epirev/mxs004"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www.singstat.gov.sg/find-data/search-by-theme/population/population-and-population-structure/latest-data" TargetMode="Externa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hyperlink" Target="https://tablebuilder.singstat.gov.sg/table/TS/M870301" TargetMode="External"/><Relationship Id="rId37" Type="http://schemas.openxmlformats.org/officeDocument/2006/relationships/hyperlink" Target="https://data.gov.sg/datasets/d_ab4f7ecfc45e0a0eafe4ae4397e77059/view" TargetMode="External"/><Relationship Id="rId40" Type="http://schemas.openxmlformats.org/officeDocument/2006/relationships/hyperlink" Target="https://www.moh.gov.sg/managing-expenses/schemes-and-subsidies/subsidies-for-acute-inpatient-care-at-public-healthcare-institutions/" TargetMode="External"/><Relationship Id="rId45" Type="http://schemas.openxmlformats.org/officeDocument/2006/relationships/hyperlink" Target="https://www.moh.gov.sg/newsroom/expanding-healthcare-capacity-and-transforming-the-healthcare-workforce/" TargetMode="External"/><Relationship Id="rId53" Type="http://schemas.openxmlformats.org/officeDocument/2006/relationships/hyperlink" Target="https://www.moh.gov.sg/newsroom/transforming-healthcare-through-technology/" TargetMode="External"/><Relationship Id="rId58" Type="http://schemas.microsoft.com/office/2020/10/relationships/intelligence" Target="intelligence2.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ata.gov.sg/datasets/d_e2acb8eaf4eaf1e0a1608af9a9cd2634/view" TargetMode="External"/><Relationship Id="rId35" Type="http://schemas.openxmlformats.org/officeDocument/2006/relationships/hyperlink" Target="https://data.gov.sg/datasets/d_a40c83a6f36893fc4611eda91f84eb6b/view" TargetMode="External"/><Relationship Id="rId43" Type="http://schemas.openxmlformats.org/officeDocument/2006/relationships/hyperlink" Target="https://www.moh.gov.sg/others/resources-and-statistics/disease-burden/" TargetMode="External"/><Relationship Id="rId48" Type="http://schemas.openxmlformats.org/officeDocument/2006/relationships/hyperlink" Target="https://www.moh.gov.sg/newsroom/operating-expenditure-for-the-ministry-of-health/" TargetMode="External"/><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smartwealth.sg/healthcare-cost-statistics-singapore/"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microsoft.com/office/2018/08/relationships/commentsExtensible" Target="commentsExtensible.xml"/><Relationship Id="rId25" Type="http://schemas.openxmlformats.org/officeDocument/2006/relationships/image" Target="media/image13.png"/><Relationship Id="rId33" Type="http://schemas.openxmlformats.org/officeDocument/2006/relationships/hyperlink" Target="https://www.moh.gov.sg/newsroom/waiting-times-for-admissions-at-public-hospitals" TargetMode="External"/><Relationship Id="rId38" Type="http://schemas.openxmlformats.org/officeDocument/2006/relationships/hyperlink" Target="https://tablebuilder.singstat.gov.sg/table/TS/M810361" TargetMode="External"/><Relationship Id="rId46" Type="http://schemas.openxmlformats.org/officeDocument/2006/relationships/hyperlink" Target="https://www.moh.gov.sg/newsroom/hospital-bed-occupancy-rate/" TargetMode="External"/><Relationship Id="rId20" Type="http://schemas.openxmlformats.org/officeDocument/2006/relationships/image" Target="media/image8.png"/><Relationship Id="rId41" Type="http://schemas.openxmlformats.org/officeDocument/2006/relationships/hyperlink" Target="https://www.moh.gov.sg/ageing-well/ageing-in-the-community/" TargetMode="External"/><Relationship Id="rId54" Type="http://schemas.openxmlformats.org/officeDocument/2006/relationships/hyperlink" Target="https://www.cpf.gov.sg/member/infohub/educational-resources/cpf-changes-announced-in-budget-and-cos-2025-and-what-it-means-for-you"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moh.gov.sg/others/resources-and-statistics/consumer-price-indices--cpi----household-healthcare-expenditure/" TargetMode="External"/><Relationship Id="rId49" Type="http://schemas.openxmlformats.org/officeDocument/2006/relationships/hyperlink" Target="https://assets.app.optical.gov.sg/singstat/production/published/assets/fab914bb-0775-4604-b3ab-f43402727b2d.pdf"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www.moh.gov.sg/newsroom/expanding-healthcare-capacity-and-transforming-the-healthcare-workforce" TargetMode="External"/><Relationship Id="rId44" Type="http://schemas.openxmlformats.org/officeDocument/2006/relationships/hyperlink" Target="https://www.moh.gov.sg/newsroom/speech-by-mr-ong-ye-kung--minister-for-health--at-the-ministry-of-health-committee-of-supply-debate-2025--on-friday-7-march-2025/" TargetMode="External"/><Relationship Id="rId52" Type="http://schemas.openxmlformats.org/officeDocument/2006/relationships/hyperlink" Target="https://www.straitstimes.com/singapore/politics/spores-total-fertility-rate-sinks-to-new-low-of-0-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BF75620CC4944BACC2E4FD09C96983" ma:contentTypeVersion="10" ma:contentTypeDescription="Create a new document." ma:contentTypeScope="" ma:versionID="ec1479f8d152e69cd525fc10c24170f2">
  <xsd:schema xmlns:xsd="http://www.w3.org/2001/XMLSchema" xmlns:xs="http://www.w3.org/2001/XMLSchema" xmlns:p="http://schemas.microsoft.com/office/2006/metadata/properties" xmlns:ns3="b18e7fb8-bdcb-4134-8428-d4ebdd54b4d2" targetNamespace="http://schemas.microsoft.com/office/2006/metadata/properties" ma:root="true" ma:fieldsID="1530d84f72e16538bdb87a06757b51e5" ns3:_="">
    <xsd:import namespace="b18e7fb8-bdcb-4134-8428-d4ebdd54b4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8e7fb8-bdcb-4134-8428-d4ebdd54b4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18e7fb8-bdcb-4134-8428-d4ebdd54b4d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2A3747-A582-446B-941B-B9FDD12797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8e7fb8-bdcb-4134-8428-d4ebdd54b4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FCCC44-C5F8-4884-AC0E-1C1C3E51A0F2}">
  <ds:schemaRefs>
    <ds:schemaRef ds:uri="http://schemas.microsoft.com/office/2006/metadata/properties"/>
    <ds:schemaRef ds:uri="http://schemas.microsoft.com/office/infopath/2007/PartnerControls"/>
    <ds:schemaRef ds:uri="b18e7fb8-bdcb-4134-8428-d4ebdd54b4d2"/>
  </ds:schemaRefs>
</ds:datastoreItem>
</file>

<file path=customXml/itemProps3.xml><?xml version="1.0" encoding="utf-8"?>
<ds:datastoreItem xmlns:ds="http://schemas.openxmlformats.org/officeDocument/2006/customXml" ds:itemID="{2264A2FC-2451-48A4-B539-1033CB233BDE}">
  <ds:schemaRefs>
    <ds:schemaRef ds:uri="http://schemas.openxmlformats.org/officeDocument/2006/bibliography"/>
  </ds:schemaRefs>
</ds:datastoreItem>
</file>

<file path=customXml/itemProps4.xml><?xml version="1.0" encoding="utf-8"?>
<ds:datastoreItem xmlns:ds="http://schemas.openxmlformats.org/officeDocument/2006/customXml" ds:itemID="{C67DF9BE-E566-4EED-8483-D7740F28AD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4204</Words>
  <Characters>23166</Characters>
  <Application>Microsoft Office Word</Application>
  <DocSecurity>0</DocSecurity>
  <Lines>429</Lines>
  <Paragraphs>104</Paragraphs>
  <ScaleCrop>false</ScaleCrop>
  <Company/>
  <LinksUpToDate>false</LinksUpToDate>
  <CharactersWithSpaces>27266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 Cher In</dc:creator>
  <cp:keywords/>
  <dc:description/>
  <cp:lastModifiedBy>Serene CHENG</cp:lastModifiedBy>
  <cp:revision>547</cp:revision>
  <dcterms:created xsi:type="dcterms:W3CDTF">2026-03-24T23:15:00Z</dcterms:created>
  <dcterms:modified xsi:type="dcterms:W3CDTF">2026-03-26T15:46:00Z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0x0101005BBF75620CC4944BACC2E4FD09C96983</vt:lpwstr>
  </property>
  <property fmtid="{D5CDD505-2E9C-101B-9397-08002B2CF9AE}" pid="3" name="GrammarlyDocumentId">
    <vt:lpwstr>ac8bda14ebf6aa640ca0a67ba1d3ff29e639c949665f706577879807226d716a</vt:lpwstr>
  </property>
</Properties>
</file>