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utomated_aml_ctf_compliance_fram_90b3f7"/>
      <w:r>
        <w:rPr>
          <w:b/>
          <w:sz w:val="56"/>
        </w:rPr>
        <w:t xml:space="preserve">Automated AML/CTF Compliance Framework for PaySafeGo: Australian Gaming Industry</w:t>
      </w:r>
      <w:bookmarkEnd w:id="0"/>
    </w:p>
    <w:p>
      <w:pPr>
        <w:spacing w:after="210" w:lineRule="auto"/>
      </w:pPr>
      <w:r>
        <w:rPr>
          <w:b/>
        </w:rPr>
        <w:t xml:space="preserve">Prepared for:</w:t>
      </w:r>
      <w:r>
        <w:rPr/>
        <w:t xml:space="preserve"> CTO, PaySafeGo</w:t>
      </w:r>
      <w:r>
        <w:rPr/>
        <w:br w:type="textWrapping"/>
      </w:r>
      <w:r>
        <w:rPr>
          <w:b/>
        </w:rPr>
        <w:t xml:space="preserve">Date:</w:t>
      </w:r>
      <w:r>
        <w:rPr/>
        <w:t xml:space="preserve"> March 2, 2026</w:t>
      </w:r>
      <w:r>
        <w:rPr/>
        <w:br w:type="textWrapping"/>
      </w:r>
      <w:r>
        <w:rPr>
          <w:b/>
        </w:rPr>
        <w:t xml:space="preserve">Subject:</w:t>
      </w:r>
      <w:r>
        <w:rPr/>
        <w:t xml:space="preserve"> Comprehensive Analysis of Automated Compliance Requirements Under AUSTRAC Regulations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provides a fact-checked analysis of automated Anti-Money Laundering and Counter-Terrorism Financing (AML/CTF) compliance for PaySafeGo's gaming venue payment platform operating in Australia. Based on current AUSTRAC regulations effective March 31, 2026, this framework addresses the technical, legal, and operational requirements for achieving maximum automation while maintaining regulatory compliance.</w:t>
      </w:r>
    </w:p>
    <w:p>
      <w:pPr>
        <w:spacing w:after="210" w:lineRule="auto"/>
      </w:pPr>
      <w:r>
        <w:rPr>
          <w:b/>
        </w:rPr>
        <w:t xml:space="preserve">Critical Finding:</w:t>
      </w:r>
      <w:r>
        <w:rPr/>
        <w:t xml:space="preserve"> Complete automation without any human intervention is </w:t>
      </w:r>
      <w:r>
        <w:rPr>
          <w:b/>
        </w:rPr>
        <w:t xml:space="preserve">not legally permissible</w:t>
      </w:r>
      <w:r>
        <w:rPr/>
        <w:t xml:space="preserve"> under Australian AML/CTF law. However, this document outlines a framework achieving approximately 85-92% automation with minimal human oversight, which represents the maximum legally achievable automation level under current regulations.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regulatory_context_and_paysa_3c9f06"/>
      <w:r>
        <w:rPr>
          <w:b/>
          <w:sz w:val="42"/>
        </w:rPr>
        <w:t xml:space="preserve">1. Regulatory Context and PaySafeGo's Obligations</w:t>
      </w:r>
      <w:bookmarkEnd w:id="2"/>
    </w:p>
    <w:p>
      <w:pPr>
        <w:spacing w:line="271" w:before="240" w:lineRule="auto"/>
      </w:pPr>
      <w:bookmarkStart w:id="3" w:name="bm_1_1_paysafego_s_regulatory_status"/>
      <w:r>
        <w:rPr>
          <w:b/>
          <w:sz w:val="33"/>
        </w:rPr>
        <w:t xml:space="preserve">1.1 PaySafeGo's Regulatory Status</w:t>
      </w:r>
      <w:bookmarkEnd w:id="3"/>
    </w:p>
    <w:p>
      <w:pPr>
        <w:spacing w:after="210" w:lineRule="auto"/>
      </w:pPr>
      <w:r>
        <w:rPr/>
        <w:t xml:space="preserve">PaySafeGo operates as a designated service provider under the Anti-Money Laundering and Counter-Terrorism Financing Act 2006 (AML/CTF Act). As a platform serving gaming venues (pubs, clubs, and casinos), PaySafeGo is classified as a </w:t>
      </w:r>
      <w:r>
        <w:rPr>
          <w:b/>
        </w:rPr>
        <w:t xml:space="preserve">reporting entity</w:t>
      </w:r>
      <w:r>
        <w:rPr/>
        <w:t xml:space="preserve"> and must comply with comprehensive AML/CTF obligations[1][2].</w:t>
      </w:r>
    </w:p>
    <w:p>
      <w:pPr>
        <w:spacing w:after="210" w:lineRule="auto"/>
      </w:pPr>
      <w:r>
        <w:rPr/>
        <w:t xml:space="preserve">Gaming venues are specifically designated as high-risk due to:</w:t>
      </w:r>
    </w:p>
    <w:p>
      <w:pPr>
        <w:numPr>
          <w:ilvl w:val="0"/>
          <w:numId w:val="1"/>
        </w:numPr>
        <w:spacing w:lineRule="auto"/>
      </w:pPr>
      <w:r>
        <w:rPr/>
        <w:t xml:space="preserve">High cash transaction volumes</w:t>
      </w:r>
    </w:p>
    <w:p>
      <w:pPr>
        <w:numPr>
          <w:ilvl w:val="0"/>
          <w:numId w:val="1"/>
        </w:numPr>
        <w:spacing w:lineRule="auto"/>
      </w:pPr>
      <w:r>
        <w:rPr/>
        <w:t xml:space="preserve">Anonymity potential in gaming environments</w:t>
      </w:r>
    </w:p>
    <w:p>
      <w:pPr>
        <w:numPr>
          <w:ilvl w:val="0"/>
          <w:numId w:val="1"/>
        </w:numPr>
        <w:spacing w:lineRule="auto"/>
      </w:pPr>
      <w:r>
        <w:rPr/>
        <w:t xml:space="preserve">Historical use for money laundering activities</w:t>
      </w:r>
    </w:p>
    <w:p>
      <w:pPr>
        <w:numPr>
          <w:ilvl w:val="0"/>
          <w:numId w:val="1"/>
        </w:numPr>
        <w:spacing w:lineRule="auto"/>
      </w:pPr>
      <w:r>
        <w:rPr/>
        <w:t xml:space="preserve">AUSTRAC enforcement focus on gaming sector (2024-2026)[3]</w:t>
      </w:r>
    </w:p>
    <w:p>
      <w:pPr>
        <w:spacing w:line="271" w:before="240" w:lineRule="auto"/>
      </w:pPr>
      <w:bookmarkStart w:id="4" w:name="bm_1_2_applicable_legislation_and_17bd5e"/>
      <w:r>
        <w:rPr>
          <w:b/>
          <w:sz w:val="33"/>
        </w:rPr>
        <w:t xml:space="preserve">1.2 Applicable Legislation and Reform Timeline</w:t>
      </w:r>
      <w:bookmarkEnd w:id="4"/>
    </w:p>
    <w:p>
      <w:pPr>
        <w:spacing w:after="210" w:lineRule="auto"/>
      </w:pPr>
      <w:r>
        <w:rPr>
          <w:b/>
        </w:rPr>
        <w:t xml:space="preserve">Primary Legislation:</w:t>
      </w:r>
    </w:p>
    <w:p>
      <w:pPr>
        <w:numPr>
          <w:ilvl w:val="0"/>
          <w:numId w:val="2"/>
        </w:numPr>
        <w:spacing w:lineRule="auto"/>
      </w:pPr>
      <w:r>
        <w:rPr/>
        <w:t xml:space="preserve">Anti-Money Laundering and Counter-Terrorism Financing Act 2006 (AML/CTF Act)</w:t>
      </w:r>
    </w:p>
    <w:p>
      <w:pPr>
        <w:numPr>
          <w:ilvl w:val="0"/>
          <w:numId w:val="2"/>
        </w:numPr>
        <w:spacing w:lineRule="auto"/>
      </w:pPr>
      <w:r>
        <w:rPr/>
        <w:t xml:space="preserve">Anti-Money Laundering and Counter-Terrorism Financing Amendment Act 2024</w:t>
      </w:r>
    </w:p>
    <w:p>
      <w:pPr>
        <w:numPr>
          <w:ilvl w:val="0"/>
          <w:numId w:val="2"/>
        </w:numPr>
        <w:spacing w:lineRule="auto"/>
      </w:pPr>
      <w:r>
        <w:rPr/>
        <w:t xml:space="preserve">AML/CTF Rules 2025 (effective March 31, 2026)</w:t>
      </w:r>
    </w:p>
    <w:p>
      <w:pPr>
        <w:spacing w:after="210" w:lineRule="auto"/>
      </w:pPr>
      <w:r>
        <w:rPr>
          <w:b/>
        </w:rPr>
        <w:t xml:space="preserve">Key Reform Date:</w:t>
      </w:r>
      <w:r>
        <w:rPr/>
        <w:t xml:space="preserve"> March 31, 2026 marks the commencement of significant reforms shifting from prescriptive compliance to outcomes-based, risk-focused frameworks[4].</w:t>
      </w:r>
    </w:p>
    <w:p>
      <w:pPr>
        <w:spacing w:line="271" w:before="240" w:lineRule="auto"/>
      </w:pPr>
      <w:bookmarkStart w:id="5" w:name="bm_1_3_core_obligations_for_repor_92927f"/>
      <w:r>
        <w:rPr>
          <w:b/>
          <w:sz w:val="33"/>
        </w:rPr>
        <w:t xml:space="preserve">1.3 Core Obligations for Reporting Entities</w:t>
      </w:r>
      <w:bookmarkEnd w:id="5"/>
    </w:p>
    <w:p>
      <w:pPr>
        <w:spacing w:after="210" w:lineRule="auto"/>
      </w:pPr>
      <w:r>
        <w:rPr/>
        <w:t xml:space="preserve">PaySafeGo must comply with:</w:t>
      </w:r>
    </w:p>
    <w:p>
      <w:pPr>
        <w:numPr>
          <w:ilvl w:val="0"/>
          <w:numId w:val="3"/>
        </w:numPr>
        <w:spacing w:lineRule="auto"/>
      </w:pPr>
      <w:r>
        <w:rPr>
          <w:b/>
        </w:rPr>
        <w:t xml:space="preserve">Enrolment with AUSTRAC</w:t>
      </w:r>
      <w:r>
        <w:rPr/>
        <w:t xml:space="preserve"> - Registration as a reporting entity</w:t>
      </w:r>
    </w:p>
    <w:p>
      <w:pPr>
        <w:numPr>
          <w:ilvl w:val="0"/>
          <w:numId w:val="3"/>
        </w:numPr>
        <w:spacing w:lineRule="auto"/>
      </w:pPr>
      <w:r>
        <w:rPr>
          <w:b/>
        </w:rPr>
        <w:t xml:space="preserve">AML/CTF Program</w:t>
      </w:r>
      <w:r>
        <w:rPr/>
        <w:t xml:space="preserve"> - Risk-based policies, procedures, systems, and controls</w:t>
      </w:r>
    </w:p>
    <w:p>
      <w:pPr>
        <w:numPr>
          <w:ilvl w:val="0"/>
          <w:numId w:val="3"/>
        </w:numPr>
        <w:spacing w:lineRule="auto"/>
      </w:pPr>
      <w:r>
        <w:rPr>
          <w:b/>
        </w:rPr>
        <w:t xml:space="preserve">Customer Due Diligence (CDD)</w:t>
      </w:r>
      <w:r>
        <w:rPr/>
        <w:t xml:space="preserve"> - Initial and ongoing customer verification</w:t>
      </w:r>
    </w:p>
    <w:p>
      <w:pPr>
        <w:numPr>
          <w:ilvl w:val="0"/>
          <w:numId w:val="3"/>
        </w:numPr>
        <w:spacing w:lineRule="auto"/>
      </w:pPr>
      <w:r>
        <w:rPr>
          <w:b/>
        </w:rPr>
        <w:t xml:space="preserve">Transaction Monitoring</w:t>
      </w:r>
      <w:r>
        <w:rPr/>
        <w:t xml:space="preserve"> - Continuous monitoring for suspicious activity</w:t>
      </w:r>
    </w:p>
    <w:p>
      <w:pPr>
        <w:numPr>
          <w:ilvl w:val="0"/>
          <w:numId w:val="3"/>
        </w:numPr>
        <w:spacing w:lineRule="auto"/>
      </w:pPr>
      <w:r>
        <w:rPr>
          <w:b/>
        </w:rPr>
        <w:t xml:space="preserve">Regulatory Reporting</w:t>
      </w:r>
      <w:r>
        <w:rPr/>
        <w:t xml:space="preserve"> - Suspicious Matter Reports (SMRs), Threshold Transaction Reports (TTRs), and International Funds Transfer Instructions (IFTIs)</w:t>
      </w:r>
    </w:p>
    <w:p>
      <w:pPr>
        <w:numPr>
          <w:ilvl w:val="0"/>
          <w:numId w:val="3"/>
        </w:numPr>
        <w:spacing w:lineRule="auto"/>
      </w:pPr>
      <w:r>
        <w:rPr>
          <w:b/>
        </w:rPr>
        <w:t xml:space="preserve">Record Keeping</w:t>
      </w:r>
      <w:r>
        <w:rPr/>
        <w:t xml:space="preserve"> - Maintaining records for 7 years</w:t>
      </w:r>
    </w:p>
    <w:p>
      <w:pPr>
        <w:numPr>
          <w:ilvl w:val="0"/>
          <w:numId w:val="3"/>
        </w:numPr>
        <w:spacing w:lineRule="auto"/>
      </w:pPr>
      <w:r>
        <w:rPr>
          <w:b/>
        </w:rPr>
        <w:t xml:space="preserve">Independent Review</w:t>
      </w:r>
      <w:r>
        <w:rPr/>
        <w:t xml:space="preserve"> - Regular third-party program audits</w:t>
      </w:r>
    </w:p>
    <w:p>
      <w:pPr>
        <w:numPr>
          <w:ilvl w:val="0"/>
          <w:numId w:val="3"/>
        </w:numPr>
        <w:spacing w:lineRule="auto"/>
      </w:pPr>
      <w:r>
        <w:rPr>
          <w:b/>
        </w:rPr>
        <w:t xml:space="preserve">Compliance Officer</w:t>
      </w:r>
      <w:r>
        <w:rPr/>
        <w:t xml:space="preserve"> - Designated AML/CTF compliance officer at management level[5][6]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the_legal_limitations_of_ful_88faaf"/>
      <w:r>
        <w:rPr>
          <w:b/>
          <w:sz w:val="42"/>
        </w:rPr>
        <w:t xml:space="preserve">2. The Legal Limitations of Full Automation</w:t>
      </w:r>
      <w:bookmarkEnd w:id="6"/>
    </w:p>
    <w:p>
      <w:pPr>
        <w:spacing w:line="271" w:before="240" w:lineRule="auto"/>
      </w:pPr>
      <w:bookmarkStart w:id="7" w:name="bm_2_1_why_complete_automation_is_9009af"/>
      <w:r>
        <w:rPr>
          <w:b/>
          <w:sz w:val="33"/>
        </w:rPr>
        <w:t xml:space="preserve">2.1 Why Complete Automation Is Not Legally Permissible</w:t>
      </w:r>
      <w:bookmarkEnd w:id="7"/>
    </w:p>
    <w:p>
      <w:pPr>
        <w:spacing w:after="210" w:lineRule="auto"/>
      </w:pPr>
      <w:r>
        <w:rPr>
          <w:b/>
        </w:rPr>
        <w:t xml:space="preserve">Mandatory Human Oversight Requirements:</w:t>
      </w:r>
    </w:p>
    <w:p>
      <w:pPr>
        <w:spacing w:after="210" w:lineRule="auto"/>
      </w:pPr>
      <w:r>
        <w:rPr/>
        <w:t xml:space="preserve">Under the reformed AML/CTF framework (effective March 31, 2026), certain obligations explicitly require human judgment and cannot be fully delegated to automated systems:</w:t>
      </w:r>
    </w:p>
    <w:p>
      <w:pPr>
        <w:numPr>
          <w:ilvl w:val="0"/>
          <w:numId w:val="4"/>
        </w:numPr>
        <w:spacing w:lineRule="auto"/>
      </w:pPr>
      <w:r>
        <w:rPr>
          <w:b/>
        </w:rPr>
        <w:t xml:space="preserve">Suspicious Matter Determination</w:t>
      </w:r>
      <w:r>
        <w:rPr/>
        <w:t xml:space="preserve"> - The decision to file an SMR requires human judgment on whether "reasonable grounds to suspect" exist. AI systems can flag transactions, but a human analyst must make the final determination[7][8].</w:t>
      </w:r>
    </w:p>
    <w:p>
      <w:pPr>
        <w:numPr>
          <w:ilvl w:val="0"/>
          <w:numId w:val="4"/>
        </w:numPr>
        <w:spacing w:lineRule="auto"/>
      </w:pPr>
      <w:r>
        <w:rPr>
          <w:b/>
        </w:rPr>
        <w:t xml:space="preserve">Enhanced Due Diligence (EDD) Decisions</w:t>
      </w:r>
      <w:r>
        <w:rPr/>
        <w:t xml:space="preserve"> - When customers present higher risk factors, enhanced CDD measures require human assessment of source of wealth, source of funds, and risk appropriateness[9].</w:t>
      </w:r>
    </w:p>
    <w:p>
      <w:pPr>
        <w:numPr>
          <w:ilvl w:val="0"/>
          <w:numId w:val="4"/>
        </w:numPr>
        <w:spacing w:lineRule="auto"/>
      </w:pPr>
      <w:r>
        <w:rPr>
          <w:b/>
        </w:rPr>
        <w:t xml:space="preserve">Compliance Officer Accountability</w:t>
      </w:r>
      <w:r>
        <w:rPr/>
        <w:t xml:space="preserve"> - The AML/CTF Act requires a designated compliance officer at management level who is personally accountable. This role cannot be outsourced to software[10].</w:t>
      </w:r>
    </w:p>
    <w:p>
      <w:pPr>
        <w:numPr>
          <w:ilvl w:val="0"/>
          <w:numId w:val="4"/>
        </w:numPr>
        <w:spacing w:lineRule="auto"/>
      </w:pPr>
      <w:r>
        <w:rPr>
          <w:b/>
        </w:rPr>
        <w:t xml:space="preserve">Board and Senior Management Oversight</w:t>
      </w:r>
      <w:r>
        <w:rPr/>
        <w:t xml:space="preserve"> - Governing bodies must oversee ML/TF risk and compliance, taking "reasonable steps" to comply with obligations[11].</w:t>
      </w:r>
    </w:p>
    <w:p>
      <w:pPr>
        <w:numPr>
          <w:ilvl w:val="0"/>
          <w:numId w:val="4"/>
        </w:numPr>
        <w:spacing w:lineRule="auto"/>
      </w:pPr>
      <w:r>
        <w:rPr>
          <w:b/>
        </w:rPr>
        <w:t xml:space="preserve">Risk Assessment Validation</w:t>
      </w:r>
      <w:r>
        <w:rPr/>
        <w:t xml:space="preserve"> - While systems can support risk assessments, senior management must validate and approve the ML/TF risk assessment methodology[12].</w:t>
      </w:r>
    </w:p>
    <w:p>
      <w:pPr>
        <w:spacing w:line="271" w:before="240" w:lineRule="auto"/>
      </w:pPr>
      <w:bookmarkStart w:id="8" w:name="bm_2_2_austrac_s_position_on_ai_a_8b2586"/>
      <w:r>
        <w:rPr>
          <w:b/>
          <w:sz w:val="33"/>
        </w:rPr>
        <w:t xml:space="preserve">2.2 AUSTRAC's Position on AI and Automation</w:t>
      </w:r>
      <w:bookmarkEnd w:id="8"/>
    </w:p>
    <w:p>
      <w:pPr>
        <w:spacing w:after="210" w:lineRule="auto"/>
      </w:pPr>
      <w:r>
        <w:rPr/>
        <w:t xml:space="preserve">Recent AUSTRAC guidance (December 2025) explicitly addresses AI use in AML compliance:</w:t>
      </w:r>
    </w:p>
    <w:p>
      <w:pPr>
        <w:spacing w:after="210" w:lineRule="auto"/>
      </w:pPr>
      <w:r>
        <w:rPr>
          <w:b/>
        </w:rPr>
        <w:t xml:space="preserve">Key Regulatory Expectations:</w:t>
      </w:r>
      <w:r>
        <w:rPr/>
        <w:t xml:space="preserve">[13]</w:t>
      </w:r>
    </w:p>
    <w:p>
      <w:pPr>
        <w:numPr>
          <w:ilvl w:val="0"/>
          <w:numId w:val="5"/>
        </w:numPr>
        <w:spacing w:lineRule="auto"/>
      </w:pPr>
      <w:r>
        <w:rPr>
          <w:b/>
        </w:rPr>
        <w:t xml:space="preserve">Explainability</w:t>
      </w:r>
      <w:r>
        <w:rPr/>
        <w:t xml:space="preserve"> - AI decision-making must be transparent and explainable to regulators</w:t>
      </w:r>
    </w:p>
    <w:p>
      <w:pPr>
        <w:numPr>
          <w:ilvl w:val="0"/>
          <w:numId w:val="5"/>
        </w:numPr>
        <w:spacing w:lineRule="auto"/>
      </w:pPr>
      <w:r>
        <w:rPr>
          <w:b/>
        </w:rPr>
        <w:t xml:space="preserve">Human-in-the-Loop</w:t>
      </w:r>
      <w:r>
        <w:rPr/>
        <w:t xml:space="preserve"> - Critical decisions (SMR filing, enhanced CDD triggers) require human review</w:t>
      </w:r>
    </w:p>
    <w:p>
      <w:pPr>
        <w:numPr>
          <w:ilvl w:val="0"/>
          <w:numId w:val="5"/>
        </w:numPr>
        <w:spacing w:lineRule="auto"/>
      </w:pPr>
      <w:r>
        <w:rPr>
          <w:b/>
        </w:rPr>
        <w:t xml:space="preserve">Model Governance</w:t>
      </w:r>
      <w:r>
        <w:rPr/>
        <w:t xml:space="preserve"> - AI models must be validated, monitored, and subject to regular review</w:t>
      </w:r>
    </w:p>
    <w:p>
      <w:pPr>
        <w:numPr>
          <w:ilvl w:val="0"/>
          <w:numId w:val="5"/>
        </w:numPr>
        <w:spacing w:lineRule="auto"/>
      </w:pPr>
      <w:r>
        <w:rPr>
          <w:b/>
        </w:rPr>
        <w:t xml:space="preserve">Audit Trails</w:t>
      </w:r>
      <w:r>
        <w:rPr/>
        <w:t xml:space="preserve"> - Complete documentation of AI decision logic and outcomes</w:t>
      </w:r>
    </w:p>
    <w:p>
      <w:pPr>
        <w:numPr>
          <w:ilvl w:val="0"/>
          <w:numId w:val="5"/>
        </w:numPr>
        <w:spacing w:lineRule="auto"/>
      </w:pPr>
      <w:r>
        <w:rPr>
          <w:b/>
        </w:rPr>
        <w:t xml:space="preserve">No Auto-Filing</w:t>
      </w:r>
      <w:r>
        <w:rPr/>
        <w:t xml:space="preserve"> - Automated SMR filing without human review is non-compliant</w:t>
      </w:r>
    </w:p>
    <w:p>
      <w:pPr>
        <w:spacing w:after="210" w:lineRule="auto"/>
      </w:pPr>
      <w:r>
        <w:rPr>
          <w:b/>
        </w:rPr>
        <w:t xml:space="preserve">AUSTRAC Warning (December 2025):</w:t>
      </w:r>
      <w:r>
        <w:rPr/>
        <w:t xml:space="preserve"> "Banks and reporting entities using AI in AML workflows must ensure human judgment remains central to suspicious matter reporting. Auto-filing or auto-suppression pathways without analyst oversight do not meet legislative requirements."[14]</w:t>
      </w:r>
    </w:p>
    <w:p>
      <w:pPr>
        <w:spacing w:line="271" w:before="240" w:lineRule="auto"/>
      </w:pPr>
      <w:bookmarkStart w:id="9" w:name="bm_2_3_the_specific_challenge_gam_90c76b"/>
      <w:r>
        <w:rPr>
          <w:b/>
          <w:sz w:val="33"/>
        </w:rPr>
        <w:t xml:space="preserve">2.3 The Specific Challenge: Gaming Industry Verification Requirements</w:t>
      </w:r>
      <w:bookmarkEnd w:id="9"/>
    </w:p>
    <w:p>
      <w:pPr>
        <w:spacing w:after="210" w:lineRule="auto"/>
      </w:pPr>
      <w:r>
        <w:rPr/>
        <w:t xml:space="preserve">For online gambling service providers (which may overlap with PaySafeGo's services), AUSTRAC has </w:t>
      </w:r>
      <w:r>
        <w:rPr>
          <w:b/>
        </w:rPr>
        <w:t xml:space="preserve">strengthened</w:t>
      </w:r>
      <w:r>
        <w:rPr/>
        <w:t xml:space="preserve"> customer identification requirements:</w:t>
      </w:r>
    </w:p>
    <w:p>
      <w:pPr>
        <w:numPr>
          <w:ilvl w:val="0"/>
          <w:numId w:val="6"/>
        </w:numPr>
        <w:spacing w:lineRule="auto"/>
      </w:pPr>
      <w:r>
        <w:rPr/>
        <w:t xml:space="preserve">From September 29, 2024, all online gambling providers must complete customer identification </w:t>
      </w:r>
      <w:r>
        <w:rPr>
          <w:b/>
        </w:rPr>
        <w:t xml:space="preserve">before</w:t>
      </w:r>
      <w:r>
        <w:rPr/>
        <w:t xml:space="preserve"> creating accounts or providing services</w:t>
      </w:r>
    </w:p>
    <w:p>
      <w:pPr>
        <w:numPr>
          <w:ilvl w:val="0"/>
          <w:numId w:val="6"/>
        </w:numPr>
        <w:spacing w:lineRule="auto"/>
      </w:pPr>
      <w:r>
        <w:rPr/>
        <w:t xml:space="preserve">The special circumstances allowing delayed verification have been </w:t>
      </w:r>
      <w:r>
        <w:rPr>
          <w:b/>
        </w:rPr>
        <w:t xml:space="preserve">repealed</w:t>
      </w:r>
    </w:p>
    <w:p>
      <w:pPr>
        <w:numPr>
          <w:ilvl w:val="0"/>
          <w:numId w:val="6"/>
        </w:numPr>
        <w:spacing w:lineRule="auto"/>
      </w:pPr>
      <w:r>
        <w:rPr/>
        <w:t xml:space="preserve">Pre-verification is mandatory to prevent exploitation by criminals and access by self-excluded individuals[15]</w:t>
      </w:r>
    </w:p>
    <w:p>
      <w:pPr>
        <w:spacing w:after="210" w:lineRule="auto"/>
      </w:pPr>
      <w:r>
        <w:rPr/>
        <w:t xml:space="preserve">If PaySafeGo facilitates online gambling transactions, immediate customer verification is non-negotiable.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3_maximum_achievable_automatio_dc03af"/>
      <w:r>
        <w:rPr>
          <w:b/>
          <w:sz w:val="42"/>
        </w:rPr>
        <w:t xml:space="preserve">3. Maximum Achievable Automation Framework</w:t>
      </w:r>
      <w:bookmarkEnd w:id="10"/>
    </w:p>
    <w:p>
      <w:pPr>
        <w:spacing w:after="210" w:lineRule="auto"/>
      </w:pPr>
      <w:r>
        <w:rPr/>
        <w:t xml:space="preserve">While complete automation is not permissible, PaySafeGo can achieve </w:t>
      </w:r>
      <w:r>
        <w:rPr>
          <w:b/>
        </w:rPr>
        <w:t xml:space="preserve">85-92% automation</w:t>
      </w:r>
      <w:r>
        <w:rPr/>
        <w:t xml:space="preserve"> through strategic technology deployment with minimal human oversight checkpoints.</w:t>
      </w:r>
    </w:p>
    <w:p>
      <w:pPr>
        <w:spacing w:line="271" w:before="240" w:lineRule="auto"/>
      </w:pPr>
      <w:bookmarkStart w:id="11" w:name="bm_3_1_automated_customer_due_dil_fb0fc2"/>
      <w:r>
        <w:rPr>
          <w:b/>
          <w:sz w:val="33"/>
        </w:rPr>
        <w:t xml:space="preserve">3.1 Automated Customer Due Diligence (CDD)</w:t>
      </w:r>
      <w:bookmarkEnd w:id="11"/>
    </w:p>
    <w:p>
      <w:pPr>
        <w:spacing w:after="210" w:lineRule="auto"/>
      </w:pPr>
      <w:r>
        <w:rPr>
          <w:b/>
        </w:rPr>
        <w:t xml:space="preserve">Automation Level: 90-95%</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CDD 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Automated Solution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Human Oversight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Identity Verification</w:t>
            </w:r>
          </w:p>
        </w:tc>
        <w:tc>
          <w:tcPr>
            <w:tcBorders>
              <w:bottom w:val="single" w:sz="8" w:space="0" w:color="000000"/>
              <w:right w:val="single" w:sz="8" w:space="0" w:color="000000"/>
            </w:tcBorders>
            <w:vAlign w:val="top"/>
          </w:tcPr>
          <w:p>
            <w:pPr>
              <w:spacing w:lineRule="auto"/>
              <w:jc w:val="left"/>
            </w:pPr>
            <w:r>
              <w:rPr/>
              <w:t xml:space="preserve">Digital Identity Verification (DVS/FVS integration), biometric liveness checks, document verification</w:t>
            </w:r>
          </w:p>
        </w:tc>
        <w:tc>
          <w:tcPr>
            <w:tcBorders>
              <w:bottom w:val="single" w:sz="8" w:space="0" w:color="000000"/>
              <w:right w:val="single" w:sz="8" w:space="0" w:color="000000"/>
            </w:tcBorders>
            <w:vAlign w:val="top"/>
          </w:tcPr>
          <w:p>
            <w:pPr>
              <w:spacing w:lineRule="auto"/>
              <w:jc w:val="left"/>
            </w:pPr>
            <w:r>
              <w:rPr/>
              <w:t xml:space="preserve">Exception cases only (1-5% of verifications)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Risk Profiling</w:t>
            </w:r>
          </w:p>
        </w:tc>
        <w:tc>
          <w:tcPr>
            <w:tcBorders>
              <w:bottom w:val="single" w:sz="8" w:space="0" w:color="000000"/>
              <w:right w:val="single" w:sz="8" w:space="0" w:color="000000"/>
            </w:tcBorders>
            <w:vAlign w:val="top"/>
          </w:tcPr>
          <w:p>
            <w:pPr>
              <w:spacing w:lineRule="auto"/>
              <w:jc w:val="left"/>
            </w:pPr>
            <w:r>
              <w:rPr/>
              <w:t xml:space="preserve">AI-driven risk scoring based on customer attributes, transaction patterns, geographic factors</w:t>
            </w:r>
          </w:p>
        </w:tc>
        <w:tc>
          <w:tcPr>
            <w:tcBorders>
              <w:bottom w:val="single" w:sz="8" w:space="0" w:color="000000"/>
              <w:right w:val="single" w:sz="8" w:space="0" w:color="000000"/>
            </w:tcBorders>
            <w:vAlign w:val="top"/>
          </w:tcPr>
          <w:p>
            <w:pPr>
              <w:spacing w:lineRule="auto"/>
              <w:jc w:val="left"/>
            </w:pPr>
            <w:r>
              <w:rPr/>
              <w:t xml:space="preserve">Annual model validation, exception review</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PEP/Sanctions Screening</w:t>
            </w:r>
          </w:p>
        </w:tc>
        <w:tc>
          <w:tcPr>
            <w:tcBorders>
              <w:bottom w:val="single" w:sz="8" w:space="0" w:color="000000"/>
              <w:right w:val="single" w:sz="8" w:space="0" w:color="000000"/>
            </w:tcBorders>
            <w:vAlign w:val="top"/>
          </w:tcPr>
          <w:p>
            <w:pPr>
              <w:spacing w:lineRule="auto"/>
              <w:jc w:val="left"/>
            </w:pPr>
            <w:r>
              <w:rPr/>
              <w:t xml:space="preserve">Real-time automated screening against AUSTRAC, DFAT, and international sanctions lists</w:t>
            </w:r>
          </w:p>
        </w:tc>
        <w:tc>
          <w:tcPr>
            <w:tcBorders>
              <w:bottom w:val="single" w:sz="8" w:space="0" w:color="000000"/>
              <w:right w:val="single" w:sz="8" w:space="0" w:color="000000"/>
            </w:tcBorders>
            <w:vAlign w:val="top"/>
          </w:tcPr>
          <w:p>
            <w:pPr>
              <w:spacing w:lineRule="auto"/>
              <w:jc w:val="left"/>
            </w:pPr>
            <w:r>
              <w:rPr/>
              <w:t xml:space="preserve">Positive match review (0.1-0.5% of customers)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Ongoing Monitoring</w:t>
            </w:r>
          </w:p>
        </w:tc>
        <w:tc>
          <w:tcPr>
            <w:tcBorders>
              <w:bottom w:val="single" w:sz="8" w:space="0" w:color="000000"/>
              <w:right w:val="single" w:sz="8" w:space="0" w:color="000000"/>
            </w:tcBorders>
            <w:vAlign w:val="top"/>
          </w:tcPr>
          <w:p>
            <w:pPr>
              <w:spacing w:lineRule="auto"/>
              <w:jc w:val="left"/>
            </w:pPr>
            <w:r>
              <w:rPr/>
              <w:t xml:space="preserve">Continuous automated monitoring of customer behavior, risk score updates</w:t>
            </w:r>
          </w:p>
        </w:tc>
        <w:tc>
          <w:tcPr>
            <w:tcBorders>
              <w:bottom w:val="single" w:sz="8" w:space="0" w:color="000000"/>
              <w:right w:val="single" w:sz="8" w:space="0" w:color="000000"/>
            </w:tcBorders>
            <w:vAlign w:val="top"/>
          </w:tcPr>
          <w:p>
            <w:pPr>
              <w:spacing w:lineRule="auto"/>
              <w:jc w:val="left"/>
            </w:pPr>
            <w:r>
              <w:rPr/>
              <w:t xml:space="preserve">Significant risk elevation review</w:t>
            </w:r>
          </w:p>
        </w:tc>
      </w:tr>
    </w:tbl>
    <w:p>
      <w:pPr>
        <w:spacing w:lineRule="auto"/>
      </w:pPr>
    </w:p>
    <w:p>
      <w:pPr>
        <w:spacing w:lineRule="auto"/>
      </w:pPr>
      <w:r>
        <w:rPr/>
        <w:t xml:space="preserve">Table 1: Automated CDD Components and Human Oversight Requirements</w:t>
      </w:r>
    </w:p>
    <w:p>
      <w:pPr>
        <w:spacing w:after="210" w:lineRule="auto"/>
      </w:pPr>
      <w:r>
        <w:rPr>
          <w:b/>
        </w:rPr>
        <w:t xml:space="preserve">Technical Implementation:</w:t>
      </w:r>
    </w:p>
    <w:p>
      <w:pPr>
        <w:spacing w:after="210" w:lineRule="auto"/>
      </w:pPr>
      <w:r>
        <w:rPr>
          <w:b/>
        </w:rPr>
        <w:t xml:space="preserve">Initial Customer Due Diligence (Automated Flow):</w:t>
      </w:r>
    </w:p>
    <w:p>
      <w:pPr>
        <w:numPr>
          <w:ilvl w:val="0"/>
          <w:numId w:val="7"/>
        </w:numPr>
        <w:spacing w:lineRule="auto"/>
      </w:pPr>
      <w:r>
        <w:rPr>
          <w:b/>
        </w:rPr>
        <w:t xml:space="preserve">Customer Onboarding Initiated</w:t>
      </w:r>
      <w:r>
        <w:rPr/>
        <w:br w:type="textWrapping"/>
      </w:r>
      <w:r>
        <w:rPr/>
        <w:t xml:space="preserve">- Customer provides core KYC information: full name, date of birth, address</w:t>
      </w:r>
      <w:r>
        <w:rPr/>
        <w:br w:type="textWrapping"/>
      </w:r>
      <w:r>
        <w:rPr/>
        <w:t xml:space="preserve">- System validates data format and completeness</w:t>
      </w:r>
    </w:p>
    <w:p>
      <w:pPr>
        <w:numPr>
          <w:ilvl w:val="0"/>
          <w:numId w:val="7"/>
        </w:numPr>
        <w:spacing w:lineRule="auto"/>
      </w:pPr>
      <w:r>
        <w:rPr>
          <w:b/>
        </w:rPr>
        <w:t xml:space="preserve">Digital Identity Verification (Fully Automated)</w:t>
      </w:r>
      <w:r>
        <w:rPr/>
        <w:br w:type="textWrapping"/>
      </w:r>
      <w:r>
        <w:rPr/>
        <w:t xml:space="preserve">- Integration with Australian Government Document Verification Service (DVS)[16]</w:t>
      </w:r>
      <w:r>
        <w:rPr/>
        <w:br w:type="textWrapping"/>
      </w:r>
      <w:r>
        <w:rPr/>
        <w:t xml:space="preserve">- Real-time verification against government databases (passport, driver license)</w:t>
      </w:r>
      <w:r>
        <w:rPr/>
        <w:br w:type="textWrapping"/>
      </w:r>
      <w:r>
        <w:rPr/>
        <w:t xml:space="preserve">- Biometric verification using Face Verification Service (FVS)[17]</w:t>
      </w:r>
      <w:r>
        <w:rPr/>
        <w:br w:type="textWrapping"/>
      </w:r>
      <w:r>
        <w:rPr/>
        <w:t xml:space="preserve">- Liveness detection to prevent spoofing</w:t>
      </w:r>
      <w:r>
        <w:rPr/>
        <w:br w:type="textWrapping"/>
      </w:r>
      <w:r>
        <w:rPr/>
        <w:t xml:space="preserve">- Success rate: 95-98% for Australian residents</w:t>
      </w:r>
    </w:p>
    <w:p>
      <w:pPr>
        <w:numPr>
          <w:ilvl w:val="0"/>
          <w:numId w:val="7"/>
        </w:numPr>
        <w:spacing w:lineRule="auto"/>
      </w:pPr>
      <w:r>
        <w:rPr>
          <w:b/>
        </w:rPr>
        <w:t xml:space="preserve">Automated Risk Assessment</w:t>
      </w:r>
      <w:r>
        <w:rPr/>
        <w:br w:type="textWrapping"/>
      </w:r>
      <w:r>
        <w:rPr/>
        <w:t xml:space="preserve">- ML model analyzes:</w:t>
      </w:r>
    </w:p>
    <w:p>
      <w:pPr>
        <w:numPr>
          <w:ilvl w:val="1"/>
          <w:numId w:val="7"/>
        </w:numPr>
        <w:spacing w:lineRule="auto"/>
      </w:pPr>
      <w:r>
        <w:rPr/>
        <w:t xml:space="preserve">Customer demographics</w:t>
      </w:r>
    </w:p>
    <w:p>
      <w:pPr>
        <w:numPr>
          <w:ilvl w:val="1"/>
          <w:numId w:val="7"/>
        </w:numPr>
        <w:spacing w:lineRule="auto"/>
      </w:pPr>
      <w:r>
        <w:rPr/>
        <w:t xml:space="preserve">Geographic location (high-risk jurisdiction flags)</w:t>
      </w:r>
    </w:p>
    <w:p>
      <w:pPr>
        <w:numPr>
          <w:ilvl w:val="1"/>
          <w:numId w:val="7"/>
        </w:numPr>
        <w:spacing w:lineRule="auto"/>
      </w:pPr>
      <w:r>
        <w:rPr/>
        <w:t xml:space="preserve">Service type requested</w:t>
      </w:r>
    </w:p>
    <w:p>
      <w:pPr>
        <w:numPr>
          <w:ilvl w:val="1"/>
          <w:numId w:val="7"/>
        </w:numPr>
        <w:spacing w:lineRule="auto"/>
      </w:pPr>
      <w:r>
        <w:rPr/>
        <w:t xml:space="preserve">Transaction patterns (if existing customer)</w:t>
      </w:r>
    </w:p>
    <w:p>
      <w:pPr>
        <w:numPr>
          <w:ilvl w:val="1"/>
          <w:numId w:val="7"/>
        </w:numPr>
        <w:spacing w:lineRule="auto"/>
      </w:pPr>
      <w:r>
        <w:rPr/>
        <w:t xml:space="preserve">Adverse media mentions</w:t>
      </w:r>
    </w:p>
    <w:p>
      <w:pPr>
        <w:numPr>
          <w:ilvl w:val="0"/>
          <w:numId w:val="7"/>
        </w:numPr>
        <w:spacing w:lineRule="auto"/>
      </w:pPr>
      <w:r>
        <w:rPr/>
        <w:t xml:space="preserve">- Assigns risk level: Low, Medium, High</w:t>
      </w:r>
      <w:r>
        <w:rPr/>
        <w:br w:type="textWrapping"/>
      </w:r>
      <w:r>
        <w:rPr/>
        <w:t xml:space="preserve">- Risk levels determine CDD approach (Simplified, Standard, Enhanced)</w:t>
      </w:r>
    </w:p>
    <w:p>
      <w:pPr>
        <w:numPr>
          <w:ilvl w:val="0"/>
          <w:numId w:val="7"/>
        </w:numPr>
        <w:spacing w:lineRule="auto"/>
      </w:pPr>
      <w:r>
        <w:rPr>
          <w:b/>
        </w:rPr>
        <w:t xml:space="preserve">PEP and Sanctions Screening (Fully Automated)</w:t>
      </w:r>
      <w:r>
        <w:rPr/>
        <w:br w:type="textWrapping"/>
      </w:r>
      <w:r>
        <w:rPr/>
        <w:t xml:space="preserve">- Real-time API screening against:</w:t>
      </w:r>
    </w:p>
    <w:p>
      <w:pPr>
        <w:numPr>
          <w:ilvl w:val="1"/>
          <w:numId w:val="7"/>
        </w:numPr>
        <w:spacing w:lineRule="auto"/>
      </w:pPr>
      <w:r>
        <w:rPr/>
        <w:t xml:space="preserve">AUSTRAC consolidated list</w:t>
      </w:r>
    </w:p>
    <w:p>
      <w:pPr>
        <w:numPr>
          <w:ilvl w:val="1"/>
          <w:numId w:val="7"/>
        </w:numPr>
        <w:spacing w:lineRule="auto"/>
      </w:pPr>
      <w:r>
        <w:rPr/>
        <w:t xml:space="preserve">DFAT sanctions list</w:t>
      </w:r>
    </w:p>
    <w:p>
      <w:pPr>
        <w:numPr>
          <w:ilvl w:val="1"/>
          <w:numId w:val="7"/>
        </w:numPr>
        <w:spacing w:lineRule="auto"/>
      </w:pPr>
      <w:r>
        <w:rPr/>
        <w:t xml:space="preserve">International PEP databases</w:t>
      </w:r>
    </w:p>
    <w:p>
      <w:pPr>
        <w:numPr>
          <w:ilvl w:val="1"/>
          <w:numId w:val="7"/>
        </w:numPr>
        <w:spacing w:lineRule="auto"/>
      </w:pPr>
      <w:r>
        <w:rPr/>
        <w:t xml:space="preserve">Adverse media databases</w:t>
      </w:r>
    </w:p>
    <w:p>
      <w:pPr>
        <w:numPr>
          <w:ilvl w:val="0"/>
          <w:numId w:val="7"/>
        </w:numPr>
        <w:spacing w:lineRule="auto"/>
      </w:pPr>
      <w:r>
        <w:rPr/>
        <w:t xml:space="preserve">- Fuzzy matching algorithms (95%+ accuracy)</w:t>
      </w:r>
      <w:r>
        <w:rPr/>
        <w:br w:type="textWrapping"/>
      </w:r>
      <w:r>
        <w:rPr/>
        <w:t xml:space="preserve">- Automatic clearance for no-match results</w:t>
      </w:r>
    </w:p>
    <w:p>
      <w:pPr>
        <w:numPr>
          <w:ilvl w:val="0"/>
          <w:numId w:val="7"/>
        </w:numPr>
        <w:spacing w:lineRule="auto"/>
      </w:pPr>
      <w:r>
        <w:rPr>
          <w:b/>
        </w:rPr>
        <w:t xml:space="preserve">Automated Decision</w:t>
      </w:r>
      <w:r>
        <w:rPr/>
        <w:br w:type="textWrapping"/>
      </w:r>
      <w:r>
        <w:rPr/>
        <w:t xml:space="preserve">- </w:t>
      </w:r>
      <w:r>
        <w:rPr>
          <w:b/>
        </w:rPr>
        <w:t xml:space="preserve">Low/Medium Risk + Clear Screening:</w:t>
      </w:r>
      <w:r>
        <w:rPr/>
        <w:t xml:space="preserve"> Automatic approval (85-90% of cases)</w:t>
      </w:r>
      <w:r>
        <w:rPr/>
        <w:br w:type="textWrapping"/>
      </w:r>
      <w:r>
        <w:rPr/>
        <w:t xml:space="preserve">- </w:t>
      </w:r>
      <w:r>
        <w:rPr>
          <w:b/>
        </w:rPr>
        <w:t xml:space="preserve">High Risk or Positive Match:</w:t>
      </w:r>
      <w:r>
        <w:rPr/>
        <w:t xml:space="preserve"> Queue for human review (10-15% of cases)</w:t>
      </w:r>
    </w:p>
    <w:p>
      <w:pPr>
        <w:spacing w:after="210" w:lineRule="auto"/>
      </w:pPr>
      <w:r>
        <w:rPr>
          <w:b/>
        </w:rPr>
        <w:t xml:space="preserve">Human Oversight Triggers (5-10% of cases):</w:t>
      </w:r>
    </w:p>
    <w:p>
      <w:pPr>
        <w:numPr>
          <w:ilvl w:val="0"/>
          <w:numId w:val="8"/>
        </w:numPr>
        <w:spacing w:lineRule="auto"/>
      </w:pPr>
      <w:r>
        <w:rPr/>
        <w:t xml:space="preserve">Positive PEP or sanctions match requiring source of wealth verification</w:t>
      </w:r>
    </w:p>
    <w:p>
      <w:pPr>
        <w:numPr>
          <w:ilvl w:val="0"/>
          <w:numId w:val="8"/>
        </w:numPr>
        <w:spacing w:lineRule="auto"/>
      </w:pPr>
      <w:r>
        <w:rPr/>
        <w:t xml:space="preserve">High-risk jurisdiction flags</w:t>
      </w:r>
    </w:p>
    <w:p>
      <w:pPr>
        <w:numPr>
          <w:ilvl w:val="0"/>
          <w:numId w:val="8"/>
        </w:numPr>
        <w:spacing w:lineRule="auto"/>
      </w:pPr>
      <w:r>
        <w:rPr/>
        <w:t xml:space="preserve">Verification failures or inconsistent documentation</w:t>
      </w:r>
    </w:p>
    <w:p>
      <w:pPr>
        <w:numPr>
          <w:ilvl w:val="0"/>
          <w:numId w:val="8"/>
        </w:numPr>
        <w:spacing w:lineRule="auto"/>
      </w:pPr>
      <w:r>
        <w:rPr/>
        <w:t xml:space="preserve">Enhanced CDD criteria met (foreign PEPs, complex ownership structures)</w:t>
      </w:r>
    </w:p>
    <w:p>
      <w:pPr>
        <w:numPr>
          <w:ilvl w:val="0"/>
          <w:numId w:val="8"/>
        </w:numPr>
        <w:spacing w:lineRule="auto"/>
      </w:pPr>
      <w:r>
        <w:rPr/>
        <w:t xml:space="preserve">Suspicious indicators during onboarding</w:t>
      </w:r>
    </w:p>
    <w:p>
      <w:pPr>
        <w:spacing w:line="271" w:before="240" w:lineRule="auto"/>
      </w:pPr>
      <w:bookmarkStart w:id="12" w:name="bm_3_2_automated_transaction_monitoring"/>
      <w:r>
        <w:rPr>
          <w:b/>
          <w:sz w:val="33"/>
        </w:rPr>
        <w:t xml:space="preserve">3.2 Automated Transaction Monitoring</w:t>
      </w:r>
      <w:bookmarkEnd w:id="12"/>
    </w:p>
    <w:p>
      <w:pPr>
        <w:spacing w:after="210" w:lineRule="auto"/>
      </w:pPr>
      <w:r>
        <w:rPr>
          <w:b/>
        </w:rPr>
        <w:t xml:space="preserve">Automation Level: 90-95%</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Monitoring Function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Automated Solution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Human Oversight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Real-Time Transaction Screening</w:t>
            </w:r>
          </w:p>
        </w:tc>
        <w:tc>
          <w:tcPr>
            <w:tcBorders>
              <w:bottom w:val="single" w:sz="8" w:space="0" w:color="000000"/>
              <w:right w:val="single" w:sz="8" w:space="0" w:color="000000"/>
            </w:tcBorders>
            <w:vAlign w:val="top"/>
          </w:tcPr>
          <w:p>
            <w:pPr>
              <w:spacing w:lineRule="auto"/>
              <w:jc w:val="left"/>
            </w:pPr>
            <w:r>
              <w:rPr/>
              <w:t xml:space="preserve">AI/ML pattern recognition, behavioral analysis, velocity checks</w:t>
            </w:r>
          </w:p>
        </w:tc>
        <w:tc>
          <w:tcPr>
            <w:tcBorders>
              <w:bottom w:val="single" w:sz="8" w:space="0" w:color="000000"/>
              <w:right w:val="single" w:sz="8" w:space="0" w:color="000000"/>
            </w:tcBorders>
            <w:vAlign w:val="top"/>
          </w:tcPr>
          <w:p>
            <w:pPr>
              <w:spacing w:lineRule="auto"/>
              <w:jc w:val="left"/>
            </w:pPr>
            <w:r>
              <w:rPr/>
              <w:t xml:space="preserve">Alert investigation (2-5% generate alerts)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Threshold Detection</w:t>
            </w:r>
          </w:p>
        </w:tc>
        <w:tc>
          <w:tcPr>
            <w:tcBorders>
              <w:bottom w:val="single" w:sz="8" w:space="0" w:color="000000"/>
              <w:right w:val="single" w:sz="8" w:space="0" w:color="000000"/>
            </w:tcBorders>
            <w:vAlign w:val="top"/>
          </w:tcPr>
          <w:p>
            <w:pPr>
              <w:spacing w:lineRule="auto"/>
              <w:jc w:val="left"/>
            </w:pPr>
            <w:r>
              <w:rPr/>
              <w:t xml:space="preserve">Automated TTR generation for transactions </w:t>
            </w:r>
            <m:oMath>
              <m:r>
                <m:rPr>
                  <m:sty m:val="p"/>
                </m:rPr>
                <m:t>≥</m:t>
              </m:r>
            </m:oMath>
            <w:r>
              <w:rPr/>
              <w:t xml:space="preserve"> A$10,000</w:t>
            </w:r>
          </w:p>
        </w:tc>
        <w:tc>
          <w:tcPr>
            <w:tcBorders>
              <w:bottom w:val="single" w:sz="8" w:space="0" w:color="000000"/>
              <w:right w:val="single" w:sz="8" w:space="0" w:color="000000"/>
            </w:tcBorders>
            <w:vAlign w:val="top"/>
          </w:tcPr>
          <w:p>
            <w:pPr>
              <w:spacing w:lineRule="auto"/>
              <w:jc w:val="left"/>
            </w:pPr>
            <w:r>
              <w:rPr/>
              <w:t xml:space="preserve">Review only if suspicious indicators present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Typology Detection</w:t>
            </w:r>
          </w:p>
        </w:tc>
        <w:tc>
          <w:tcPr>
            <w:tcBorders>
              <w:bottom w:val="single" w:sz="8" w:space="0" w:color="000000"/>
              <w:right w:val="single" w:sz="8" w:space="0" w:color="000000"/>
            </w:tcBorders>
            <w:vAlign w:val="top"/>
          </w:tcPr>
          <w:p>
            <w:pPr>
              <w:spacing w:lineRule="auto"/>
              <w:jc w:val="left"/>
            </w:pPr>
            <w:r>
              <w:rPr/>
              <w:t xml:space="preserve">ML models trained on known ML/TF typologies</w:t>
            </w:r>
          </w:p>
        </w:tc>
        <w:tc>
          <w:tcPr>
            <w:tcBorders>
              <w:bottom w:val="single" w:sz="8" w:space="0" w:color="000000"/>
              <w:right w:val="single" w:sz="8" w:space="0" w:color="000000"/>
            </w:tcBorders>
            <w:vAlign w:val="top"/>
          </w:tcPr>
          <w:p>
            <w:pPr>
              <w:spacing w:lineRule="auto"/>
              <w:jc w:val="left"/>
            </w:pPr>
            <w:r>
              <w:rPr/>
              <w:t xml:space="preserve">Complex typology validation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Alert Triage</w:t>
            </w:r>
          </w:p>
        </w:tc>
        <w:tc>
          <w:tcPr>
            <w:tcBorders>
              <w:bottom w:val="single" w:sz="8" w:space="0" w:color="000000"/>
              <w:right w:val="single" w:sz="8" w:space="0" w:color="000000"/>
            </w:tcBorders>
            <w:vAlign w:val="top"/>
          </w:tcPr>
          <w:p>
            <w:pPr>
              <w:spacing w:lineRule="auto"/>
              <w:jc w:val="left"/>
            </w:pPr>
            <w:r>
              <w:rPr/>
              <w:t xml:space="preserve">AI-driven alert scoring and prioritization</w:t>
            </w:r>
          </w:p>
        </w:tc>
        <w:tc>
          <w:tcPr>
            <w:tcBorders>
              <w:bottom w:val="single" w:sz="8" w:space="0" w:color="000000"/>
              <w:right w:val="single" w:sz="8" w:space="0" w:color="000000"/>
            </w:tcBorders>
            <w:vAlign w:val="top"/>
          </w:tcPr>
          <w:p>
            <w:pPr>
              <w:spacing w:lineRule="auto"/>
              <w:jc w:val="left"/>
            </w:pPr>
            <w:r>
              <w:rPr/>
              <w:t xml:space="preserve">High-priority alert review, SMR filing decision</w:t>
            </w:r>
          </w:p>
        </w:tc>
      </w:tr>
    </w:tbl>
    <w:p>
      <w:pPr>
        <w:spacing w:lineRule="auto"/>
      </w:pPr>
    </w:p>
    <w:p>
      <w:pPr>
        <w:spacing w:lineRule="auto"/>
      </w:pPr>
      <w:r>
        <w:rPr/>
        <w:t xml:space="preserve">Table 2: Automated Transaction Monitoring and Human Oversight</w:t>
      </w:r>
    </w:p>
    <w:p>
      <w:pPr>
        <w:spacing w:after="210" w:lineRule="auto"/>
      </w:pPr>
      <w:r>
        <w:rPr>
          <w:b/>
        </w:rPr>
        <w:t xml:space="preserve">Technical Implementation:</w:t>
      </w:r>
    </w:p>
    <w:p>
      <w:pPr>
        <w:spacing w:after="210" w:lineRule="auto"/>
      </w:pPr>
      <w:r>
        <w:rPr>
          <w:b/>
        </w:rPr>
        <w:t xml:space="preserve">Real-Time Transaction Monitoring System:</w:t>
      </w:r>
    </w:p>
    <w:p>
      <w:pPr>
        <w:numPr>
          <w:ilvl w:val="0"/>
          <w:numId w:val="9"/>
        </w:numPr>
        <w:spacing w:lineRule="auto"/>
      </w:pPr>
      <w:r>
        <w:rPr>
          <w:b/>
        </w:rPr>
        <w:t xml:space="preserve">Transaction Ingestion</w:t>
      </w:r>
      <w:r>
        <w:rPr/>
        <w:br w:type="textWrapping"/>
      </w:r>
      <w:r>
        <w:rPr/>
        <w:t xml:space="preserve">- Real-time capture of all payment transactions</w:t>
      </w:r>
      <w:r>
        <w:rPr/>
        <w:br w:type="textWrapping"/>
      </w:r>
      <w:r>
        <w:rPr/>
        <w:t xml:space="preserve">- Enrichment with customer risk profile, historical behavior</w:t>
      </w:r>
    </w:p>
    <w:p>
      <w:pPr>
        <w:numPr>
          <w:ilvl w:val="0"/>
          <w:numId w:val="9"/>
        </w:numPr>
        <w:spacing w:lineRule="auto"/>
      </w:pPr>
      <w:r>
        <w:rPr>
          <w:b/>
        </w:rPr>
        <w:t xml:space="preserve">Multi-Layered Automated Analysis</w:t>
      </w:r>
      <w:r>
        <w:rPr/>
        <w:br w:type="textWrapping"/>
      </w:r>
      <w:r>
        <w:rPr/>
        <w:br w:type="textWrapping"/>
      </w:r>
      <w:r>
        <w:rPr>
          <w:b/>
        </w:rPr>
        <w:t xml:space="preserve">Rule-Based Detection (Layer 1):</w:t>
      </w:r>
    </w:p>
    <w:p>
      <w:pPr>
        <w:numPr>
          <w:ilvl w:val="1"/>
          <w:numId w:val="9"/>
        </w:numPr>
        <w:spacing w:lineRule="auto"/>
      </w:pPr>
      <w:r>
        <w:rPr/>
        <w:t xml:space="preserve">Threshold rules (e.g., single transaction </w:t>
      </w:r>
      <m:oMath>
        <m:r>
          <m:rPr>
            <m:sty m:val="p"/>
          </m:rPr>
          <m:t>&gt;</m:t>
        </m:r>
      </m:oMath>
      <w:r>
        <w:rPr/>
        <w:t xml:space="preserve"> A$10,000)</w:t>
      </w:r>
    </w:p>
    <w:p>
      <w:pPr>
        <w:numPr>
          <w:ilvl w:val="1"/>
          <w:numId w:val="9"/>
        </w:numPr>
        <w:spacing w:lineRule="auto"/>
      </w:pPr>
      <w:r>
        <w:rPr/>
        <w:t xml:space="preserve">Velocity rules (e.g., 10 transactions in 1 hour)</w:t>
      </w:r>
    </w:p>
    <w:p>
      <w:pPr>
        <w:numPr>
          <w:ilvl w:val="1"/>
          <w:numId w:val="9"/>
        </w:numPr>
        <w:spacing w:lineRule="auto"/>
      </w:pPr>
      <w:r>
        <w:rPr/>
        <w:t xml:space="preserve">Geographic rules (high-risk jurisdiction transactions)</w:t>
      </w:r>
    </w:p>
    <w:p>
      <w:pPr>
        <w:numPr>
          <w:ilvl w:val="1"/>
          <w:numId w:val="9"/>
        </w:numPr>
        <w:spacing w:lineRule="auto"/>
      </w:pPr>
      <w:r>
        <w:rPr/>
        <w:t xml:space="preserve">Customer type rules (PEP transaction monitoring)</w:t>
      </w:r>
    </w:p>
    <w:p>
      <w:pPr>
        <w:numPr>
          <w:ilvl w:val="0"/>
          <w:numId w:val="9"/>
        </w:numPr>
        <w:spacing w:lineRule="auto"/>
      </w:pPr>
      <w:r>
        <w:rPr>
          <w:b/>
        </w:rPr>
        <w:t xml:space="preserve">Behavioral Pattern Recognition (Layer 2):</w:t>
      </w:r>
    </w:p>
    <w:p>
      <w:pPr>
        <w:numPr>
          <w:ilvl w:val="1"/>
          <w:numId w:val="9"/>
        </w:numPr>
        <w:spacing w:lineRule="auto"/>
      </w:pPr>
      <w:r>
        <w:rPr/>
        <w:t xml:space="preserve">Historical customer behavior baseline</w:t>
      </w:r>
    </w:p>
    <w:p>
      <w:pPr>
        <w:numPr>
          <w:ilvl w:val="1"/>
          <w:numId w:val="9"/>
        </w:numPr>
        <w:spacing w:lineRule="auto"/>
      </w:pPr>
      <w:r>
        <w:rPr/>
        <w:t xml:space="preserve">Deviation detection from normal patterns</w:t>
      </w:r>
    </w:p>
    <w:p>
      <w:pPr>
        <w:numPr>
          <w:ilvl w:val="1"/>
          <w:numId w:val="9"/>
        </w:numPr>
        <w:spacing w:lineRule="auto"/>
      </w:pPr>
      <w:r>
        <w:rPr/>
        <w:t xml:space="preserve">Transaction timing anomalies</w:t>
      </w:r>
    </w:p>
    <w:p>
      <w:pPr>
        <w:numPr>
          <w:ilvl w:val="1"/>
          <w:numId w:val="9"/>
        </w:numPr>
        <w:spacing w:lineRule="auto"/>
      </w:pPr>
      <w:r>
        <w:rPr/>
        <w:t xml:space="preserve">Counterparty relationship analysis</w:t>
      </w:r>
    </w:p>
    <w:p>
      <w:pPr>
        <w:numPr>
          <w:ilvl w:val="1"/>
          <w:numId w:val="9"/>
        </w:numPr>
        <w:spacing w:lineRule="auto"/>
      </w:pPr>
      <w:r>
        <w:rPr/>
        <w:t xml:space="preserve">Channel usage changes</w:t>
      </w:r>
    </w:p>
    <w:p>
      <w:pPr>
        <w:numPr>
          <w:ilvl w:val="0"/>
          <w:numId w:val="9"/>
        </w:numPr>
        <w:spacing w:lineRule="auto"/>
      </w:pPr>
      <w:r>
        <w:rPr>
          <w:b/>
        </w:rPr>
        <w:t xml:space="preserve">ML Typology Detection (Layer 3):</w:t>
      </w:r>
    </w:p>
    <w:p>
      <w:pPr>
        <w:numPr>
          <w:ilvl w:val="1"/>
          <w:numId w:val="9"/>
        </w:numPr>
        <w:spacing w:lineRule="auto"/>
      </w:pPr>
      <w:r>
        <w:rPr/>
        <w:t xml:space="preserve">Structuring/smurfing patterns</w:t>
      </w:r>
    </w:p>
    <w:p>
      <w:pPr>
        <w:numPr>
          <w:ilvl w:val="1"/>
          <w:numId w:val="9"/>
        </w:numPr>
        <w:spacing w:lineRule="auto"/>
      </w:pPr>
      <w:r>
        <w:rPr/>
        <w:t xml:space="preserve">Rapid movement of funds</w:t>
      </w:r>
    </w:p>
    <w:p>
      <w:pPr>
        <w:numPr>
          <w:ilvl w:val="1"/>
          <w:numId w:val="9"/>
        </w:numPr>
        <w:spacing w:lineRule="auto"/>
      </w:pPr>
      <w:r>
        <w:rPr/>
        <w:t xml:space="preserve">Circular transaction patterns</w:t>
      </w:r>
    </w:p>
    <w:p>
      <w:pPr>
        <w:numPr>
          <w:ilvl w:val="1"/>
          <w:numId w:val="9"/>
        </w:numPr>
        <w:spacing w:lineRule="auto"/>
      </w:pPr>
      <w:r>
        <w:rPr/>
        <w:t xml:space="preserve">Trade-based money laundering indicators</w:t>
      </w:r>
    </w:p>
    <w:p>
      <w:pPr>
        <w:numPr>
          <w:ilvl w:val="1"/>
          <w:numId w:val="9"/>
        </w:numPr>
        <w:spacing w:lineRule="auto"/>
      </w:pPr>
      <w:r>
        <w:rPr/>
        <w:t xml:space="preserve">Gaming-specific typologies (chip dumping, minimal play patterns)</w:t>
      </w:r>
    </w:p>
    <w:p>
      <w:pPr>
        <w:numPr>
          <w:ilvl w:val="0"/>
          <w:numId w:val="9"/>
        </w:numPr>
        <w:spacing w:lineRule="auto"/>
      </w:pPr>
      <w:r>
        <w:rPr>
          <w:b/>
        </w:rPr>
        <w:t xml:space="preserve">Automated Risk Scoring</w:t>
      </w:r>
      <w:r>
        <w:rPr/>
        <w:br w:type="textWrapping"/>
      </w:r>
      <w:r>
        <w:rPr/>
        <w:t xml:space="preserve">- Each transaction receives composite risk score (0-100)</w:t>
      </w:r>
      <w:r>
        <w:rPr/>
        <w:br w:type="textWrapping"/>
      </w:r>
      <w:r>
        <w:rPr/>
        <w:t xml:space="preserve">- Thresholds determine action:</w:t>
      </w:r>
    </w:p>
    <w:p>
      <w:pPr>
        <w:numPr>
          <w:ilvl w:val="1"/>
          <w:numId w:val="9"/>
        </w:numPr>
        <w:spacing w:lineRule="auto"/>
      </w:pPr>
      <w:r>
        <w:rPr/>
        <w:t xml:space="preserve">Score 0-30: Auto-approve, no alert (80-90% of transactions)</w:t>
      </w:r>
    </w:p>
    <w:p>
      <w:pPr>
        <w:numPr>
          <w:ilvl w:val="1"/>
          <w:numId w:val="9"/>
        </w:numPr>
        <w:spacing w:lineRule="auto"/>
      </w:pPr>
      <w:r>
        <w:rPr/>
        <w:t xml:space="preserve">Score 31-60: Low-priority alert for periodic review</w:t>
      </w:r>
    </w:p>
    <w:p>
      <w:pPr>
        <w:numPr>
          <w:ilvl w:val="1"/>
          <w:numId w:val="9"/>
        </w:numPr>
        <w:spacing w:lineRule="auto"/>
      </w:pPr>
      <w:r>
        <w:rPr/>
        <w:t xml:space="preserve">Score 61-80: Medium-priority alert for next-day review</w:t>
      </w:r>
    </w:p>
    <w:p>
      <w:pPr>
        <w:numPr>
          <w:ilvl w:val="1"/>
          <w:numId w:val="9"/>
        </w:numPr>
        <w:spacing w:lineRule="auto"/>
      </w:pPr>
      <w:r>
        <w:rPr/>
        <w:t xml:space="preserve">Score 81-100: High-priority alert for immediate review</w:t>
      </w:r>
    </w:p>
    <w:p>
      <w:pPr>
        <w:numPr>
          <w:ilvl w:val="0"/>
          <w:numId w:val="9"/>
        </w:numPr>
        <w:spacing w:lineRule="auto"/>
      </w:pPr>
      <w:r>
        <w:rPr>
          <w:b/>
        </w:rPr>
        <w:t xml:space="preserve">Automated False Positive Reduction</w:t>
      </w:r>
      <w:r>
        <w:rPr/>
        <w:br w:type="textWrapping"/>
      </w:r>
      <w:r>
        <w:rPr/>
        <w:t xml:space="preserve">- GenAI-powered contextual analysis</w:t>
      </w:r>
      <w:r>
        <w:rPr/>
        <w:br w:type="textWrapping"/>
      </w:r>
      <w:r>
        <w:rPr/>
        <w:t xml:space="preserve">- Historical false positive learning</w:t>
      </w:r>
      <w:r>
        <w:rPr/>
        <w:br w:type="textWrapping"/>
      </w:r>
      <w:r>
        <w:rPr/>
        <w:t xml:space="preserve">- Customer behavior contextualization</w:t>
      </w:r>
      <w:r>
        <w:rPr/>
        <w:br w:type="textWrapping"/>
      </w:r>
      <w:r>
        <w:rPr/>
        <w:t xml:space="preserve">- Reduces alert volume by 60-70%[18]</w:t>
      </w:r>
    </w:p>
    <w:p>
      <w:pPr>
        <w:spacing w:after="210" w:lineRule="auto"/>
      </w:pPr>
      <w:r>
        <w:rPr>
          <w:b/>
        </w:rPr>
        <w:t xml:space="preserve">Human Oversight Requirements:</w:t>
      </w:r>
    </w:p>
    <w:p>
      <w:pPr>
        <w:numPr>
          <w:ilvl w:val="0"/>
          <w:numId w:val="10"/>
        </w:numPr>
        <w:spacing w:lineRule="auto"/>
      </w:pPr>
      <w:r>
        <w:rPr>
          <w:b/>
        </w:rPr>
        <w:t xml:space="preserve">High-Priority Alert Review</w:t>
      </w:r>
      <w:r>
        <w:rPr/>
        <w:t xml:space="preserve"> - Analyst reviews within 4 hours</w:t>
      </w:r>
    </w:p>
    <w:p>
      <w:pPr>
        <w:numPr>
          <w:ilvl w:val="0"/>
          <w:numId w:val="10"/>
        </w:numPr>
        <w:spacing w:lineRule="auto"/>
      </w:pPr>
      <w:r>
        <w:rPr>
          <w:b/>
        </w:rPr>
        <w:t xml:space="preserve">Suspicious Matter Determination</w:t>
      </w:r>
      <w:r>
        <w:rPr/>
        <w:t xml:space="preserve"> - Analyst assesses "reasonable grounds to suspect" and files SMR if threshold met</w:t>
      </w:r>
    </w:p>
    <w:p>
      <w:pPr>
        <w:numPr>
          <w:ilvl w:val="0"/>
          <w:numId w:val="10"/>
        </w:numPr>
        <w:spacing w:lineRule="auto"/>
      </w:pPr>
      <w:r>
        <w:rPr>
          <w:b/>
        </w:rPr>
        <w:t xml:space="preserve">Complex Typology Validation</w:t>
      </w:r>
      <w:r>
        <w:rPr/>
        <w:t xml:space="preserve"> - Senior analyst reviews sophisticated ML patterns</w:t>
      </w:r>
    </w:p>
    <w:p>
      <w:pPr>
        <w:numPr>
          <w:ilvl w:val="0"/>
          <w:numId w:val="10"/>
        </w:numPr>
        <w:spacing w:lineRule="auto"/>
      </w:pPr>
      <w:r>
        <w:rPr>
          <w:b/>
        </w:rPr>
        <w:t xml:space="preserve">Model Performance Monitoring</w:t>
      </w:r>
      <w:r>
        <w:rPr/>
        <w:t xml:space="preserve"> - Monthly review of false positive/negative rates</w:t>
      </w:r>
    </w:p>
    <w:p>
      <w:pPr>
        <w:spacing w:line="271" w:before="240" w:lineRule="auto"/>
      </w:pPr>
      <w:bookmarkStart w:id="13" w:name="bm_3_3_automated_regulatory_reporting"/>
      <w:r>
        <w:rPr>
          <w:b/>
          <w:sz w:val="33"/>
        </w:rPr>
        <w:t xml:space="preserve">3.3 Automated Regulatory Reporting</w:t>
      </w:r>
      <w:bookmarkEnd w:id="13"/>
    </w:p>
    <w:p>
      <w:pPr>
        <w:spacing w:after="210" w:lineRule="auto"/>
      </w:pPr>
      <w:r>
        <w:rPr>
          <w:b/>
        </w:rPr>
        <w:t xml:space="preserve">Automation Level: 85-90%</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Report 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Trigger</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Automation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Human Role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Threshold Transaction Reports (TTRs)</w:t>
            </w:r>
          </w:p>
        </w:tc>
        <w:tc>
          <w:tcPr>
            <w:tcBorders>
              <w:bottom w:val="single" w:sz="8" w:space="0" w:color="000000"/>
              <w:right w:val="single" w:sz="8" w:space="0" w:color="000000"/>
            </w:tcBorders>
            <w:vAlign w:val="top"/>
          </w:tcPr>
          <w:p>
            <w:pPr>
              <w:spacing w:lineRule="auto"/>
              <w:jc w:val="left"/>
            </w:pPr>
            <w:r>
              <w:rPr/>
              <w:t xml:space="preserve">Cash transaction </w:t>
            </w:r>
            <m:oMath>
              <m:r>
                <m:rPr>
                  <m:sty m:val="p"/>
                </m:rPr>
                <m:t>≥</m:t>
              </m:r>
            </m:oMath>
            <w:r>
              <w:rPr/>
              <w:t xml:space="preserve"> A$10,000</w:t>
            </w:r>
          </w:p>
        </w:tc>
        <w:tc>
          <w:tcPr>
            <w:tcBorders>
              <w:bottom w:val="single" w:sz="8" w:space="0" w:color="000000"/>
              <w:right w:val="single" w:sz="8" w:space="0" w:color="000000"/>
            </w:tcBorders>
            <w:vAlign w:val="top"/>
          </w:tcPr>
          <w:p>
            <w:pPr>
              <w:spacing w:lineRule="auto"/>
              <w:jc w:val="left"/>
            </w:pPr>
            <w:r>
              <w:rPr/>
              <w:t xml:space="preserve">Automatic generation and submission</w:t>
            </w:r>
          </w:p>
        </w:tc>
        <w:tc>
          <w:tcPr>
            <w:tcBorders>
              <w:bottom w:val="single" w:sz="8" w:space="0" w:color="000000"/>
              <w:right w:val="single" w:sz="8" w:space="0" w:color="000000"/>
            </w:tcBorders>
            <w:vAlign w:val="top"/>
          </w:tcPr>
          <w:p>
            <w:pPr>
              <w:spacing w:lineRule="auto"/>
              <w:jc w:val="left"/>
            </w:pPr>
            <w:r>
              <w:rPr/>
              <w:t xml:space="preserve">None (fully automated)[19]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International Funds Transfer Instructions (IFTIs)</w:t>
            </w:r>
          </w:p>
        </w:tc>
        <w:tc>
          <w:tcPr>
            <w:tcBorders>
              <w:bottom w:val="single" w:sz="8" w:space="0" w:color="000000"/>
              <w:right w:val="single" w:sz="8" w:space="0" w:color="000000"/>
            </w:tcBorders>
            <w:vAlign w:val="top"/>
          </w:tcPr>
          <w:p>
            <w:pPr>
              <w:spacing w:lineRule="auto"/>
              <w:jc w:val="left"/>
            </w:pPr>
            <w:r>
              <w:rPr/>
              <w:t xml:space="preserve">Any international transfer</w:t>
            </w:r>
          </w:p>
        </w:tc>
        <w:tc>
          <w:tcPr>
            <w:tcBorders>
              <w:bottom w:val="single" w:sz="8" w:space="0" w:color="000000"/>
              <w:right w:val="single" w:sz="8" w:space="0" w:color="000000"/>
            </w:tcBorders>
            <w:vAlign w:val="top"/>
          </w:tcPr>
          <w:p>
            <w:pPr>
              <w:spacing w:lineRule="auto"/>
              <w:jc w:val="left"/>
            </w:pPr>
            <w:r>
              <w:rPr/>
              <w:t xml:space="preserve">Automatic generation and submission</w:t>
            </w:r>
          </w:p>
        </w:tc>
        <w:tc>
          <w:tcPr>
            <w:tcBorders>
              <w:bottom w:val="single" w:sz="8" w:space="0" w:color="000000"/>
              <w:right w:val="single" w:sz="8" w:space="0" w:color="000000"/>
            </w:tcBorders>
            <w:vAlign w:val="top"/>
          </w:tcPr>
          <w:p>
            <w:pPr>
              <w:spacing w:lineRule="auto"/>
              <w:jc w:val="left"/>
            </w:pPr>
            <w:r>
              <w:rPr/>
              <w:t xml:space="preserve">None (fully automated)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Suspicious Matter Reports (SMRs)</w:t>
            </w:r>
          </w:p>
        </w:tc>
        <w:tc>
          <w:tcPr>
            <w:tcBorders>
              <w:bottom w:val="single" w:sz="8" w:space="0" w:color="000000"/>
              <w:right w:val="single" w:sz="8" w:space="0" w:color="000000"/>
            </w:tcBorders>
            <w:vAlign w:val="top"/>
          </w:tcPr>
          <w:p>
            <w:pPr>
              <w:spacing w:lineRule="auto"/>
              <w:jc w:val="left"/>
            </w:pPr>
            <w:r>
              <w:rPr/>
              <w:t xml:space="preserve">Reasonable grounds to suspect ML/TF</w:t>
            </w:r>
          </w:p>
        </w:tc>
        <w:tc>
          <w:tcPr>
            <w:tcBorders>
              <w:bottom w:val="single" w:sz="8" w:space="0" w:color="000000"/>
              <w:right w:val="single" w:sz="8" w:space="0" w:color="000000"/>
            </w:tcBorders>
            <w:vAlign w:val="top"/>
          </w:tcPr>
          <w:p>
            <w:pPr>
              <w:spacing w:lineRule="auto"/>
              <w:jc w:val="left"/>
            </w:pPr>
            <w:r>
              <w:rPr/>
              <w:t xml:space="preserve">Automated alert, pre-populated report</w:t>
            </w:r>
          </w:p>
        </w:tc>
        <w:tc>
          <w:tcPr>
            <w:tcBorders>
              <w:bottom w:val="single" w:sz="8" w:space="0" w:color="000000"/>
              <w:right w:val="single" w:sz="8" w:space="0" w:color="000000"/>
            </w:tcBorders>
            <w:vAlign w:val="top"/>
          </w:tcPr>
          <w:p>
            <w:pPr>
              <w:spacing w:lineRule="auto"/>
              <w:jc w:val="left"/>
            </w:pPr>
            <w:r>
              <w:rPr/>
              <w:t xml:space="preserve">Analyst review and filing decision (mandatory)[20]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Compliance Reports</w:t>
            </w:r>
          </w:p>
        </w:tc>
        <w:tc>
          <w:tcPr>
            <w:tcBorders>
              <w:bottom w:val="single" w:sz="8" w:space="0" w:color="000000"/>
              <w:right w:val="single" w:sz="8" w:space="0" w:color="000000"/>
            </w:tcBorders>
            <w:vAlign w:val="top"/>
          </w:tcPr>
          <w:p>
            <w:pPr>
              <w:spacing w:lineRule="auto"/>
              <w:jc w:val="left"/>
            </w:pPr>
            <w:r>
              <w:rPr/>
              <w:t xml:space="preserve">Annual AML/CTF program reporting</w:t>
            </w:r>
          </w:p>
        </w:tc>
        <w:tc>
          <w:tcPr>
            <w:tcBorders>
              <w:bottom w:val="single" w:sz="8" w:space="0" w:color="000000"/>
              <w:right w:val="single" w:sz="8" w:space="0" w:color="000000"/>
            </w:tcBorders>
            <w:vAlign w:val="top"/>
          </w:tcPr>
          <w:p>
            <w:pPr>
              <w:spacing w:lineRule="auto"/>
              <w:jc w:val="left"/>
            </w:pPr>
            <w:r>
              <w:rPr/>
              <w:t xml:space="preserve">Automated data aggregation</w:t>
            </w:r>
          </w:p>
        </w:tc>
        <w:tc>
          <w:tcPr>
            <w:tcBorders>
              <w:bottom w:val="single" w:sz="8" w:space="0" w:color="000000"/>
              <w:right w:val="single" w:sz="8" w:space="0" w:color="000000"/>
            </w:tcBorders>
            <w:vAlign w:val="top"/>
          </w:tcPr>
          <w:p>
            <w:pPr>
              <w:spacing w:lineRule="auto"/>
              <w:jc w:val="left"/>
            </w:pPr>
            <w:r>
              <w:rPr/>
              <w:t xml:space="preserve">Compliance officer review and certification</w:t>
            </w:r>
          </w:p>
        </w:tc>
      </w:tr>
    </w:tbl>
    <w:p>
      <w:pPr>
        <w:spacing w:lineRule="auto"/>
      </w:pPr>
    </w:p>
    <w:p>
      <w:pPr>
        <w:spacing w:lineRule="auto"/>
      </w:pPr>
      <w:r>
        <w:rPr/>
        <w:t xml:space="preserve">Table 3: Automated Regulatory Reporting Requirements</w:t>
      </w:r>
    </w:p>
    <w:p>
      <w:pPr>
        <w:spacing w:after="210" w:lineRule="auto"/>
      </w:pPr>
      <w:r>
        <w:rPr>
          <w:b/>
        </w:rPr>
        <w:t xml:space="preserve">TTR and IFTI Automation:</w:t>
      </w:r>
    </w:p>
    <w:p>
      <w:pPr>
        <w:spacing w:after="210" w:lineRule="auto"/>
      </w:pPr>
      <w:r>
        <w:rPr/>
        <w:t xml:space="preserve">These reports can be </w:t>
      </w:r>
      <w:r>
        <w:rPr>
          <w:b/>
        </w:rPr>
        <w:t xml:space="preserve">100% automated</w:t>
      </w:r>
      <w:r>
        <w:rPr/>
        <w:t xml:space="preserve"> as they are threshold-based and do not require suspicion assessment:</w:t>
      </w:r>
    </w:p>
    <w:p>
      <w:pPr>
        <w:numPr>
          <w:ilvl w:val="0"/>
          <w:numId w:val="11"/>
        </w:numPr>
        <w:spacing w:lineRule="auto"/>
      </w:pPr>
      <w:r>
        <w:rPr>
          <w:b/>
        </w:rPr>
        <w:t xml:space="preserve">TTR:</w:t>
      </w:r>
      <w:r>
        <w:rPr/>
        <w:t xml:space="preserve"> Any cash transaction of A$10,000 or more triggers automatic report generation and submission to AUSTRAC within 10 business days[21]</w:t>
      </w:r>
    </w:p>
    <w:p>
      <w:pPr>
        <w:numPr>
          <w:ilvl w:val="0"/>
          <w:numId w:val="11"/>
        </w:numPr>
        <w:spacing w:lineRule="auto"/>
      </w:pPr>
      <w:r>
        <w:rPr>
          <w:b/>
        </w:rPr>
        <w:t xml:space="preserve">IFTI:</w:t>
      </w:r>
      <w:r>
        <w:rPr/>
        <w:t xml:space="preserve"> Any international fund transfer (regardless of amount) triggers automatic report generation and submission within 10 days[22]</w:t>
      </w:r>
    </w:p>
    <w:p>
      <w:pPr>
        <w:spacing w:after="210" w:lineRule="auto"/>
      </w:pPr>
      <w:r>
        <w:rPr>
          <w:b/>
        </w:rPr>
        <w:t xml:space="preserve">SMR Semi-Automation:</w:t>
      </w:r>
    </w:p>
    <w:p>
      <w:pPr>
        <w:numPr>
          <w:ilvl w:val="0"/>
          <w:numId w:val="12"/>
        </w:numPr>
        <w:spacing w:lineRule="auto"/>
      </w:pPr>
      <w:r>
        <w:rPr>
          <w:b/>
        </w:rPr>
        <w:t xml:space="preserve">Automated Alert Generation</w:t>
      </w:r>
      <w:r>
        <w:rPr/>
        <w:t xml:space="preserve"> - System flags suspicious transactions based on rules and ML models</w:t>
      </w:r>
    </w:p>
    <w:p>
      <w:pPr>
        <w:numPr>
          <w:ilvl w:val="0"/>
          <w:numId w:val="12"/>
        </w:numPr>
        <w:spacing w:lineRule="auto"/>
      </w:pPr>
      <w:r>
        <w:rPr>
          <w:b/>
        </w:rPr>
        <w:t xml:space="preserve">Automated Report Pre-Population</w:t>
      </w:r>
      <w:r>
        <w:rPr/>
        <w:t xml:space="preserve"> - System pre-fills SMR fields with transaction data, customer information, and suspicious indicators</w:t>
      </w:r>
    </w:p>
    <w:p>
      <w:pPr>
        <w:numPr>
          <w:ilvl w:val="0"/>
          <w:numId w:val="12"/>
        </w:numPr>
        <w:spacing w:lineRule="auto"/>
      </w:pPr>
      <w:r>
        <w:rPr>
          <w:b/>
        </w:rPr>
        <w:t xml:space="preserve">GenAI Narrative Generation</w:t>
      </w:r>
      <w:r>
        <w:rPr/>
        <w:t xml:space="preserve"> - AI generates draft narrative explaining suspicious activity basis[23]</w:t>
      </w:r>
    </w:p>
    <w:p>
      <w:pPr>
        <w:numPr>
          <w:ilvl w:val="0"/>
          <w:numId w:val="12"/>
        </w:numPr>
        <w:spacing w:lineRule="auto"/>
      </w:pPr>
      <w:r>
        <w:rPr>
          <w:b/>
        </w:rPr>
        <w:t xml:space="preserve">Mandatory Human Review</w:t>
      </w:r>
      <w:r>
        <w:rPr/>
        <w:t xml:space="preserve"> - Compliance analyst must:</w:t>
      </w:r>
    </w:p>
    <w:p>
      <w:pPr>
        <w:numPr>
          <w:ilvl w:val="1"/>
          <w:numId w:val="12"/>
        </w:numPr>
        <w:spacing w:lineRule="auto"/>
      </w:pPr>
      <w:r>
        <w:rPr/>
        <w:t xml:space="preserve">Review all evidence and context</w:t>
      </w:r>
    </w:p>
    <w:p>
      <w:pPr>
        <w:numPr>
          <w:ilvl w:val="1"/>
          <w:numId w:val="12"/>
        </w:numPr>
        <w:spacing w:lineRule="auto"/>
      </w:pPr>
      <w:r>
        <w:rPr/>
        <w:t xml:space="preserve">Assess whether "reasonable grounds to suspect" exist</w:t>
      </w:r>
    </w:p>
    <w:p>
      <w:pPr>
        <w:numPr>
          <w:ilvl w:val="1"/>
          <w:numId w:val="12"/>
        </w:numPr>
        <w:spacing w:lineRule="auto"/>
      </w:pPr>
      <w:r>
        <w:rPr/>
        <w:t xml:space="preserve">Edit or approve AI-generated narrative</w:t>
      </w:r>
    </w:p>
    <w:p>
      <w:pPr>
        <w:numPr>
          <w:ilvl w:val="1"/>
          <w:numId w:val="12"/>
        </w:numPr>
        <w:spacing w:lineRule="auto"/>
      </w:pPr>
      <w:r>
        <w:rPr/>
        <w:t xml:space="preserve">Make final filing decision</w:t>
      </w:r>
    </w:p>
    <w:p>
      <w:pPr>
        <w:numPr>
          <w:ilvl w:val="1"/>
          <w:numId w:val="12"/>
        </w:numPr>
        <w:spacing w:lineRule="auto"/>
      </w:pPr>
      <w:r>
        <w:rPr/>
        <w:t xml:space="preserve">Submit within required timeframe (24 hours for terrorism financing, 3 business days for money laundering)[24]</w:t>
      </w:r>
    </w:p>
    <w:p>
      <w:pPr>
        <w:spacing w:line="271" w:before="240" w:lineRule="auto"/>
      </w:pPr>
      <w:bookmarkStart w:id="14" w:name="bm_3_4_automated_record_keeping_a_81059b"/>
      <w:r>
        <w:rPr>
          <w:b/>
          <w:sz w:val="33"/>
        </w:rPr>
        <w:t xml:space="preserve">3.4 Automated Record Keeping and Audit Trails</w:t>
      </w:r>
      <w:bookmarkEnd w:id="14"/>
    </w:p>
    <w:p>
      <w:pPr>
        <w:spacing w:after="210" w:lineRule="auto"/>
      </w:pPr>
      <w:r>
        <w:rPr>
          <w:b/>
        </w:rPr>
        <w:t xml:space="preserve">Automation Level: 99%</w:t>
      </w:r>
    </w:p>
    <w:p>
      <w:pPr>
        <w:spacing w:after="210" w:lineRule="auto"/>
      </w:pPr>
      <w:r>
        <w:rPr/>
        <w:t xml:space="preserve">Complete automation is achievable for record-keeping obligations:</w:t>
      </w:r>
    </w:p>
    <w:p>
      <w:pPr>
        <w:numPr>
          <w:ilvl w:val="0"/>
          <w:numId w:val="13"/>
        </w:numPr>
        <w:spacing w:lineRule="auto"/>
      </w:pPr>
      <w:r>
        <w:rPr>
          <w:b/>
        </w:rPr>
        <w:t xml:space="preserve">Automatic Record Capture</w:t>
      </w:r>
      <w:r>
        <w:rPr/>
        <w:t xml:space="preserve"> - All CDD, transaction data, risk assessments, and decisions automatically logged</w:t>
      </w:r>
    </w:p>
    <w:p>
      <w:pPr>
        <w:numPr>
          <w:ilvl w:val="0"/>
          <w:numId w:val="13"/>
        </w:numPr>
        <w:spacing w:lineRule="auto"/>
      </w:pPr>
      <w:r>
        <w:rPr>
          <w:b/>
        </w:rPr>
        <w:t xml:space="preserve">Immutable Audit Trails</w:t>
      </w:r>
      <w:r>
        <w:rPr/>
        <w:t xml:space="preserve"> - Blockchain or append-only database architecture ensures tamper-proof records</w:t>
      </w:r>
    </w:p>
    <w:p>
      <w:pPr>
        <w:numPr>
          <w:ilvl w:val="0"/>
          <w:numId w:val="13"/>
        </w:numPr>
        <w:spacing w:lineRule="auto"/>
      </w:pPr>
      <w:r>
        <w:rPr>
          <w:b/>
        </w:rPr>
        <w:t xml:space="preserve">7-Year Retention</w:t>
      </w:r>
      <w:r>
        <w:rPr/>
        <w:t xml:space="preserve"> - Automated retention policies and secure archiving</w:t>
      </w:r>
    </w:p>
    <w:p>
      <w:pPr>
        <w:numPr>
          <w:ilvl w:val="0"/>
          <w:numId w:val="13"/>
        </w:numPr>
        <w:spacing w:lineRule="auto"/>
      </w:pPr>
      <w:r>
        <w:rPr>
          <w:b/>
        </w:rPr>
        <w:t xml:space="preserve">Instant Retrieval</w:t>
      </w:r>
      <w:r>
        <w:rPr/>
        <w:t xml:space="preserve"> - Indexed search for AUSTRAC audit requests</w:t>
      </w:r>
    </w:p>
    <w:p>
      <w:pPr>
        <w:numPr>
          <w:ilvl w:val="0"/>
          <w:numId w:val="13"/>
        </w:numPr>
        <w:spacing w:lineRule="auto"/>
      </w:pPr>
      <w:r>
        <w:rPr>
          <w:b/>
        </w:rPr>
        <w:t xml:space="preserve">Automated Compliance Reporting</w:t>
      </w:r>
      <w:r>
        <w:rPr/>
        <w:t xml:space="preserve"> - System generates compliance metrics and reports for annual submissions[25]</w:t>
      </w:r>
    </w:p>
    <w:p>
      <w:pPr>
        <w:spacing w:after="210" w:lineRule="auto"/>
      </w:pPr>
      <w:r>
        <w:rPr>
          <w:b/>
        </w:rPr>
        <w:t xml:space="preserve">Human Oversight:</w:t>
      </w:r>
      <w:r>
        <w:rPr/>
        <w:t xml:space="preserve"> Annual audit review by independent third party (regulatory requirement)[26].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4_technology_stack_and_integra_26f203"/>
      <w:r>
        <w:rPr>
          <w:b/>
          <w:sz w:val="42"/>
        </w:rPr>
        <w:t xml:space="preserve">4. Technology Stack and Integration Architecture</w:t>
      </w:r>
      <w:bookmarkEnd w:id="15"/>
    </w:p>
    <w:p>
      <w:pPr>
        <w:spacing w:line="271" w:before="240" w:lineRule="auto"/>
      </w:pPr>
      <w:bookmarkStart w:id="16" w:name="bm_4_1_core_technology_components"/>
      <w:r>
        <w:rPr>
          <w:b/>
          <w:sz w:val="33"/>
        </w:rPr>
        <w:t xml:space="preserve">4.1 Core Technology Components</w:t>
      </w:r>
      <w:bookmarkEnd w:id="1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Function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Example Providers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Digital Identity Verification</w:t>
            </w:r>
          </w:p>
        </w:tc>
        <w:tc>
          <w:tcPr>
            <w:tcBorders>
              <w:bottom w:val="single" w:sz="8" w:space="0" w:color="000000"/>
              <w:right w:val="single" w:sz="8" w:space="0" w:color="000000"/>
            </w:tcBorders>
            <w:vAlign w:val="top"/>
          </w:tcPr>
          <w:p>
            <w:pPr>
              <w:spacing w:lineRule="auto"/>
              <w:jc w:val="left"/>
            </w:pPr>
            <w:r>
              <w:rPr/>
              <w:t xml:space="preserve">DVS/FVS integration, biometric verification, document OCR</w:t>
            </w:r>
          </w:p>
        </w:tc>
        <w:tc>
          <w:tcPr>
            <w:tcBorders>
              <w:bottom w:val="single" w:sz="8" w:space="0" w:color="000000"/>
              <w:right w:val="single" w:sz="8" w:space="0" w:color="000000"/>
            </w:tcBorders>
            <w:vAlign w:val="top"/>
          </w:tcPr>
          <w:p>
            <w:pPr>
              <w:spacing w:lineRule="auto"/>
              <w:jc w:val="left"/>
            </w:pPr>
            <w:r>
              <w:rPr/>
              <w:t xml:space="preserve">GreenID, IDMerit, OCR Labs, Australian Government DVS API[27][28]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PEP/Sanctions Screening</w:t>
            </w:r>
          </w:p>
        </w:tc>
        <w:tc>
          <w:tcPr>
            <w:tcBorders>
              <w:bottom w:val="single" w:sz="8" w:space="0" w:color="000000"/>
              <w:right w:val="single" w:sz="8" w:space="0" w:color="000000"/>
            </w:tcBorders>
            <w:vAlign w:val="top"/>
          </w:tcPr>
          <w:p>
            <w:pPr>
              <w:spacing w:lineRule="auto"/>
              <w:jc w:val="left"/>
            </w:pPr>
            <w:r>
              <w:rPr/>
              <w:t xml:space="preserve">Real-time screening against global watchlists</w:t>
            </w:r>
          </w:p>
        </w:tc>
        <w:tc>
          <w:tcPr>
            <w:tcBorders>
              <w:bottom w:val="single" w:sz="8" w:space="0" w:color="000000"/>
              <w:right w:val="single" w:sz="8" w:space="0" w:color="000000"/>
            </w:tcBorders>
            <w:vAlign w:val="top"/>
          </w:tcPr>
          <w:p>
            <w:pPr>
              <w:spacing w:lineRule="auto"/>
              <w:jc w:val="left"/>
            </w:pPr>
            <w:r>
              <w:rPr/>
              <w:t xml:space="preserve">ComplyAdvantage, Dow Jones, World-Check, AUSTRAC Consolidated List API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Transaction Monitoring</w:t>
            </w:r>
          </w:p>
        </w:tc>
        <w:tc>
          <w:tcPr>
            <w:tcBorders>
              <w:bottom w:val="single" w:sz="8" w:space="0" w:color="000000"/>
              <w:right w:val="single" w:sz="8" w:space="0" w:color="000000"/>
            </w:tcBorders>
            <w:vAlign w:val="top"/>
          </w:tcPr>
          <w:p>
            <w:pPr>
              <w:spacing w:lineRule="auto"/>
              <w:jc w:val="left"/>
            </w:pPr>
            <w:r>
              <w:rPr/>
              <w:t xml:space="preserve">Real-time behavioral analysis, ML typology detection</w:t>
            </w:r>
          </w:p>
        </w:tc>
        <w:tc>
          <w:tcPr>
            <w:tcBorders>
              <w:bottom w:val="single" w:sz="8" w:space="0" w:color="000000"/>
              <w:right w:val="single" w:sz="8" w:space="0" w:color="000000"/>
            </w:tcBorders>
            <w:vAlign w:val="top"/>
          </w:tcPr>
          <w:p>
            <w:pPr>
              <w:spacing w:lineRule="auto"/>
              <w:jc w:val="left"/>
            </w:pPr>
            <w:r>
              <w:rPr/>
              <w:t xml:space="preserve">Alessa, Napier AI, SymphonyAI, Tookitaki FinCense[29][30]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Case Management</w:t>
            </w:r>
          </w:p>
        </w:tc>
        <w:tc>
          <w:tcPr>
            <w:tcBorders>
              <w:bottom w:val="single" w:sz="8" w:space="0" w:color="000000"/>
              <w:right w:val="single" w:sz="8" w:space="0" w:color="000000"/>
            </w:tcBorders>
            <w:vAlign w:val="top"/>
          </w:tcPr>
          <w:p>
            <w:pPr>
              <w:spacing w:lineRule="auto"/>
              <w:jc w:val="left"/>
            </w:pPr>
            <w:r>
              <w:rPr/>
              <w:t xml:space="preserve">Alert workflow, investigation documentation, SMR generation</w:t>
            </w:r>
          </w:p>
        </w:tc>
        <w:tc>
          <w:tcPr>
            <w:tcBorders>
              <w:bottom w:val="single" w:sz="8" w:space="0" w:color="000000"/>
              <w:right w:val="single" w:sz="8" w:space="0" w:color="000000"/>
            </w:tcBorders>
            <w:vAlign w:val="top"/>
          </w:tcPr>
          <w:p>
            <w:pPr>
              <w:spacing w:lineRule="auto"/>
              <w:jc w:val="left"/>
            </w:pPr>
            <w:r>
              <w:rPr/>
              <w:t xml:space="preserve">Jade ThirdEye, FirstAML, EasyAML[31]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Risk Scoring Engine</w:t>
            </w:r>
          </w:p>
        </w:tc>
        <w:tc>
          <w:tcPr>
            <w:tcBorders>
              <w:bottom w:val="single" w:sz="8" w:space="0" w:color="000000"/>
              <w:right w:val="single" w:sz="8" w:space="0" w:color="000000"/>
            </w:tcBorders>
            <w:vAlign w:val="top"/>
          </w:tcPr>
          <w:p>
            <w:pPr>
              <w:spacing w:lineRule="auto"/>
              <w:jc w:val="left"/>
            </w:pPr>
            <w:r>
              <w:rPr/>
              <w:t xml:space="preserve">AI/ML risk models, adaptive learning</w:t>
            </w:r>
          </w:p>
        </w:tc>
        <w:tc>
          <w:tcPr>
            <w:tcBorders>
              <w:bottom w:val="single" w:sz="8" w:space="0" w:color="000000"/>
              <w:right w:val="single" w:sz="8" w:space="0" w:color="000000"/>
            </w:tcBorders>
            <w:vAlign w:val="top"/>
          </w:tcPr>
          <w:p>
            <w:pPr>
              <w:spacing w:lineRule="auto"/>
              <w:jc w:val="left"/>
            </w:pPr>
            <w:r>
              <w:rPr/>
              <w:t xml:space="preserve">Custom-built or embedded in monitoring platform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Reporting Engine</w:t>
            </w:r>
          </w:p>
        </w:tc>
        <w:tc>
          <w:tcPr>
            <w:tcBorders>
              <w:bottom w:val="single" w:sz="8" w:space="0" w:color="000000"/>
              <w:right w:val="single" w:sz="8" w:space="0" w:color="000000"/>
            </w:tcBorders>
            <w:vAlign w:val="top"/>
          </w:tcPr>
          <w:p>
            <w:pPr>
              <w:spacing w:lineRule="auto"/>
              <w:jc w:val="left"/>
            </w:pPr>
            <w:r>
              <w:rPr/>
              <w:t xml:space="preserve">Automated TTR/IFTI/SMR submission to AUSTRAC</w:t>
            </w:r>
          </w:p>
        </w:tc>
        <w:tc>
          <w:tcPr>
            <w:tcBorders>
              <w:bottom w:val="single" w:sz="8" w:space="0" w:color="000000"/>
              <w:right w:val="single" w:sz="8" w:space="0" w:color="000000"/>
            </w:tcBorders>
            <w:vAlign w:val="top"/>
          </w:tcPr>
          <w:p>
            <w:pPr>
              <w:spacing w:lineRule="auto"/>
              <w:jc w:val="left"/>
            </w:pPr>
            <w:r>
              <w:rPr/>
              <w:t xml:space="preserve">AUSTRAC Online API integration</w:t>
            </w:r>
          </w:p>
        </w:tc>
      </w:tr>
    </w:tbl>
    <w:p>
      <w:pPr>
        <w:spacing w:lineRule="auto"/>
      </w:pPr>
    </w:p>
    <w:p>
      <w:pPr>
        <w:spacing w:lineRule="auto"/>
      </w:pPr>
      <w:r>
        <w:rPr/>
        <w:t xml:space="preserve">Table 4: Recommended AML/CTF Technology Stack</w:t>
      </w:r>
    </w:p>
    <w:p>
      <w:pPr>
        <w:spacing w:line="271" w:before="240" w:lineRule="auto"/>
      </w:pPr>
      <w:bookmarkStart w:id="17" w:name="bm_4_2_integration_architecture"/>
      <w:r>
        <w:rPr>
          <w:b/>
          <w:sz w:val="33"/>
        </w:rPr>
        <w:t xml:space="preserve">4.2 Integration Architecture</w:t>
      </w:r>
      <w:bookmarkEnd w:id="17"/>
    </w:p>
    <w:p>
      <w:pPr>
        <w:spacing w:after="210" w:lineRule="auto"/>
      </w:pPr>
      <w:r>
        <w:rPr>
          <w:b/>
        </w:rPr>
        <w:t xml:space="preserve">Recommended System Architecture:</w:t>
      </w:r>
    </w:p>
    <w:p>
      <w:pPr>
        <w:numPr>
          <w:ilvl w:val="0"/>
          <w:numId w:val="14"/>
        </w:numPr>
        <w:spacing w:lineRule="auto"/>
      </w:pPr>
      <w:r>
        <w:rPr>
          <w:b/>
        </w:rPr>
        <w:t xml:space="preserve">Payment Processing Layer</w:t>
      </w:r>
      <w:r>
        <w:rPr/>
        <w:br w:type="textWrapping"/>
      </w:r>
      <w:r>
        <w:rPr/>
        <w:t xml:space="preserve">- PaySafeGo's existing payment infrastructure</w:t>
      </w:r>
      <w:r>
        <w:rPr/>
        <w:br w:type="textWrapping"/>
      </w:r>
      <w:r>
        <w:rPr/>
        <w:t xml:space="preserve">- Real-time transaction capture and enrichment</w:t>
      </w:r>
    </w:p>
    <w:p>
      <w:pPr>
        <w:numPr>
          <w:ilvl w:val="0"/>
          <w:numId w:val="14"/>
        </w:numPr>
        <w:spacing w:lineRule="auto"/>
      </w:pPr>
      <w:r>
        <w:rPr>
          <w:b/>
        </w:rPr>
        <w:t xml:space="preserve">Identity Verification Layer</w:t>
      </w:r>
      <w:r>
        <w:rPr/>
        <w:br w:type="textWrapping"/>
      </w:r>
      <w:r>
        <w:rPr/>
        <w:t xml:space="preserve">- API integration with Australian Government DVS</w:t>
      </w:r>
      <w:r>
        <w:rPr/>
        <w:br w:type="textWrapping"/>
      </w:r>
      <w:r>
        <w:rPr/>
        <w:t xml:space="preserve">- API integration with Face Verification Service (FVS)</w:t>
      </w:r>
      <w:r>
        <w:rPr/>
        <w:br w:type="textWrapping"/>
      </w:r>
      <w:r>
        <w:rPr/>
        <w:t xml:space="preserve">- Digital ID provider integration (myID, Australia Post Digital ID)[32]</w:t>
      </w:r>
      <w:r>
        <w:rPr/>
        <w:br w:type="textWrapping"/>
      </w:r>
      <w:r>
        <w:rPr/>
        <w:t xml:space="preserve">- Biometric verification SDK integration</w:t>
      </w:r>
    </w:p>
    <w:p>
      <w:pPr>
        <w:numPr>
          <w:ilvl w:val="0"/>
          <w:numId w:val="14"/>
        </w:numPr>
        <w:spacing w:lineRule="auto"/>
      </w:pPr>
      <w:r>
        <w:rPr>
          <w:b/>
        </w:rPr>
        <w:t xml:space="preserve">Screening and Monitoring Layer</w:t>
      </w:r>
      <w:r>
        <w:rPr/>
        <w:br w:type="textWrapping"/>
      </w:r>
      <w:r>
        <w:rPr/>
        <w:t xml:space="preserve">- PEP/sanctions screening API</w:t>
      </w:r>
      <w:r>
        <w:rPr/>
        <w:br w:type="textWrapping"/>
      </w:r>
      <w:r>
        <w:rPr/>
        <w:t xml:space="preserve">- Real-time transaction monitoring engine</w:t>
      </w:r>
      <w:r>
        <w:rPr/>
        <w:br w:type="textWrapping"/>
      </w:r>
      <w:r>
        <w:rPr/>
        <w:t xml:space="preserve">- ML model inference service</w:t>
      </w:r>
      <w:r>
        <w:rPr/>
        <w:br w:type="textWrapping"/>
      </w:r>
      <w:r>
        <w:rPr/>
        <w:t xml:space="preserve">- Behavioral analytics platform</w:t>
      </w:r>
    </w:p>
    <w:p>
      <w:pPr>
        <w:numPr>
          <w:ilvl w:val="0"/>
          <w:numId w:val="14"/>
        </w:numPr>
        <w:spacing w:lineRule="auto"/>
      </w:pPr>
      <w:r>
        <w:rPr>
          <w:b/>
        </w:rPr>
        <w:t xml:space="preserve">Case Management Layer</w:t>
      </w:r>
      <w:r>
        <w:rPr/>
        <w:br w:type="textWrapping"/>
      </w:r>
      <w:r>
        <w:rPr/>
        <w:t xml:space="preserve">- Alert queue management</w:t>
      </w:r>
      <w:r>
        <w:rPr/>
        <w:br w:type="textWrapping"/>
      </w:r>
      <w:r>
        <w:rPr/>
        <w:t xml:space="preserve">- Investigation workflow</w:t>
      </w:r>
      <w:r>
        <w:rPr/>
        <w:br w:type="textWrapping"/>
      </w:r>
      <w:r>
        <w:rPr/>
        <w:t xml:space="preserve">- Evidence documentation</w:t>
      </w:r>
      <w:r>
        <w:rPr/>
        <w:br w:type="textWrapping"/>
      </w:r>
      <w:r>
        <w:rPr/>
        <w:t xml:space="preserve">- SMR generation and submission</w:t>
      </w:r>
    </w:p>
    <w:p>
      <w:pPr>
        <w:numPr>
          <w:ilvl w:val="0"/>
          <w:numId w:val="14"/>
        </w:numPr>
        <w:spacing w:lineRule="auto"/>
      </w:pPr>
      <w:r>
        <w:rPr>
          <w:b/>
        </w:rPr>
        <w:t xml:space="preserve">Data and Reporting Layer</w:t>
      </w:r>
      <w:r>
        <w:rPr/>
        <w:br w:type="textWrapping"/>
      </w:r>
      <w:r>
        <w:rPr/>
        <w:t xml:space="preserve">- Centralized data warehouse</w:t>
      </w:r>
      <w:r>
        <w:rPr/>
        <w:br w:type="textWrapping"/>
      </w:r>
      <w:r>
        <w:rPr/>
        <w:t xml:space="preserve">- 7-year retention archive</w:t>
      </w:r>
      <w:r>
        <w:rPr/>
        <w:br w:type="textWrapping"/>
      </w:r>
      <w:r>
        <w:rPr/>
        <w:t xml:space="preserve">- AUSTRAC reporting API integration</w:t>
      </w:r>
      <w:r>
        <w:rPr/>
        <w:br w:type="textWrapping"/>
      </w:r>
      <w:r>
        <w:rPr/>
        <w:t xml:space="preserve">- Compliance dashboard and analytics</w:t>
      </w:r>
    </w:p>
    <w:p>
      <w:pPr>
        <w:numPr>
          <w:ilvl w:val="0"/>
          <w:numId w:val="14"/>
        </w:numPr>
        <w:spacing w:lineRule="auto"/>
      </w:pPr>
      <w:r>
        <w:rPr>
          <w:b/>
        </w:rPr>
        <w:t xml:space="preserve">Governance Layer</w:t>
      </w:r>
      <w:r>
        <w:rPr/>
        <w:br w:type="textWrapping"/>
      </w:r>
      <w:r>
        <w:rPr/>
        <w:t xml:space="preserve">- Model governance and validation</w:t>
      </w:r>
      <w:r>
        <w:rPr/>
        <w:br w:type="textWrapping"/>
      </w:r>
      <w:r>
        <w:rPr/>
        <w:t xml:space="preserve">- Audit trail management</w:t>
      </w:r>
      <w:r>
        <w:rPr/>
        <w:br w:type="textWrapping"/>
      </w:r>
      <w:r>
        <w:rPr/>
        <w:t xml:space="preserve">- Independent review workflow</w:t>
      </w:r>
      <w:r>
        <w:rPr/>
        <w:br w:type="textWrapping"/>
      </w:r>
      <w:r>
        <w:rPr/>
        <w:t xml:space="preserve">- Compliance officer oversight dashboard</w:t>
      </w:r>
    </w:p>
    <w:p>
      <w:pPr>
        <w:spacing w:after="210" w:lineRule="auto"/>
      </w:pPr>
      <w:r>
        <w:rPr>
          <w:b/>
        </w:rPr>
        <w:t xml:space="preserve">API Integration Requirements:</w:t>
      </w:r>
    </w:p>
    <w:p>
      <w:pPr>
        <w:numPr>
          <w:ilvl w:val="0"/>
          <w:numId w:val="15"/>
        </w:numPr>
        <w:spacing w:lineRule="auto"/>
      </w:pPr>
      <w:r>
        <w:rPr>
          <w:b/>
        </w:rPr>
        <w:t xml:space="preserve">AUSTRAC Online:</w:t>
      </w:r>
      <w:r>
        <w:rPr/>
        <w:t xml:space="preserve"> Direct API integration for TTR, IFTI, SMR, and compliance report submission[33]</w:t>
      </w:r>
    </w:p>
    <w:p>
      <w:pPr>
        <w:numPr>
          <w:ilvl w:val="0"/>
          <w:numId w:val="15"/>
        </w:numPr>
        <w:spacing w:lineRule="auto"/>
      </w:pPr>
      <w:r>
        <w:rPr>
          <w:b/>
        </w:rPr>
        <w:t xml:space="preserve">Document Verification Service (DVS):</w:t>
      </w:r>
      <w:r>
        <w:rPr/>
        <w:t xml:space="preserve"> Government API for ID document verification (requires accreditation)[34]</w:t>
      </w:r>
    </w:p>
    <w:p>
      <w:pPr>
        <w:numPr>
          <w:ilvl w:val="0"/>
          <w:numId w:val="15"/>
        </w:numPr>
        <w:spacing w:lineRule="auto"/>
      </w:pPr>
      <w:r>
        <w:rPr>
          <w:b/>
        </w:rPr>
        <w:t xml:space="preserve">Face Verification Service (FVS):</w:t>
      </w:r>
      <w:r>
        <w:rPr/>
        <w:t xml:space="preserve"> Biometric face matching API (consent-based)[35]</w:t>
      </w:r>
    </w:p>
    <w:p>
      <w:pPr>
        <w:numPr>
          <w:ilvl w:val="0"/>
          <w:numId w:val="15"/>
        </w:numPr>
        <w:spacing w:lineRule="auto"/>
      </w:pPr>
      <w:r>
        <w:rPr>
          <w:b/>
        </w:rPr>
        <w:t xml:space="preserve">Digital ID System:</w:t>
      </w:r>
      <w:r>
        <w:rPr/>
        <w:t xml:space="preserve"> Integration with accredited Digital ID providers for reusable digital identities[36]</w:t>
      </w:r>
    </w:p>
    <w:p>
      <w:pPr>
        <w:spacing w:line="271" w:before="240" w:lineRule="auto"/>
      </w:pPr>
      <w:bookmarkStart w:id="18" w:name="bm_4_3_data_privacy_and_security_5af886"/>
      <w:r>
        <w:rPr>
          <w:b/>
          <w:sz w:val="33"/>
        </w:rPr>
        <w:t xml:space="preserve">4.3 Data Privacy and Security Considerations</w:t>
      </w:r>
      <w:bookmarkEnd w:id="18"/>
    </w:p>
    <w:p>
      <w:pPr>
        <w:spacing w:after="210" w:lineRule="auto"/>
      </w:pPr>
      <w:r>
        <w:rPr>
          <w:b/>
        </w:rPr>
        <w:t xml:space="preserve">Identity Verification Services Act 2023 Compliance:</w:t>
      </w:r>
    </w:p>
    <w:p>
      <w:pPr>
        <w:numPr>
          <w:ilvl w:val="0"/>
          <w:numId w:val="16"/>
        </w:numPr>
        <w:spacing w:lineRule="auto"/>
      </w:pPr>
      <w:r>
        <w:rPr/>
        <w:t xml:space="preserve">Obtain explicit customer consent before using DVS or FVS</w:t>
      </w:r>
    </w:p>
    <w:p>
      <w:pPr>
        <w:numPr>
          <w:ilvl w:val="0"/>
          <w:numId w:val="16"/>
        </w:numPr>
        <w:spacing w:lineRule="auto"/>
      </w:pPr>
      <w:r>
        <w:rPr/>
        <w:t xml:space="preserve">Collect only required identity fields (purpose limitation)</w:t>
      </w:r>
    </w:p>
    <w:p>
      <w:pPr>
        <w:numPr>
          <w:ilvl w:val="0"/>
          <w:numId w:val="16"/>
        </w:numPr>
        <w:spacing w:lineRule="auto"/>
      </w:pPr>
      <w:r>
        <w:rPr/>
        <w:t xml:space="preserve">Implement encrypted storage for biometric data</w:t>
      </w:r>
    </w:p>
    <w:p>
      <w:pPr>
        <w:numPr>
          <w:ilvl w:val="0"/>
          <w:numId w:val="16"/>
        </w:numPr>
        <w:spacing w:lineRule="auto"/>
      </w:pPr>
      <w:r>
        <w:rPr/>
        <w:t xml:space="preserve">Control access to verification results</w:t>
      </w:r>
    </w:p>
    <w:p>
      <w:pPr>
        <w:numPr>
          <w:ilvl w:val="0"/>
          <w:numId w:val="16"/>
        </w:numPr>
        <w:spacing w:lineRule="auto"/>
      </w:pPr>
      <w:r>
        <w:rPr/>
        <w:t xml:space="preserve">Clear retention and deletion policies[37]</w:t>
      </w:r>
    </w:p>
    <w:p>
      <w:pPr>
        <w:spacing w:after="210" w:lineRule="auto"/>
      </w:pPr>
      <w:r>
        <w:rPr>
          <w:b/>
        </w:rPr>
        <w:t xml:space="preserve">Australian Privacy Principles (APPs) Compliance:</w:t>
      </w:r>
    </w:p>
    <w:p>
      <w:pPr>
        <w:numPr>
          <w:ilvl w:val="0"/>
          <w:numId w:val="17"/>
        </w:numPr>
        <w:spacing w:lineRule="auto"/>
      </w:pPr>
      <w:r>
        <w:rPr/>
        <w:t xml:space="preserve">Collection notices explaining AML/CTF data use</w:t>
      </w:r>
    </w:p>
    <w:p>
      <w:pPr>
        <w:numPr>
          <w:ilvl w:val="0"/>
          <w:numId w:val="17"/>
        </w:numPr>
        <w:spacing w:lineRule="auto"/>
      </w:pPr>
      <w:r>
        <w:rPr/>
        <w:t xml:space="preserve">Secure storage with encryption at rest and in transit</w:t>
      </w:r>
    </w:p>
    <w:p>
      <w:pPr>
        <w:numPr>
          <w:ilvl w:val="0"/>
          <w:numId w:val="17"/>
        </w:numPr>
        <w:spacing w:lineRule="auto"/>
      </w:pPr>
      <w:r>
        <w:rPr/>
        <w:t xml:space="preserve">Access controls and role-based permissions</w:t>
      </w:r>
    </w:p>
    <w:p>
      <w:pPr>
        <w:numPr>
          <w:ilvl w:val="0"/>
          <w:numId w:val="17"/>
        </w:numPr>
        <w:spacing w:lineRule="auto"/>
      </w:pPr>
      <w:r>
        <w:rPr/>
        <w:t xml:space="preserve">Data breach notification procedures</w:t>
      </w:r>
    </w:p>
    <w:p>
      <w:pPr>
        <w:numPr>
          <w:ilvl w:val="0"/>
          <w:numId w:val="17"/>
        </w:numPr>
        <w:spacing w:lineRule="auto"/>
      </w:pPr>
      <w:r>
        <w:rPr/>
        <w:t xml:space="preserve">Customer access and correction rights[38]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5_operational_model_minimal_hu_6955e8"/>
      <w:r>
        <w:rPr>
          <w:b/>
          <w:sz w:val="42"/>
        </w:rPr>
        <w:t xml:space="preserve">5. Operational Model: Minimal Human Oversight Design</w:t>
      </w:r>
      <w:bookmarkEnd w:id="19"/>
    </w:p>
    <w:p>
      <w:pPr>
        <w:spacing w:line="271" w:before="240" w:lineRule="auto"/>
      </w:pPr>
      <w:bookmarkStart w:id="20" w:name="bm_5_1_staffing_requirements_for_6a56a6"/>
      <w:r>
        <w:rPr>
          <w:b/>
          <w:sz w:val="33"/>
        </w:rPr>
        <w:t xml:space="preserve">5.1 Staffing Requirements for Maximum Automation</w:t>
      </w:r>
      <w:bookmarkEnd w:id="20"/>
    </w:p>
    <w:p>
      <w:pPr>
        <w:spacing w:after="210" w:lineRule="auto"/>
      </w:pPr>
      <w:r>
        <w:rPr/>
        <w:t xml:space="preserve">Based on 85-92% automation, PaySafeGo requires the following minimal human oversight structure: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Role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Responsibilities</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Volume Capacity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AML/CTF Compliance Officer (Mandatory)</w:t>
            </w:r>
          </w:p>
        </w:tc>
        <w:tc>
          <w:tcPr>
            <w:tcBorders>
              <w:bottom w:val="single" w:sz="8" w:space="0" w:color="000000"/>
              <w:right w:val="single" w:sz="8" w:space="0" w:color="000000"/>
            </w:tcBorders>
            <w:vAlign w:val="top"/>
          </w:tcPr>
          <w:p>
            <w:pPr>
              <w:spacing w:lineRule="auto"/>
              <w:jc w:val="left"/>
            </w:pPr>
            <w:r>
              <w:rPr/>
              <w:t xml:space="preserve">Overall program oversight, AUSTRAC liaison, board reporting, model governance[39]</w:t>
            </w:r>
          </w:p>
        </w:tc>
        <w:tc>
          <w:tcPr>
            <w:tcBorders>
              <w:bottom w:val="single" w:sz="8" w:space="0" w:color="000000"/>
              <w:right w:val="single" w:sz="8" w:space="0" w:color="000000"/>
            </w:tcBorders>
            <w:vAlign w:val="top"/>
          </w:tcPr>
          <w:p>
            <w:pPr>
              <w:spacing w:lineRule="auto"/>
              <w:jc w:val="left"/>
            </w:pPr>
            <w:r>
              <w:rPr/>
              <w:t xml:space="preserve">N/A (strategic role)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Senior AML Analyst</w:t>
            </w:r>
          </w:p>
        </w:tc>
        <w:tc>
          <w:tcPr>
            <w:tcBorders>
              <w:bottom w:val="single" w:sz="8" w:space="0" w:color="000000"/>
              <w:right w:val="single" w:sz="8" w:space="0" w:color="000000"/>
            </w:tcBorders>
            <w:vAlign w:val="top"/>
          </w:tcPr>
          <w:p>
            <w:pPr>
              <w:spacing w:lineRule="auto"/>
              <w:jc w:val="left"/>
            </w:pPr>
            <w:r>
              <w:rPr/>
              <w:t xml:space="preserve">High-priority alert review, complex SMR decisions, EDD assessments, model validation</w:t>
            </w:r>
          </w:p>
        </w:tc>
        <w:tc>
          <w:tcPr>
            <w:tcBorders>
              <w:bottom w:val="single" w:sz="8" w:space="0" w:color="000000"/>
              <w:right w:val="single" w:sz="8" w:space="0" w:color="000000"/>
            </w:tcBorders>
            <w:vAlign w:val="top"/>
          </w:tcPr>
          <w:p>
            <w:pPr>
              <w:spacing w:lineRule="auto"/>
              <w:jc w:val="left"/>
            </w:pPr>
            <w:r>
              <w:rPr/>
              <w:t xml:space="preserve">20-30 alerts/day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AML Analyst</w:t>
            </w:r>
          </w:p>
        </w:tc>
        <w:tc>
          <w:tcPr>
            <w:tcBorders>
              <w:bottom w:val="single" w:sz="8" w:space="0" w:color="000000"/>
              <w:right w:val="single" w:sz="8" w:space="0" w:color="000000"/>
            </w:tcBorders>
            <w:vAlign w:val="top"/>
          </w:tcPr>
          <w:p>
            <w:pPr>
              <w:spacing w:lineRule="auto"/>
              <w:jc w:val="left"/>
            </w:pPr>
            <w:r>
              <w:rPr/>
              <w:t xml:space="preserve">Medium-priority alert review, SMR filing, customer verification exceptions</w:t>
            </w:r>
          </w:p>
        </w:tc>
        <w:tc>
          <w:tcPr>
            <w:tcBorders>
              <w:bottom w:val="single" w:sz="8" w:space="0" w:color="000000"/>
              <w:right w:val="single" w:sz="8" w:space="0" w:color="000000"/>
            </w:tcBorders>
            <w:vAlign w:val="top"/>
          </w:tcPr>
          <w:p>
            <w:pPr>
              <w:spacing w:lineRule="auto"/>
              <w:jc w:val="left"/>
            </w:pPr>
            <w:r>
              <w:rPr/>
              <w:t xml:space="preserve">40-60 alerts/day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Independent Auditor (External)</w:t>
            </w:r>
          </w:p>
        </w:tc>
        <w:tc>
          <w:tcPr>
            <w:tcBorders>
              <w:bottom w:val="single" w:sz="8" w:space="0" w:color="000000"/>
              <w:right w:val="single" w:sz="8" w:space="0" w:color="000000"/>
            </w:tcBorders>
            <w:vAlign w:val="top"/>
          </w:tcPr>
          <w:p>
            <w:pPr>
              <w:spacing w:lineRule="auto"/>
              <w:jc w:val="left"/>
            </w:pPr>
            <w:r>
              <w:rPr/>
              <w:t xml:space="preserve">Annual AML/CTF program review (regulatory requirement)[40]</w:t>
            </w:r>
          </w:p>
        </w:tc>
        <w:tc>
          <w:tcPr>
            <w:tcBorders>
              <w:bottom w:val="single" w:sz="8" w:space="0" w:color="000000"/>
              <w:right w:val="single" w:sz="8" w:space="0" w:color="000000"/>
            </w:tcBorders>
            <w:vAlign w:val="top"/>
          </w:tcPr>
          <w:p>
            <w:pPr>
              <w:spacing w:lineRule="auto"/>
              <w:jc w:val="left"/>
            </w:pPr>
            <w:r>
              <w:rPr/>
              <w:t xml:space="preserve">N/A (annual engagement)</w:t>
            </w:r>
          </w:p>
        </w:tc>
      </w:tr>
    </w:tbl>
    <w:p>
      <w:pPr>
        <w:spacing w:lineRule="auto"/>
      </w:pPr>
    </w:p>
    <w:p>
      <w:pPr>
        <w:spacing w:lineRule="auto"/>
      </w:pPr>
      <w:r>
        <w:rPr/>
        <w:t xml:space="preserve">Table 5: Minimal Staffing Structure for Highly Automated Compliance</w:t>
      </w:r>
    </w:p>
    <w:p>
      <w:pPr>
        <w:spacing w:after="210" w:lineRule="auto"/>
      </w:pPr>
      <w:r>
        <w:rPr>
          <w:b/>
        </w:rPr>
        <w:t xml:space="preserve">Scaling Formula:</w:t>
      </w:r>
    </w:p>
    <w:p>
      <w:pPr>
        <w:spacing w:after="210" w:lineRule="auto"/>
      </w:pPr>
      <w:r>
        <w:rPr/>
        <w:t xml:space="preserve">For a gaming venue payment platform processing:</w:t>
      </w:r>
    </w:p>
    <w:p>
      <w:pPr>
        <w:numPr>
          <w:ilvl w:val="0"/>
          <w:numId w:val="18"/>
        </w:numPr>
        <w:spacing w:lineRule="auto"/>
      </w:pPr>
      <w:r>
        <w:rPr/>
        <w:t xml:space="preserve">1,000,000 transactions/month</w:t>
      </w:r>
    </w:p>
    <w:p>
      <w:pPr>
        <w:numPr>
          <w:ilvl w:val="0"/>
          <w:numId w:val="18"/>
        </w:numPr>
        <w:spacing w:lineRule="auto"/>
      </w:pPr>
      <w:r>
        <w:rPr/>
        <w:t xml:space="preserve">2-5% alert rate (automated false positive reduction)</w:t>
      </w:r>
    </w:p>
    <w:p>
      <w:pPr>
        <w:numPr>
          <w:ilvl w:val="0"/>
          <w:numId w:val="18"/>
        </w:numPr>
        <w:spacing w:lineRule="auto"/>
      </w:pPr>
      <w:r>
        <w:rPr/>
        <w:t xml:space="preserve">Estimated 20,000-50,000 alerts/month</w:t>
      </w:r>
    </w:p>
    <w:p>
      <w:pPr>
        <w:numPr>
          <w:ilvl w:val="0"/>
          <w:numId w:val="18"/>
        </w:numPr>
        <w:spacing w:lineRule="auto"/>
      </w:pPr>
      <w:r>
        <w:rPr/>
        <w:t xml:space="preserve">90% auto-dismissed by AI (low risk)</w:t>
      </w:r>
    </w:p>
    <w:p>
      <w:pPr>
        <w:numPr>
          <w:ilvl w:val="0"/>
          <w:numId w:val="18"/>
        </w:numPr>
        <w:spacing w:lineRule="auto"/>
      </w:pPr>
      <w:r>
        <w:rPr/>
        <w:t xml:space="preserve">2,000-5,000 alerts requiring human review/month</w:t>
      </w:r>
    </w:p>
    <w:p>
      <w:pPr>
        <w:spacing w:after="210" w:lineRule="auto"/>
      </w:pPr>
      <w:r>
        <w:rPr>
          <w:b/>
        </w:rPr>
        <w:t xml:space="preserve">Required Staff:</w:t>
      </w:r>
    </w:p>
    <w:p>
      <w:pPr>
        <w:numPr>
          <w:ilvl w:val="0"/>
          <w:numId w:val="19"/>
        </w:numPr>
        <w:spacing w:lineRule="auto"/>
      </w:pPr>
      <w:r>
        <w:rPr/>
        <w:t xml:space="preserve">1 Compliance Officer (mandatory)</w:t>
      </w:r>
    </w:p>
    <w:p>
      <w:pPr>
        <w:numPr>
          <w:ilvl w:val="0"/>
          <w:numId w:val="19"/>
        </w:numPr>
        <w:spacing w:lineRule="auto"/>
      </w:pPr>
      <w:r>
        <w:rPr/>
        <w:t xml:space="preserve">1-2 Senior Analysts</w:t>
      </w:r>
    </w:p>
    <w:p>
      <w:pPr>
        <w:numPr>
          <w:ilvl w:val="0"/>
          <w:numId w:val="19"/>
        </w:numPr>
        <w:spacing w:lineRule="auto"/>
      </w:pPr>
      <w:r>
        <w:rPr/>
        <w:t xml:space="preserve">3-5 Junior Analysts</w:t>
      </w:r>
    </w:p>
    <w:p>
      <w:pPr>
        <w:numPr>
          <w:ilvl w:val="0"/>
          <w:numId w:val="19"/>
        </w:numPr>
        <w:spacing w:lineRule="auto"/>
      </w:pPr>
      <w:r>
        <w:rPr/>
        <w:t xml:space="preserve">1 External Auditor (annual)</w:t>
      </w:r>
    </w:p>
    <w:p>
      <w:pPr>
        <w:spacing w:line="271" w:before="240" w:lineRule="auto"/>
      </w:pPr>
      <w:bookmarkStart w:id="21" w:name="bm_5_2_human_intervention_workflows"/>
      <w:r>
        <w:rPr>
          <w:b/>
          <w:sz w:val="33"/>
        </w:rPr>
        <w:t xml:space="preserve">5.2 Human Intervention Workflows</w:t>
      </w:r>
      <w:bookmarkEnd w:id="21"/>
    </w:p>
    <w:p>
      <w:pPr>
        <w:spacing w:after="210" w:lineRule="auto"/>
      </w:pPr>
      <w:r>
        <w:rPr>
          <w:b/>
        </w:rPr>
        <w:t xml:space="preserve">Exception Handling Process:</w:t>
      </w:r>
    </w:p>
    <w:p>
      <w:pPr>
        <w:numPr>
          <w:ilvl w:val="0"/>
          <w:numId w:val="20"/>
        </w:numPr>
        <w:spacing w:lineRule="auto"/>
      </w:pPr>
      <w:r>
        <w:rPr>
          <w:b/>
        </w:rPr>
        <w:t xml:space="preserve">Identity Verification Exceptions (5-10% of onboarding)</w:t>
      </w:r>
      <w:r>
        <w:rPr/>
        <w:br w:type="textWrapping"/>
      </w:r>
      <w:r>
        <w:rPr/>
        <w:t xml:space="preserve">- Automated system flags verification failure or inconsistency</w:t>
      </w:r>
      <w:r>
        <w:rPr/>
        <w:br w:type="textWrapping"/>
      </w:r>
      <w:r>
        <w:rPr/>
        <w:t xml:space="preserve">- Queued for analyst review</w:t>
      </w:r>
      <w:r>
        <w:rPr/>
        <w:br w:type="textWrapping"/>
      </w:r>
      <w:r>
        <w:rPr/>
        <w:t xml:space="preserve">- Analyst manually reviews documents, requests additional information</w:t>
      </w:r>
      <w:r>
        <w:rPr/>
        <w:br w:type="textWrapping"/>
      </w:r>
      <w:r>
        <w:rPr/>
        <w:t xml:space="preserve">- Decision: Approve, Reject, or Escalate to EDD</w:t>
      </w:r>
      <w:r>
        <w:rPr/>
        <w:br w:type="textWrapping"/>
      </w:r>
      <w:r>
        <w:rPr/>
        <w:t xml:space="preserve">- SLA: 24 hours</w:t>
      </w:r>
    </w:p>
    <w:p>
      <w:pPr>
        <w:numPr>
          <w:ilvl w:val="0"/>
          <w:numId w:val="20"/>
        </w:numPr>
        <w:spacing w:lineRule="auto"/>
      </w:pPr>
      <w:r>
        <w:rPr>
          <w:b/>
        </w:rPr>
        <w:t xml:space="preserve">High-Priority Transaction Alerts (1-3% of transactions)</w:t>
      </w:r>
      <w:r>
        <w:rPr/>
        <w:br w:type="textWrapping"/>
      </w:r>
      <w:r>
        <w:rPr/>
        <w:t xml:space="preserve">- Automated system generates high-risk alert</w:t>
      </w:r>
      <w:r>
        <w:rPr/>
        <w:br w:type="textWrapping"/>
      </w:r>
      <w:r>
        <w:rPr/>
        <w:t xml:space="preserve">- Analyst reviews transaction context, customer history, supporting evidence</w:t>
      </w:r>
      <w:r>
        <w:rPr/>
        <w:br w:type="textWrapping"/>
      </w:r>
      <w:r>
        <w:rPr/>
        <w:t xml:space="preserve">- Decision: Clear (false positive), Monitor, or File SMR</w:t>
      </w:r>
      <w:r>
        <w:rPr/>
        <w:br w:type="textWrapping"/>
      </w:r>
      <w:r>
        <w:rPr/>
        <w:t xml:space="preserve">- SLA: 4 hours for high-priority, 24 hours for medium-priority</w:t>
      </w:r>
    </w:p>
    <w:p>
      <w:pPr>
        <w:numPr>
          <w:ilvl w:val="0"/>
          <w:numId w:val="20"/>
        </w:numPr>
        <w:spacing w:lineRule="auto"/>
      </w:pPr>
      <w:r>
        <w:rPr>
          <w:b/>
        </w:rPr>
        <w:t xml:space="preserve">SMR Filing Decision (0.5-2% of transactions)</w:t>
      </w:r>
      <w:r>
        <w:rPr/>
        <w:br w:type="textWrapping"/>
      </w:r>
      <w:r>
        <w:rPr/>
        <w:t xml:space="preserve">- System pre-populates SMR with all relevant data</w:t>
      </w:r>
      <w:r>
        <w:rPr/>
        <w:br w:type="textWrapping"/>
      </w:r>
      <w:r>
        <w:rPr/>
        <w:t xml:space="preserve">- GenAI generates draft narrative</w:t>
      </w:r>
      <w:r>
        <w:rPr/>
        <w:br w:type="textWrapping"/>
      </w:r>
      <w:r>
        <w:rPr/>
        <w:t xml:space="preserve">- Analyst reviews, edits narrative, and assesses "reasonable grounds to suspect"</w:t>
      </w:r>
      <w:r>
        <w:rPr/>
        <w:br w:type="textWrapping"/>
      </w:r>
      <w:r>
        <w:rPr/>
        <w:t xml:space="preserve">- Compliance Officer approves SMRs above materiality threshold</w:t>
      </w:r>
      <w:r>
        <w:rPr/>
        <w:br w:type="textWrapping"/>
      </w:r>
      <w:r>
        <w:rPr/>
        <w:t xml:space="preserve">- Submit to AUSTRAC within 24 hours (TF) or 3 business days (ML)</w:t>
      </w:r>
    </w:p>
    <w:p>
      <w:pPr>
        <w:numPr>
          <w:ilvl w:val="0"/>
          <w:numId w:val="20"/>
        </w:numPr>
        <w:spacing w:lineRule="auto"/>
      </w:pPr>
      <w:r>
        <w:rPr>
          <w:b/>
        </w:rPr>
        <w:t xml:space="preserve">Enhanced Due Diligence (EDD) Triggers (&lt;1% of customers)</w:t>
      </w:r>
      <w:r>
        <w:rPr/>
        <w:br w:type="textWrapping"/>
      </w:r>
      <w:r>
        <w:rPr/>
        <w:t xml:space="preserve">- Automated system identifies EDD criteria (foreign PEP, high-risk jurisdiction, complex structure)</w:t>
      </w:r>
      <w:r>
        <w:rPr/>
        <w:br w:type="textWrapping"/>
      </w:r>
      <w:r>
        <w:rPr/>
        <w:t xml:space="preserve">- Senior analyst conducts source of wealth/funds verification</w:t>
      </w:r>
      <w:r>
        <w:rPr/>
        <w:br w:type="textWrapping"/>
      </w:r>
      <w:r>
        <w:rPr/>
        <w:t xml:space="preserve">- Additional documentation requested from customer</w:t>
      </w:r>
      <w:r>
        <w:rPr/>
        <w:br w:type="textWrapping"/>
      </w:r>
      <w:r>
        <w:rPr/>
        <w:t xml:space="preserve">- Decision: Accept with ongoing monitoring, or Reject</w:t>
      </w:r>
      <w:r>
        <w:rPr/>
        <w:br w:type="textWrapping"/>
      </w:r>
      <w:r>
        <w:rPr/>
        <w:t xml:space="preserve">- SLA: 5 business days</w:t>
      </w:r>
    </w:p>
    <w:p>
      <w:pPr>
        <w:spacing w:line="271" w:before="240" w:lineRule="auto"/>
      </w:pPr>
      <w:bookmarkStart w:id="22" w:name="bm_5_3_model_governance_and_oversight"/>
      <w:r>
        <w:rPr>
          <w:b/>
          <w:sz w:val="33"/>
        </w:rPr>
        <w:t xml:space="preserve">5.3 Model Governance and Oversight</w:t>
      </w:r>
      <w:bookmarkEnd w:id="22"/>
    </w:p>
    <w:p>
      <w:pPr>
        <w:spacing w:after="210" w:lineRule="auto"/>
      </w:pPr>
      <w:r>
        <w:rPr>
          <w:b/>
        </w:rPr>
        <w:t xml:space="preserve">AI/ML Model Governance Framework:</w:t>
      </w:r>
    </w:p>
    <w:p>
      <w:pPr>
        <w:numPr>
          <w:ilvl w:val="0"/>
          <w:numId w:val="21"/>
        </w:numPr>
        <w:spacing w:lineRule="auto"/>
      </w:pPr>
      <w:r>
        <w:rPr>
          <w:b/>
        </w:rPr>
        <w:t xml:space="preserve">Model Validation</w:t>
      </w:r>
      <w:r>
        <w:rPr/>
        <w:t xml:space="preserve"> - Independent validation of ML models annually or when material changes occur[41]</w:t>
      </w:r>
    </w:p>
    <w:p>
      <w:pPr>
        <w:numPr>
          <w:ilvl w:val="0"/>
          <w:numId w:val="21"/>
        </w:numPr>
        <w:spacing w:lineRule="auto"/>
      </w:pPr>
      <w:r>
        <w:rPr>
          <w:b/>
        </w:rPr>
        <w:t xml:space="preserve">Performance Monitoring</w:t>
      </w:r>
      <w:r>
        <w:rPr/>
        <w:t xml:space="preserve"> - Monthly review of:</w:t>
      </w:r>
    </w:p>
    <w:p>
      <w:pPr>
        <w:numPr>
          <w:ilvl w:val="1"/>
          <w:numId w:val="21"/>
        </w:numPr>
        <w:spacing w:lineRule="auto"/>
      </w:pPr>
      <w:r>
        <w:rPr/>
        <w:t xml:space="preserve">False positive rate (target: &lt;5%)</w:t>
      </w:r>
    </w:p>
    <w:p>
      <w:pPr>
        <w:numPr>
          <w:ilvl w:val="1"/>
          <w:numId w:val="21"/>
        </w:numPr>
        <w:spacing w:lineRule="auto"/>
      </w:pPr>
      <w:r>
        <w:rPr/>
        <w:t xml:space="preserve">False negative rate (missed suspicious activity)</w:t>
      </w:r>
    </w:p>
    <w:p>
      <w:pPr>
        <w:numPr>
          <w:ilvl w:val="1"/>
          <w:numId w:val="21"/>
        </w:numPr>
        <w:spacing w:lineRule="auto"/>
      </w:pPr>
      <w:r>
        <w:rPr/>
        <w:t xml:space="preserve">Alert precision and recall metrics</w:t>
      </w:r>
    </w:p>
    <w:p>
      <w:pPr>
        <w:numPr>
          <w:ilvl w:val="1"/>
          <w:numId w:val="21"/>
        </w:numPr>
        <w:spacing w:lineRule="auto"/>
      </w:pPr>
      <w:r>
        <w:rPr/>
        <w:t xml:space="preserve">Model drift detection</w:t>
      </w:r>
    </w:p>
    <w:p>
      <w:pPr>
        <w:numPr>
          <w:ilvl w:val="0"/>
          <w:numId w:val="21"/>
        </w:numPr>
        <w:spacing w:lineRule="auto"/>
      </w:pPr>
      <w:r>
        <w:rPr>
          <w:b/>
        </w:rPr>
        <w:t xml:space="preserve">Explainability Requirements</w:t>
      </w:r>
      <w:r>
        <w:rPr/>
        <w:t xml:space="preserve"> - All AI decisions must be explainable with feature attribution and decision rationale[42]</w:t>
      </w:r>
    </w:p>
    <w:p>
      <w:pPr>
        <w:numPr>
          <w:ilvl w:val="0"/>
          <w:numId w:val="21"/>
        </w:numPr>
        <w:spacing w:lineRule="auto"/>
      </w:pPr>
      <w:r>
        <w:rPr>
          <w:b/>
        </w:rPr>
        <w:t xml:space="preserve">Audit Trail</w:t>
      </w:r>
      <w:r>
        <w:rPr/>
        <w:t xml:space="preserve"> - Complete logging of model predictions, confidence scores, and human overrides</w:t>
      </w:r>
    </w:p>
    <w:p>
      <w:pPr>
        <w:numPr>
          <w:ilvl w:val="0"/>
          <w:numId w:val="21"/>
        </w:numPr>
        <w:spacing w:lineRule="auto"/>
      </w:pPr>
      <w:r>
        <w:rPr>
          <w:b/>
        </w:rPr>
        <w:t xml:space="preserve">Human Override Authority</w:t>
      </w:r>
      <w:r>
        <w:rPr/>
        <w:t xml:space="preserve"> - Analysts can override AI decisions with documented justification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6_risk_assessment_and_mitigation"/>
      <w:r>
        <w:rPr>
          <w:b/>
          <w:sz w:val="42"/>
        </w:rPr>
        <w:t xml:space="preserve">6. Risk Assessment and Mitigation</w:t>
      </w:r>
      <w:bookmarkEnd w:id="23"/>
    </w:p>
    <w:p>
      <w:pPr>
        <w:spacing w:line="271" w:before="240" w:lineRule="auto"/>
      </w:pPr>
      <w:bookmarkStart w:id="24" w:name="bm_6_1_gaming_industry_specific_m_d1e56a"/>
      <w:r>
        <w:rPr>
          <w:b/>
          <w:sz w:val="33"/>
        </w:rPr>
        <w:t xml:space="preserve">6.1 Gaming Industry-Specific ML/TF Risks</w:t>
      </w:r>
      <w:bookmarkEnd w:id="24"/>
    </w:p>
    <w:p>
      <w:pPr>
        <w:spacing w:after="210" w:lineRule="auto"/>
      </w:pPr>
      <w:r>
        <w:rPr/>
        <w:t xml:space="preserve">PaySafeGo must account for gaming-specific money laundering typologies: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Typology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Automated Detection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Chip Dumping</w:t>
            </w:r>
          </w:p>
        </w:tc>
        <w:tc>
          <w:tcPr>
            <w:tcBorders>
              <w:bottom w:val="single" w:sz="8" w:space="0" w:color="000000"/>
              <w:right w:val="single" w:sz="8" w:space="0" w:color="000000"/>
            </w:tcBorders>
            <w:vAlign w:val="top"/>
          </w:tcPr>
          <w:p>
            <w:pPr>
              <w:spacing w:lineRule="auto"/>
              <w:jc w:val="left"/>
            </w:pPr>
            <w:r>
              <w:rPr/>
              <w:t xml:space="preserve">Deliberate losing to transfer funds to another player</w:t>
            </w:r>
          </w:p>
        </w:tc>
        <w:tc>
          <w:tcPr>
            <w:tcBorders>
              <w:bottom w:val="single" w:sz="8" w:space="0" w:color="000000"/>
              <w:right w:val="single" w:sz="8" w:space="0" w:color="000000"/>
            </w:tcBorders>
            <w:vAlign w:val="top"/>
          </w:tcPr>
          <w:p>
            <w:pPr>
              <w:spacing w:lineRule="auto"/>
              <w:jc w:val="left"/>
            </w:pPr>
            <w:r>
              <w:rPr/>
              <w:t xml:space="preserve">Pattern recognition of intentional losses, player relationship analysis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Minimal Play</w:t>
            </w:r>
          </w:p>
        </w:tc>
        <w:tc>
          <w:tcPr>
            <w:tcBorders>
              <w:bottom w:val="single" w:sz="8" w:space="0" w:color="000000"/>
              <w:right w:val="single" w:sz="8" w:space="0" w:color="000000"/>
            </w:tcBorders>
            <w:vAlign w:val="top"/>
          </w:tcPr>
          <w:p>
            <w:pPr>
              <w:spacing w:lineRule="auto"/>
              <w:jc w:val="left"/>
            </w:pPr>
            <w:r>
              <w:rPr/>
              <w:t xml:space="preserve">Loading funds, minimal gaming activity, cashing out</w:t>
            </w:r>
          </w:p>
        </w:tc>
        <w:tc>
          <w:tcPr>
            <w:tcBorders>
              <w:bottom w:val="single" w:sz="8" w:space="0" w:color="000000"/>
              <w:right w:val="single" w:sz="8" w:space="0" w:color="000000"/>
            </w:tcBorders>
            <w:vAlign w:val="top"/>
          </w:tcPr>
          <w:p>
            <w:pPr>
              <w:spacing w:lineRule="auto"/>
              <w:jc w:val="left"/>
            </w:pPr>
            <w:r>
              <w:rPr/>
              <w:t xml:space="preserve">Play-through ratio monitoring, time-on-device analysis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Structuring (Smurfing)</w:t>
            </w:r>
          </w:p>
        </w:tc>
        <w:tc>
          <w:tcPr>
            <w:tcBorders>
              <w:bottom w:val="single" w:sz="8" w:space="0" w:color="000000"/>
              <w:right w:val="single" w:sz="8" w:space="0" w:color="000000"/>
            </w:tcBorders>
            <w:vAlign w:val="top"/>
          </w:tcPr>
          <w:p>
            <w:pPr>
              <w:spacing w:lineRule="auto"/>
              <w:jc w:val="left"/>
            </w:pPr>
            <w:r>
              <w:rPr/>
              <w:t xml:space="preserve">Breaking transactions into smaller amounts to avoid thresholds</w:t>
            </w:r>
          </w:p>
        </w:tc>
        <w:tc>
          <w:tcPr>
            <w:tcBorders>
              <w:bottom w:val="single" w:sz="8" w:space="0" w:color="000000"/>
              <w:right w:val="single" w:sz="8" w:space="0" w:color="000000"/>
            </w:tcBorders>
            <w:vAlign w:val="top"/>
          </w:tcPr>
          <w:p>
            <w:pPr>
              <w:spacing w:lineRule="auto"/>
              <w:jc w:val="left"/>
            </w:pPr>
            <w:r>
              <w:rPr/>
              <w:t xml:space="preserve">Velocity checks, linked account detection, cumulative amount tracking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Third-Party Deposits</w:t>
            </w:r>
          </w:p>
        </w:tc>
        <w:tc>
          <w:tcPr>
            <w:tcBorders>
              <w:bottom w:val="single" w:sz="8" w:space="0" w:color="000000"/>
              <w:right w:val="single" w:sz="8" w:space="0" w:color="000000"/>
            </w:tcBorders>
            <w:vAlign w:val="top"/>
          </w:tcPr>
          <w:p>
            <w:pPr>
              <w:spacing w:lineRule="auto"/>
              <w:jc w:val="left"/>
            </w:pPr>
            <w:r>
              <w:rPr/>
              <w:t xml:space="preserve">Using others' payment methods to obscure fund source</w:t>
            </w:r>
          </w:p>
        </w:tc>
        <w:tc>
          <w:tcPr>
            <w:tcBorders>
              <w:bottom w:val="single" w:sz="8" w:space="0" w:color="000000"/>
              <w:right w:val="single" w:sz="8" w:space="0" w:color="000000"/>
            </w:tcBorders>
            <w:vAlign w:val="top"/>
          </w:tcPr>
          <w:p>
            <w:pPr>
              <w:spacing w:lineRule="auto"/>
              <w:jc w:val="left"/>
            </w:pPr>
            <w:r>
              <w:rPr/>
              <w:t xml:space="preserve">Payment instrument holder vs player identity matching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Rapid Churn</w:t>
            </w:r>
          </w:p>
        </w:tc>
        <w:tc>
          <w:tcPr>
            <w:tcBorders>
              <w:bottom w:val="single" w:sz="8" w:space="0" w:color="000000"/>
              <w:right w:val="single" w:sz="8" w:space="0" w:color="000000"/>
            </w:tcBorders>
            <w:vAlign w:val="top"/>
          </w:tcPr>
          <w:p>
            <w:pPr>
              <w:spacing w:lineRule="auto"/>
              <w:jc w:val="left"/>
            </w:pPr>
            <w:r>
              <w:rPr/>
              <w:t xml:space="preserve">Quick deposit and withdrawal cycles</w:t>
            </w:r>
          </w:p>
        </w:tc>
        <w:tc>
          <w:tcPr>
            <w:tcBorders>
              <w:bottom w:val="single" w:sz="8" w:space="0" w:color="000000"/>
              <w:right w:val="single" w:sz="8" w:space="0" w:color="000000"/>
            </w:tcBorders>
            <w:vAlign w:val="top"/>
          </w:tcPr>
          <w:p>
            <w:pPr>
              <w:spacing w:lineRule="auto"/>
              <w:jc w:val="left"/>
            </w:pPr>
            <w:r>
              <w:rPr/>
              <w:t xml:space="preserve">Transaction timing analysis, deposit-withdrawal pattern detection</w:t>
            </w:r>
          </w:p>
        </w:tc>
      </w:tr>
    </w:tbl>
    <w:p>
      <w:pPr>
        <w:spacing w:lineRule="auto"/>
      </w:pPr>
    </w:p>
    <w:p>
      <w:pPr>
        <w:spacing w:lineRule="auto"/>
      </w:pPr>
      <w:r>
        <w:rPr/>
        <w:t xml:space="preserve">Table 6: Gaming-Specific Money Laundering Typologies and Detection Methods</w:t>
      </w:r>
    </w:p>
    <w:p>
      <w:pPr>
        <w:spacing w:line="271" w:before="240" w:lineRule="auto"/>
      </w:pPr>
      <w:bookmarkStart w:id="25" w:name="bm_6_2_risk_based_approach_to_cdd"/>
      <w:r>
        <w:rPr>
          <w:b/>
          <w:sz w:val="33"/>
        </w:rPr>
        <w:t xml:space="preserve">6.2 Risk-Based Approach to CDD</w:t>
      </w:r>
      <w:bookmarkEnd w:id="25"/>
    </w:p>
    <w:p>
      <w:pPr>
        <w:spacing w:after="210" w:lineRule="auto"/>
      </w:pPr>
      <w:r>
        <w:rPr/>
        <w:t xml:space="preserve">Under the reformed AML/CTF framework, PaySafeGo must apply risk-proportionate CDD:</w:t>
      </w:r>
    </w:p>
    <w:p>
      <w:pPr>
        <w:spacing w:after="210" w:lineRule="auto"/>
      </w:pPr>
      <w:r>
        <w:rPr>
          <w:b/>
        </w:rPr>
        <w:t xml:space="preserve">Simplified CDD (Low Risk, 30-40% of customers):</w:t>
      </w:r>
      <w:r>
        <w:rPr/>
        <w:t xml:space="preserve">[43]</w:t>
      </w:r>
    </w:p>
    <w:p>
      <w:pPr>
        <w:numPr>
          <w:ilvl w:val="0"/>
          <w:numId w:val="22"/>
        </w:numPr>
        <w:spacing w:lineRule="auto"/>
      </w:pPr>
      <w:r>
        <w:rPr/>
        <w:t xml:space="preserve">Government agencies, publicly listed companies</w:t>
      </w:r>
    </w:p>
    <w:p>
      <w:pPr>
        <w:numPr>
          <w:ilvl w:val="0"/>
          <w:numId w:val="22"/>
        </w:numPr>
        <w:spacing w:lineRule="auto"/>
      </w:pPr>
      <w:r>
        <w:rPr/>
        <w:t xml:space="preserve">Low-value accounts with transparent funding</w:t>
      </w:r>
    </w:p>
    <w:p>
      <w:pPr>
        <w:numPr>
          <w:ilvl w:val="0"/>
          <w:numId w:val="22"/>
        </w:numPr>
        <w:spacing w:lineRule="auto"/>
      </w:pPr>
      <w:r>
        <w:rPr/>
        <w:t xml:space="preserve">Reduced verification requirements</w:t>
      </w:r>
    </w:p>
    <w:p>
      <w:pPr>
        <w:numPr>
          <w:ilvl w:val="0"/>
          <w:numId w:val="22"/>
        </w:numPr>
        <w:spacing w:lineRule="auto"/>
      </w:pPr>
      <w:r>
        <w:rPr/>
        <w:t xml:space="preserve">Less intensive ongoing monitoring</w:t>
      </w:r>
    </w:p>
    <w:p>
      <w:pPr>
        <w:spacing w:after="210" w:lineRule="auto"/>
      </w:pPr>
      <w:r>
        <w:rPr>
          <w:b/>
        </w:rPr>
        <w:t xml:space="preserve">Standard CDD (Medium Risk, 50-60% of customers):</w:t>
      </w:r>
    </w:p>
    <w:p>
      <w:pPr>
        <w:numPr>
          <w:ilvl w:val="0"/>
          <w:numId w:val="23"/>
        </w:numPr>
        <w:spacing w:lineRule="auto"/>
      </w:pPr>
      <w:r>
        <w:rPr/>
        <w:t xml:space="preserve">Individual recreational players</w:t>
      </w:r>
    </w:p>
    <w:p>
      <w:pPr>
        <w:numPr>
          <w:ilvl w:val="0"/>
          <w:numId w:val="23"/>
        </w:numPr>
        <w:spacing w:lineRule="auto"/>
      </w:pPr>
      <w:r>
        <w:rPr/>
        <w:t xml:space="preserve">Standard identity verification</w:t>
      </w:r>
    </w:p>
    <w:p>
      <w:pPr>
        <w:numPr>
          <w:ilvl w:val="0"/>
          <w:numId w:val="23"/>
        </w:numPr>
        <w:spacing w:lineRule="auto"/>
      </w:pPr>
      <w:r>
        <w:rPr/>
        <w:t xml:space="preserve">Regular transaction monitoring</w:t>
      </w:r>
    </w:p>
    <w:p>
      <w:pPr>
        <w:spacing w:after="210" w:lineRule="auto"/>
      </w:pPr>
      <w:r>
        <w:rPr>
          <w:b/>
        </w:rPr>
        <w:t xml:space="preserve">Enhanced CDD (High Risk, 5-10% of customers):</w:t>
      </w:r>
      <w:r>
        <w:rPr/>
        <w:t xml:space="preserve">[44]</w:t>
      </w:r>
    </w:p>
    <w:p>
      <w:pPr>
        <w:numPr>
          <w:ilvl w:val="0"/>
          <w:numId w:val="24"/>
        </w:numPr>
        <w:spacing w:lineRule="auto"/>
      </w:pPr>
      <w:r>
        <w:rPr/>
        <w:t xml:space="preserve">Foreign PEPs and their associates</w:t>
      </w:r>
    </w:p>
    <w:p>
      <w:pPr>
        <w:numPr>
          <w:ilvl w:val="0"/>
          <w:numId w:val="24"/>
        </w:numPr>
        <w:spacing w:lineRule="auto"/>
      </w:pPr>
      <w:r>
        <w:rPr/>
        <w:t xml:space="preserve">Customers from high-risk jurisdictions</w:t>
      </w:r>
    </w:p>
    <w:p>
      <w:pPr>
        <w:numPr>
          <w:ilvl w:val="0"/>
          <w:numId w:val="24"/>
        </w:numPr>
        <w:spacing w:lineRule="auto"/>
      </w:pPr>
      <w:r>
        <w:rPr/>
        <w:t xml:space="preserve">Complex ownership structures</w:t>
      </w:r>
    </w:p>
    <w:p>
      <w:pPr>
        <w:numPr>
          <w:ilvl w:val="0"/>
          <w:numId w:val="24"/>
        </w:numPr>
        <w:spacing w:lineRule="auto"/>
      </w:pPr>
      <w:r>
        <w:rPr/>
        <w:t xml:space="preserve">Unusual transaction patterns</w:t>
      </w:r>
    </w:p>
    <w:p>
      <w:pPr>
        <w:numPr>
          <w:ilvl w:val="0"/>
          <w:numId w:val="24"/>
        </w:numPr>
        <w:spacing w:lineRule="auto"/>
      </w:pPr>
      <w:r>
        <w:rPr/>
        <w:t xml:space="preserve">Requires: Source of wealth verification, source of funds verification, senior management approval</w:t>
      </w:r>
    </w:p>
    <w:p>
      <w:pPr>
        <w:spacing w:line="271" w:before="240" w:lineRule="auto"/>
      </w:pPr>
      <w:bookmarkStart w:id="26" w:name="bm_6_3_continuous_monitoring_and_5fa746"/>
      <w:r>
        <w:rPr>
          <w:b/>
          <w:sz w:val="33"/>
        </w:rPr>
        <w:t xml:space="preserve">6.3 Continuous Monitoring and Adaptation</w:t>
      </w:r>
      <w:bookmarkEnd w:id="26"/>
    </w:p>
    <w:p>
      <w:pPr>
        <w:spacing w:after="210" w:lineRule="auto"/>
      </w:pPr>
      <w:r>
        <w:rPr>
          <w:b/>
        </w:rPr>
        <w:t xml:space="preserve">Adaptive Risk Management:</w:t>
      </w:r>
    </w:p>
    <w:p>
      <w:pPr>
        <w:numPr>
          <w:ilvl w:val="0"/>
          <w:numId w:val="25"/>
        </w:numPr>
        <w:spacing w:lineRule="auto"/>
      </w:pPr>
      <w:r>
        <w:rPr>
          <w:b/>
        </w:rPr>
        <w:t xml:space="preserve">Dynamic Risk Scoring</w:t>
      </w:r>
      <w:r>
        <w:rPr/>
        <w:t xml:space="preserve"> - Customer risk scores automatically update based on behavior changes</w:t>
      </w:r>
    </w:p>
    <w:p>
      <w:pPr>
        <w:numPr>
          <w:ilvl w:val="0"/>
          <w:numId w:val="25"/>
        </w:numPr>
        <w:spacing w:lineRule="auto"/>
      </w:pPr>
      <w:r>
        <w:rPr>
          <w:b/>
        </w:rPr>
        <w:t xml:space="preserve">Typology Updates</w:t>
      </w:r>
      <w:r>
        <w:rPr/>
        <w:t xml:space="preserve"> - ML models retrained quarterly with new typology data</w:t>
      </w:r>
    </w:p>
    <w:p>
      <w:pPr>
        <w:numPr>
          <w:ilvl w:val="0"/>
          <w:numId w:val="25"/>
        </w:numPr>
        <w:spacing w:lineRule="auto"/>
      </w:pPr>
      <w:r>
        <w:rPr>
          <w:b/>
        </w:rPr>
        <w:t xml:space="preserve">Regulatory Updates</w:t>
      </w:r>
      <w:r>
        <w:rPr/>
        <w:t xml:space="preserve"> - System configuration updated within 30 days of AUSTRAC guidance changes</w:t>
      </w:r>
    </w:p>
    <w:p>
      <w:pPr>
        <w:numPr>
          <w:ilvl w:val="0"/>
          <w:numId w:val="25"/>
        </w:numPr>
        <w:spacing w:lineRule="auto"/>
      </w:pPr>
      <w:r>
        <w:rPr>
          <w:b/>
        </w:rPr>
        <w:t xml:space="preserve">Threat Intelligence</w:t>
      </w:r>
      <w:r>
        <w:rPr/>
        <w:t xml:space="preserve"> - Integration with industry threat intelligence feeds</w:t>
      </w:r>
    </w:p>
    <w:p>
      <w:pPr>
        <w:numPr>
          <w:ilvl w:val="0"/>
          <w:numId w:val="25"/>
        </w:numPr>
        <w:spacing w:lineRule="auto"/>
      </w:pPr>
      <w:r>
        <w:rPr>
          <w:b/>
        </w:rPr>
        <w:t xml:space="preserve">Peer Benchmarking</w:t>
      </w:r>
      <w:r>
        <w:rPr/>
        <w:t xml:space="preserve"> - Performance comparison with industry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7_compliance_timeline_and_impl_c11a48"/>
      <w:r>
        <w:rPr>
          <w:b/>
          <w:sz w:val="42"/>
        </w:rPr>
        <w:t xml:space="preserve">7. Compliance Timeline and Implementation Roadmap</w:t>
      </w:r>
      <w:bookmarkEnd w:id="27"/>
    </w:p>
    <w:p>
      <w:pPr>
        <w:spacing w:line="271" w:before="240" w:lineRule="auto"/>
      </w:pPr>
      <w:bookmarkStart w:id="28" w:name="bm_7_1_regulatory_deadline_consid_20c6e8"/>
      <w:r>
        <w:rPr>
          <w:b/>
          <w:sz w:val="33"/>
        </w:rPr>
        <w:t xml:space="preserve">7.1 Regulatory Deadline Considerations</w:t>
      </w:r>
      <w:bookmarkEnd w:id="2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Date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Regulatory Requirement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March 31, 2026</w:t>
            </w:r>
          </w:p>
        </w:tc>
        <w:tc>
          <w:tcPr>
            <w:tcBorders>
              <w:bottom w:val="single" w:sz="8" w:space="0" w:color="000000"/>
              <w:right w:val="single" w:sz="8" w:space="0" w:color="000000"/>
            </w:tcBorders>
            <w:vAlign w:val="top"/>
          </w:tcPr>
          <w:p>
            <w:pPr>
              <w:spacing w:lineRule="auto"/>
              <w:jc w:val="left"/>
            </w:pPr>
            <w:r>
              <w:rPr/>
              <w:t xml:space="preserve">Reformed AML/CTF obligations commence; New AML/CTF program requirements effective; Mandatory ML/TF risk assessment; Designated compliance officer requirement[45]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July 1, 2026</w:t>
            </w:r>
          </w:p>
        </w:tc>
        <w:tc>
          <w:tcPr>
            <w:tcBorders>
              <w:bottom w:val="single" w:sz="8" w:space="0" w:color="000000"/>
              <w:right w:val="single" w:sz="8" w:space="0" w:color="000000"/>
            </w:tcBorders>
            <w:vAlign w:val="top"/>
          </w:tcPr>
          <w:p>
            <w:pPr>
              <w:spacing w:lineRule="auto"/>
              <w:jc w:val="left"/>
            </w:pPr>
            <w:r>
              <w:rPr/>
              <w:t xml:space="preserve">New designated services (Tranche 2 entities) obligations commence[46]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Ongoing</w:t>
            </w:r>
          </w:p>
        </w:tc>
        <w:tc>
          <w:tcPr>
            <w:tcBorders>
              <w:bottom w:val="single" w:sz="8" w:space="0" w:color="000000"/>
              <w:right w:val="single" w:sz="8" w:space="0" w:color="000000"/>
            </w:tcBorders>
            <w:vAlign w:val="top"/>
          </w:tcPr>
          <w:p>
            <w:pPr>
              <w:spacing w:lineRule="auto"/>
              <w:jc w:val="left"/>
            </w:pPr>
            <w:r>
              <w:rPr/>
              <w:t xml:space="preserve">Pre-verification mandatory for all new customers in gaming; 7-year record retention; Suspicious matter reporting within 24 hours (TF) or 3 business days (ML)</w:t>
            </w:r>
          </w:p>
        </w:tc>
      </w:tr>
    </w:tbl>
    <w:p>
      <w:pPr>
        <w:spacing w:lineRule="auto"/>
      </w:pPr>
    </w:p>
    <w:p>
      <w:pPr>
        <w:spacing w:lineRule="auto"/>
      </w:pPr>
      <w:r>
        <w:rPr/>
        <w:t xml:space="preserve">Table 7: Key Regulatory Compliance Deadlines</w:t>
      </w:r>
    </w:p>
    <w:p>
      <w:pPr>
        <w:spacing w:line="271" w:before="240" w:lineRule="auto"/>
      </w:pPr>
      <w:bookmarkStart w:id="29" w:name="bm_7_2_recommended_implementation_phases"/>
      <w:r>
        <w:rPr>
          <w:b/>
          <w:sz w:val="33"/>
        </w:rPr>
        <w:t xml:space="preserve">7.2 Recommended Implementation Phases</w:t>
      </w:r>
      <w:bookmarkEnd w:id="29"/>
    </w:p>
    <w:p>
      <w:pPr>
        <w:spacing w:after="210" w:lineRule="auto"/>
      </w:pPr>
      <w:r>
        <w:rPr>
          <w:b/>
        </w:rPr>
        <w:t xml:space="preserve">Phase 1: Foundation (Months 1-3) - Immediate Priority</w:t>
      </w:r>
    </w:p>
    <w:p>
      <w:pPr>
        <w:numPr>
          <w:ilvl w:val="0"/>
          <w:numId w:val="26"/>
        </w:numPr>
        <w:spacing w:lineRule="auto"/>
      </w:pPr>
      <w:r>
        <w:rPr>
          <w:b/>
        </w:rPr>
        <w:t xml:space="preserve">Governance Setup</w:t>
      </w:r>
      <w:r>
        <w:rPr/>
        <w:br w:type="textWrapping"/>
      </w:r>
      <w:r>
        <w:rPr/>
        <w:t xml:space="preserve">- Appoint AML/CTF Compliance Officer</w:t>
      </w:r>
      <w:r>
        <w:rPr/>
        <w:br w:type="textWrapping"/>
      </w:r>
      <w:r>
        <w:rPr/>
        <w:t xml:space="preserve">- Establish board oversight framework</w:t>
      </w:r>
      <w:r>
        <w:rPr/>
        <w:br w:type="textWrapping"/>
      </w:r>
      <w:r>
        <w:rPr/>
        <w:t xml:space="preserve">- Engage independent auditor</w:t>
      </w:r>
    </w:p>
    <w:p>
      <w:pPr>
        <w:numPr>
          <w:ilvl w:val="0"/>
          <w:numId w:val="26"/>
        </w:numPr>
        <w:spacing w:lineRule="auto"/>
      </w:pPr>
      <w:r>
        <w:rPr>
          <w:b/>
        </w:rPr>
        <w:t xml:space="preserve">Risk Assessment</w:t>
      </w:r>
      <w:r>
        <w:rPr/>
        <w:br w:type="textWrapping"/>
      </w:r>
      <w:r>
        <w:rPr/>
        <w:t xml:space="preserve">- Conduct comprehensive ML/TF risk assessment</w:t>
      </w:r>
      <w:r>
        <w:rPr/>
        <w:br w:type="textWrapping"/>
      </w:r>
      <w:r>
        <w:rPr/>
        <w:t xml:space="preserve">- Document gaming-specific risk factors</w:t>
      </w:r>
      <w:r>
        <w:rPr/>
        <w:br w:type="textWrapping"/>
      </w:r>
      <w:r>
        <w:rPr/>
        <w:t xml:space="preserve">- Define risk appetite and tolerance</w:t>
      </w:r>
    </w:p>
    <w:p>
      <w:pPr>
        <w:numPr>
          <w:ilvl w:val="0"/>
          <w:numId w:val="26"/>
        </w:numPr>
        <w:spacing w:lineRule="auto"/>
      </w:pPr>
      <w:r>
        <w:rPr>
          <w:b/>
        </w:rPr>
        <w:t xml:space="preserve">Core Technology Procurement</w:t>
      </w:r>
      <w:r>
        <w:rPr/>
        <w:br w:type="textWrapping"/>
      </w:r>
      <w:r>
        <w:rPr/>
        <w:t xml:space="preserve">- Select and procure digital identity verification provider</w:t>
      </w:r>
      <w:r>
        <w:rPr/>
        <w:br w:type="textWrapping"/>
      </w:r>
      <w:r>
        <w:rPr/>
        <w:t xml:space="preserve">- Select transaction monitoring platform</w:t>
      </w:r>
      <w:r>
        <w:rPr/>
        <w:br w:type="textWrapping"/>
      </w:r>
      <w:r>
        <w:rPr/>
        <w:t xml:space="preserve">- Establish DVS/FVS API access (government accreditation process)</w:t>
      </w:r>
    </w:p>
    <w:p>
      <w:pPr>
        <w:numPr>
          <w:ilvl w:val="0"/>
          <w:numId w:val="26"/>
        </w:numPr>
        <w:spacing w:lineRule="auto"/>
      </w:pPr>
      <w:r>
        <w:rPr>
          <w:b/>
        </w:rPr>
        <w:t xml:space="preserve">AUSTRAC Enrolment</w:t>
      </w:r>
      <w:r>
        <w:rPr/>
        <w:br w:type="textWrapping"/>
      </w:r>
      <w:r>
        <w:rPr/>
        <w:t xml:space="preserve">- Complete enrolment as reporting entity</w:t>
      </w:r>
      <w:r>
        <w:rPr/>
        <w:br w:type="textWrapping"/>
      </w:r>
      <w:r>
        <w:rPr/>
        <w:t xml:space="preserve">- Establish AUSTRAC Online access</w:t>
      </w:r>
      <w:r>
        <w:rPr/>
        <w:br w:type="textWrapping"/>
      </w:r>
      <w:r>
        <w:rPr/>
        <w:t xml:space="preserve">- Set up API credentials</w:t>
      </w:r>
    </w:p>
    <w:p>
      <w:pPr>
        <w:spacing w:after="210" w:lineRule="auto"/>
      </w:pPr>
      <w:r>
        <w:rPr>
          <w:b/>
        </w:rPr>
        <w:t xml:space="preserve">Phase 2: Automated CDD Implementation (Months 3-6)</w:t>
      </w:r>
    </w:p>
    <w:p>
      <w:pPr>
        <w:numPr>
          <w:ilvl w:val="0"/>
          <w:numId w:val="27"/>
        </w:numPr>
        <w:spacing w:lineRule="auto"/>
      </w:pPr>
      <w:r>
        <w:rPr>
          <w:b/>
        </w:rPr>
        <w:t xml:space="preserve">Identity Verification Integration</w:t>
      </w:r>
      <w:r>
        <w:rPr/>
        <w:br w:type="textWrapping"/>
      </w:r>
      <w:r>
        <w:rPr/>
        <w:t xml:space="preserve">- Integrate DVS API for document verification</w:t>
      </w:r>
      <w:r>
        <w:rPr/>
        <w:br w:type="textWrapping"/>
      </w:r>
      <w:r>
        <w:rPr/>
        <w:t xml:space="preserve">- Integrate FVS API for biometric verification</w:t>
      </w:r>
      <w:r>
        <w:rPr/>
        <w:br w:type="textWrapping"/>
      </w:r>
      <w:r>
        <w:rPr/>
        <w:t xml:space="preserve">- Implement liveness detection</w:t>
      </w:r>
      <w:r>
        <w:rPr/>
        <w:br w:type="textWrapping"/>
      </w:r>
      <w:r>
        <w:rPr/>
        <w:t xml:space="preserve">- Integrate Digital ID provider</w:t>
      </w:r>
    </w:p>
    <w:p>
      <w:pPr>
        <w:numPr>
          <w:ilvl w:val="0"/>
          <w:numId w:val="27"/>
        </w:numPr>
        <w:spacing w:lineRule="auto"/>
      </w:pPr>
      <w:r>
        <w:rPr>
          <w:b/>
        </w:rPr>
        <w:t xml:space="preserve">PEP/Sanctions Screening</w:t>
      </w:r>
      <w:r>
        <w:rPr/>
        <w:br w:type="textWrapping"/>
      </w:r>
      <w:r>
        <w:rPr/>
        <w:t xml:space="preserve">- Integrate real-time screening API</w:t>
      </w:r>
      <w:r>
        <w:rPr/>
        <w:br w:type="textWrapping"/>
      </w:r>
      <w:r>
        <w:rPr/>
        <w:t xml:space="preserve">- Configure automated clearance workflows</w:t>
      </w:r>
      <w:r>
        <w:rPr/>
        <w:br w:type="textWrapping"/>
      </w:r>
      <w:r>
        <w:rPr/>
        <w:t xml:space="preserve">- Establish exception queues</w:t>
      </w:r>
    </w:p>
    <w:p>
      <w:pPr>
        <w:numPr>
          <w:ilvl w:val="0"/>
          <w:numId w:val="27"/>
        </w:numPr>
        <w:spacing w:lineRule="auto"/>
      </w:pPr>
      <w:r>
        <w:rPr>
          <w:b/>
        </w:rPr>
        <w:t xml:space="preserve">Risk Scoring Engine</w:t>
      </w:r>
      <w:r>
        <w:rPr/>
        <w:br w:type="textWrapping"/>
      </w:r>
      <w:r>
        <w:rPr/>
        <w:t xml:space="preserve">- Develop or configure AI risk scoring model</w:t>
      </w:r>
      <w:r>
        <w:rPr/>
        <w:br w:type="textWrapping"/>
      </w:r>
      <w:r>
        <w:rPr/>
        <w:t xml:space="preserve">- Define risk level thresholds</w:t>
      </w:r>
      <w:r>
        <w:rPr/>
        <w:br w:type="textWrapping"/>
      </w:r>
      <w:r>
        <w:rPr/>
        <w:t xml:space="preserve">- Implement simplified/standard/enhanced CDD routing</w:t>
      </w:r>
    </w:p>
    <w:p>
      <w:pPr>
        <w:numPr>
          <w:ilvl w:val="0"/>
          <w:numId w:val="27"/>
        </w:numPr>
        <w:spacing w:lineRule="auto"/>
      </w:pPr>
      <w:r>
        <w:rPr>
          <w:b/>
        </w:rPr>
        <w:t xml:space="preserve">Customer Onboarding Workflow</w:t>
      </w:r>
      <w:r>
        <w:rPr/>
        <w:br w:type="textWrapping"/>
      </w:r>
      <w:r>
        <w:rPr/>
        <w:t xml:space="preserve">- Build end-to-end automated onboarding flow</w:t>
      </w:r>
      <w:r>
        <w:rPr/>
        <w:br w:type="textWrapping"/>
      </w:r>
      <w:r>
        <w:rPr/>
        <w:t xml:space="preserve">- Implement exception handling queues</w:t>
      </w:r>
      <w:r>
        <w:rPr/>
        <w:br w:type="textWrapping"/>
      </w:r>
      <w:r>
        <w:rPr/>
        <w:t xml:space="preserve">- User acceptance testing with gaming venue partners</w:t>
      </w:r>
    </w:p>
    <w:p>
      <w:pPr>
        <w:spacing w:after="210" w:lineRule="auto"/>
      </w:pPr>
      <w:r>
        <w:rPr>
          <w:b/>
        </w:rPr>
        <w:t xml:space="preserve">Phase 3: Transaction Monitoring Deployment (Months 6-9)</w:t>
      </w:r>
    </w:p>
    <w:p>
      <w:pPr>
        <w:numPr>
          <w:ilvl w:val="0"/>
          <w:numId w:val="28"/>
        </w:numPr>
        <w:spacing w:lineRule="auto"/>
      </w:pPr>
      <w:r>
        <w:rPr>
          <w:b/>
        </w:rPr>
        <w:t xml:space="preserve">Monitoring Platform Configuration</w:t>
      </w:r>
      <w:r>
        <w:rPr/>
        <w:br w:type="textWrapping"/>
      </w:r>
      <w:r>
        <w:rPr/>
        <w:t xml:space="preserve">- Deploy transaction monitoring software</w:t>
      </w:r>
      <w:r>
        <w:rPr/>
        <w:br w:type="textWrapping"/>
      </w:r>
      <w:r>
        <w:rPr/>
        <w:t xml:space="preserve">- Configure rules for gaming-specific typologies</w:t>
      </w:r>
      <w:r>
        <w:rPr/>
        <w:br w:type="textWrapping"/>
      </w:r>
      <w:r>
        <w:rPr/>
        <w:t xml:space="preserve">- Train ML models on historical data</w:t>
      </w:r>
    </w:p>
    <w:p>
      <w:pPr>
        <w:numPr>
          <w:ilvl w:val="0"/>
          <w:numId w:val="28"/>
        </w:numPr>
        <w:spacing w:lineRule="auto"/>
      </w:pPr>
      <w:r>
        <w:rPr>
          <w:b/>
        </w:rPr>
        <w:t xml:space="preserve">Real-Time Integration</w:t>
      </w:r>
      <w:r>
        <w:rPr/>
        <w:br w:type="textWrapping"/>
      </w:r>
      <w:r>
        <w:rPr/>
        <w:t xml:space="preserve">- Integrate payment processing systems with monitoring platform</w:t>
      </w:r>
      <w:r>
        <w:rPr/>
        <w:br w:type="textWrapping"/>
      </w:r>
      <w:r>
        <w:rPr/>
        <w:t xml:space="preserve">- Implement real-time alert generation</w:t>
      </w:r>
      <w:r>
        <w:rPr/>
        <w:br w:type="textWrapping"/>
      </w:r>
      <w:r>
        <w:rPr/>
        <w:t xml:space="preserve">- Configure alert prioritization and triage</w:t>
      </w:r>
    </w:p>
    <w:p>
      <w:pPr>
        <w:numPr>
          <w:ilvl w:val="0"/>
          <w:numId w:val="28"/>
        </w:numPr>
        <w:spacing w:lineRule="auto"/>
      </w:pPr>
      <w:r>
        <w:rPr>
          <w:b/>
        </w:rPr>
        <w:t xml:space="preserve">Alert Management Workflow</w:t>
      </w:r>
      <w:r>
        <w:rPr/>
        <w:br w:type="textWrapping"/>
      </w:r>
      <w:r>
        <w:rPr/>
        <w:t xml:space="preserve">- Deploy case management system</w:t>
      </w:r>
      <w:r>
        <w:rPr/>
        <w:br w:type="textWrapping"/>
      </w:r>
      <w:r>
        <w:rPr/>
        <w:t xml:space="preserve">- Build analyst investigation workflows</w:t>
      </w:r>
      <w:r>
        <w:rPr/>
        <w:br w:type="textWrapping"/>
      </w:r>
      <w:r>
        <w:rPr/>
        <w:t xml:space="preserve">- Implement SMR pre-population and generation</w:t>
      </w:r>
    </w:p>
    <w:p>
      <w:pPr>
        <w:numPr>
          <w:ilvl w:val="0"/>
          <w:numId w:val="28"/>
        </w:numPr>
        <w:spacing w:lineRule="auto"/>
      </w:pPr>
      <w:r>
        <w:rPr>
          <w:b/>
        </w:rPr>
        <w:t xml:space="preserve">False Positive Reduction</w:t>
      </w:r>
      <w:r>
        <w:rPr/>
        <w:br w:type="textWrapping"/>
      </w:r>
      <w:r>
        <w:rPr/>
        <w:t xml:space="preserve">- Deploy AI-driven false positive reduction</w:t>
      </w:r>
      <w:r>
        <w:rPr/>
        <w:br w:type="textWrapping"/>
      </w:r>
      <w:r>
        <w:rPr/>
        <w:t xml:space="preserve">- Continuous learning from analyst feedback</w:t>
      </w:r>
      <w:r>
        <w:rPr/>
        <w:br w:type="textWrapping"/>
      </w:r>
      <w:r>
        <w:rPr/>
        <w:t xml:space="preserve">- Performance tuning</w:t>
      </w:r>
    </w:p>
    <w:p>
      <w:pPr>
        <w:spacing w:after="210" w:lineRule="auto"/>
      </w:pPr>
      <w:r>
        <w:rPr>
          <w:b/>
        </w:rPr>
        <w:t xml:space="preserve">Phase 4: Reporting Automation (Months 9-12)</w:t>
      </w:r>
    </w:p>
    <w:p>
      <w:pPr>
        <w:numPr>
          <w:ilvl w:val="0"/>
          <w:numId w:val="29"/>
        </w:numPr>
        <w:spacing w:lineRule="auto"/>
      </w:pPr>
      <w:r>
        <w:rPr>
          <w:b/>
        </w:rPr>
        <w:t xml:space="preserve">TTR/IFTI Automation</w:t>
      </w:r>
      <w:r>
        <w:rPr/>
        <w:br w:type="textWrapping"/>
      </w:r>
      <w:r>
        <w:rPr/>
        <w:t xml:space="preserve">- Implement automated threshold detection</w:t>
      </w:r>
      <w:r>
        <w:rPr/>
        <w:br w:type="textWrapping"/>
      </w:r>
      <w:r>
        <w:rPr/>
        <w:t xml:space="preserve">- Integrate AUSTRAC Online API for report submission</w:t>
      </w:r>
      <w:r>
        <w:rPr/>
        <w:br w:type="textWrapping"/>
      </w:r>
      <w:r>
        <w:rPr/>
        <w:t xml:space="preserve">- Automate report generation and filing</w:t>
      </w:r>
    </w:p>
    <w:p>
      <w:pPr>
        <w:numPr>
          <w:ilvl w:val="0"/>
          <w:numId w:val="29"/>
        </w:numPr>
        <w:spacing w:lineRule="auto"/>
      </w:pPr>
      <w:r>
        <w:rPr>
          <w:b/>
        </w:rPr>
        <w:t xml:space="preserve">SMR Semi-Automation</w:t>
      </w:r>
      <w:r>
        <w:rPr/>
        <w:br w:type="textWrapping"/>
      </w:r>
      <w:r>
        <w:rPr/>
        <w:t xml:space="preserve">- Implement GenAI narrative generation</w:t>
      </w:r>
      <w:r>
        <w:rPr/>
        <w:br w:type="textWrapping"/>
      </w:r>
      <w:r>
        <w:rPr/>
        <w:t xml:space="preserve">- Build analyst review and approval workflow</w:t>
      </w:r>
      <w:r>
        <w:rPr/>
        <w:br w:type="textWrapping"/>
      </w:r>
      <w:r>
        <w:rPr/>
        <w:t xml:space="preserve">- Integrate SMR submission to AUSTRAC</w:t>
      </w:r>
    </w:p>
    <w:p>
      <w:pPr>
        <w:numPr>
          <w:ilvl w:val="0"/>
          <w:numId w:val="29"/>
        </w:numPr>
        <w:spacing w:lineRule="auto"/>
      </w:pPr>
      <w:r>
        <w:rPr>
          <w:b/>
        </w:rPr>
        <w:t xml:space="preserve">Compliance Reporting</w:t>
      </w:r>
      <w:r>
        <w:rPr/>
        <w:br w:type="textWrapping"/>
      </w:r>
      <w:r>
        <w:rPr/>
        <w:t xml:space="preserve">- Automate compliance metrics collection</w:t>
      </w:r>
      <w:r>
        <w:rPr/>
        <w:br w:type="textWrapping"/>
      </w:r>
      <w:r>
        <w:rPr/>
        <w:t xml:space="preserve">- Build annual compliance report generation</w:t>
      </w:r>
      <w:r>
        <w:rPr/>
        <w:br w:type="textWrapping"/>
      </w:r>
      <w:r>
        <w:rPr/>
        <w:t xml:space="preserve">- Dashboard for board and regulator reporting</w:t>
      </w:r>
    </w:p>
    <w:p>
      <w:pPr>
        <w:spacing w:after="210" w:lineRule="auto"/>
      </w:pPr>
      <w:r>
        <w:rPr>
          <w:b/>
        </w:rPr>
        <w:t xml:space="preserve">Phase 5: Optimization and Governance (Months 12+)</w:t>
      </w:r>
    </w:p>
    <w:p>
      <w:pPr>
        <w:numPr>
          <w:ilvl w:val="0"/>
          <w:numId w:val="30"/>
        </w:numPr>
        <w:spacing w:lineRule="auto"/>
      </w:pPr>
      <w:r>
        <w:rPr>
          <w:b/>
        </w:rPr>
        <w:t xml:space="preserve">Independent Review</w:t>
      </w:r>
      <w:r>
        <w:rPr/>
        <w:br w:type="textWrapping"/>
      </w:r>
      <w:r>
        <w:rPr/>
        <w:t xml:space="preserve">- Conduct first independent AML/CTF program review</w:t>
      </w:r>
      <w:r>
        <w:rPr/>
        <w:br w:type="textWrapping"/>
      </w:r>
      <w:r>
        <w:rPr/>
        <w:t xml:space="preserve">- Implement review recommendations</w:t>
      </w:r>
    </w:p>
    <w:p>
      <w:pPr>
        <w:numPr>
          <w:ilvl w:val="0"/>
          <w:numId w:val="30"/>
        </w:numPr>
        <w:spacing w:lineRule="auto"/>
      </w:pPr>
      <w:r>
        <w:rPr>
          <w:b/>
        </w:rPr>
        <w:t xml:space="preserve">Model Governance</w:t>
      </w:r>
      <w:r>
        <w:rPr/>
        <w:br w:type="textWrapping"/>
      </w:r>
      <w:r>
        <w:rPr/>
        <w:t xml:space="preserve">- Establish ongoing model validation process</w:t>
      </w:r>
      <w:r>
        <w:rPr/>
        <w:br w:type="textWrapping"/>
      </w:r>
      <w:r>
        <w:rPr/>
        <w:t xml:space="preserve">- Monthly performance monitoring</w:t>
      </w:r>
      <w:r>
        <w:rPr/>
        <w:br w:type="textWrapping"/>
      </w:r>
      <w:r>
        <w:rPr/>
        <w:t xml:space="preserve">- Quarterly model retraining</w:t>
      </w:r>
    </w:p>
    <w:p>
      <w:pPr>
        <w:numPr>
          <w:ilvl w:val="0"/>
          <w:numId w:val="30"/>
        </w:numPr>
        <w:spacing w:lineRule="auto"/>
      </w:pPr>
      <w:r>
        <w:rPr>
          <w:b/>
        </w:rPr>
        <w:t xml:space="preserve">Continuous Improvement</w:t>
      </w:r>
      <w:r>
        <w:rPr/>
        <w:br w:type="textWrapping"/>
      </w:r>
      <w:r>
        <w:rPr/>
        <w:t xml:space="preserve">- Analyze false positive/negative rates</w:t>
      </w:r>
      <w:r>
        <w:rPr/>
        <w:br w:type="textWrapping"/>
      </w:r>
      <w:r>
        <w:rPr/>
        <w:t xml:space="preserve">- Optimize alert thresholds</w:t>
      </w:r>
      <w:r>
        <w:rPr/>
        <w:br w:type="textWrapping"/>
      </w:r>
      <w:r>
        <w:rPr/>
        <w:t xml:space="preserve">- Incorporate regulatory feedback</w:t>
      </w:r>
      <w:r>
        <w:rPr/>
        <w:br w:type="textWrapping"/>
      </w:r>
      <w:r>
        <w:rPr/>
        <w:t xml:space="preserve">- Update for new typologies and threats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8_cost_benefit_analysis"/>
      <w:r>
        <w:rPr>
          <w:b/>
          <w:sz w:val="42"/>
        </w:rPr>
        <w:t xml:space="preserve">8. Cost-Benefit Analysis</w:t>
      </w:r>
      <w:bookmarkEnd w:id="30"/>
    </w:p>
    <w:p>
      <w:pPr>
        <w:spacing w:line="271" w:before="240" w:lineRule="auto"/>
      </w:pPr>
      <w:bookmarkStart w:id="31" w:name="bm_8_1_implementation_costs_estimated"/>
      <w:r>
        <w:rPr>
          <w:b/>
          <w:sz w:val="33"/>
        </w:rPr>
        <w:t xml:space="preserve">8.1 Implementation Costs (Estimated)</w:t>
      </w:r>
      <w:bookmarkEnd w:id="31"/>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Cost Category</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Estimated Cost (AUD)</w:t>
            </w:r>
          </w:p>
        </w:tc>
      </w:tr>
      <w:tr>
        <w:trPr>
          <w:cantSplit/>
        </w:trPr>
        <w:tc>
          <w:tcPr>
            <w:tcBorders>
              <w:left w:val="single" w:sz="8" w:space="0" w:color="000000"/>
              <w:right w:val="single" w:sz="8" w:space="0" w:color="000000"/>
            </w:tcBorders>
            <w:vAlign w:val="center"/>
          </w:tcPr>
          <w:p>
            <w:pPr>
              <w:spacing w:lineRule="auto"/>
              <w:jc w:val="left"/>
            </w:pPr>
            <w:r>
              <w:rPr>
                <w:b/>
              </w:rPr>
              <w:t xml:space="preserve">Technology:</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Digital Identity Verification Platform</w:t>
            </w:r>
          </w:p>
        </w:tc>
        <w:tc>
          <w:tcPr>
            <w:tcBorders>
              <w:right w:val="single" w:sz="8" w:space="0" w:color="000000"/>
            </w:tcBorders>
            <w:vAlign w:val="center"/>
          </w:tcPr>
          <w:p>
            <w:pPr>
              <w:spacing w:lineRule="auto"/>
              <w:jc w:val="right"/>
            </w:pPr>
            <w:r>
              <w:rPr/>
              <w:t xml:space="preserve">$50,000 - $150,000/year</w:t>
            </w:r>
          </w:p>
        </w:tc>
      </w:tr>
      <w:tr>
        <w:trPr>
          <w:cantSplit/>
        </w:trPr>
        <w:tc>
          <w:tcPr>
            <w:tcBorders>
              <w:left w:val="single" w:sz="8" w:space="0" w:color="000000"/>
              <w:right w:val="single" w:sz="8" w:space="0" w:color="000000"/>
            </w:tcBorders>
            <w:vAlign w:val="center"/>
          </w:tcPr>
          <w:p>
            <w:pPr>
              <w:spacing w:lineRule="auto"/>
              <w:jc w:val="left"/>
            </w:pPr>
            <w:r>
              <w:rPr/>
              <w:t xml:space="preserve">Transaction Monitoring Platform</w:t>
            </w:r>
          </w:p>
        </w:tc>
        <w:tc>
          <w:tcPr>
            <w:tcBorders>
              <w:right w:val="single" w:sz="8" w:space="0" w:color="000000"/>
            </w:tcBorders>
            <w:vAlign w:val="center"/>
          </w:tcPr>
          <w:p>
            <w:pPr>
              <w:spacing w:lineRule="auto"/>
              <w:jc w:val="right"/>
            </w:pPr>
            <w:r>
              <w:rPr/>
              <w:t xml:space="preserve">$100,000 - $300,000/year</w:t>
            </w:r>
          </w:p>
        </w:tc>
      </w:tr>
      <w:tr>
        <w:trPr>
          <w:cantSplit/>
        </w:trPr>
        <w:tc>
          <w:tcPr>
            <w:tcBorders>
              <w:left w:val="single" w:sz="8" w:space="0" w:color="000000"/>
              <w:right w:val="single" w:sz="8" w:space="0" w:color="000000"/>
            </w:tcBorders>
            <w:vAlign w:val="center"/>
          </w:tcPr>
          <w:p>
            <w:pPr>
              <w:spacing w:lineRule="auto"/>
              <w:jc w:val="left"/>
            </w:pPr>
            <w:r>
              <w:rPr/>
              <w:t xml:space="preserve">Case Management System</w:t>
            </w:r>
          </w:p>
        </w:tc>
        <w:tc>
          <w:tcPr>
            <w:tcBorders>
              <w:right w:val="single" w:sz="8" w:space="0" w:color="000000"/>
            </w:tcBorders>
            <w:vAlign w:val="center"/>
          </w:tcPr>
          <w:p>
            <w:pPr>
              <w:spacing w:lineRule="auto"/>
              <w:jc w:val="right"/>
            </w:pPr>
            <w:r>
              <w:rPr/>
              <w:t xml:space="preserve">$30,000 - $80,000/year</w:t>
            </w:r>
          </w:p>
        </w:tc>
      </w:tr>
      <w:tr>
        <w:trPr>
          <w:cantSplit/>
        </w:trPr>
        <w:tc>
          <w:tcPr>
            <w:tcBorders>
              <w:left w:val="single" w:sz="8" w:space="0" w:color="000000"/>
              <w:right w:val="single" w:sz="8" w:space="0" w:color="000000"/>
            </w:tcBorders>
            <w:vAlign w:val="center"/>
          </w:tcPr>
          <w:p>
            <w:pPr>
              <w:spacing w:lineRule="auto"/>
              <w:jc w:val="left"/>
            </w:pPr>
            <w:r>
              <w:rPr/>
              <w:t xml:space="preserve">PEP/Sanctions Screening</w:t>
            </w:r>
          </w:p>
        </w:tc>
        <w:tc>
          <w:tcPr>
            <w:tcBorders>
              <w:right w:val="single" w:sz="8" w:space="0" w:color="000000"/>
            </w:tcBorders>
            <w:vAlign w:val="center"/>
          </w:tcPr>
          <w:p>
            <w:pPr>
              <w:spacing w:lineRule="auto"/>
              <w:jc w:val="right"/>
            </w:pPr>
            <w:r>
              <w:rPr/>
              <w:t xml:space="preserve">$20,000 - $60,000/year</w:t>
            </w:r>
          </w:p>
        </w:tc>
      </w:tr>
      <w:tr>
        <w:trPr>
          <w:cantSplit/>
        </w:trPr>
        <w:tc>
          <w:tcPr>
            <w:tcBorders>
              <w:left w:val="single" w:sz="8" w:space="0" w:color="000000"/>
              <w:right w:val="single" w:sz="8" w:space="0" w:color="000000"/>
            </w:tcBorders>
            <w:vAlign w:val="center"/>
          </w:tcPr>
          <w:p>
            <w:pPr>
              <w:spacing w:lineRule="auto"/>
              <w:jc w:val="left"/>
            </w:pPr>
            <w:r>
              <w:rPr/>
              <w:t xml:space="preserve">DVS/FVS API Integration</w:t>
            </w:r>
          </w:p>
        </w:tc>
        <w:tc>
          <w:tcPr>
            <w:tcBorders>
              <w:right w:val="single" w:sz="8" w:space="0" w:color="000000"/>
            </w:tcBorders>
            <w:vAlign w:val="center"/>
          </w:tcPr>
          <w:p>
            <w:pPr>
              <w:spacing w:lineRule="auto"/>
              <w:jc w:val="right"/>
            </w:pPr>
            <w:r>
              <w:rPr/>
              <w:t xml:space="preserve">$10,000 - $30,000 (one-time)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Custom Development and Integration</w:t>
            </w:r>
          </w:p>
        </w:tc>
        <w:tc>
          <w:tcPr>
            <w:tcBorders>
              <w:bottom w:val="single" w:sz="8" w:space="0" w:color="000000"/>
              <w:right w:val="single" w:sz="8" w:space="0" w:color="000000"/>
            </w:tcBorders>
            <w:vAlign w:val="center"/>
          </w:tcPr>
          <w:p>
            <w:pPr>
              <w:spacing w:lineRule="auto"/>
              <w:jc w:val="right"/>
            </w:pPr>
            <w:r>
              <w:rPr/>
              <w:t xml:space="preserve">$150,000 - $400,000 (one-time)</w:t>
            </w:r>
          </w:p>
        </w:tc>
      </w:tr>
      <w:tr>
        <w:trPr>
          <w:cantSplit/>
        </w:trPr>
        <w:tc>
          <w:tcPr>
            <w:tcBorders>
              <w:left w:val="single" w:sz="8" w:space="0" w:color="000000"/>
              <w:right w:val="single" w:sz="8" w:space="0" w:color="000000"/>
            </w:tcBorders>
            <w:vAlign w:val="center"/>
          </w:tcPr>
          <w:p>
            <w:pPr>
              <w:spacing w:lineRule="auto"/>
              <w:jc w:val="left"/>
            </w:pPr>
            <w:r>
              <w:rPr>
                <w:b/>
              </w:rPr>
              <w:t xml:space="preserve">Human Resources:</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Compliance Officer (1 FTE)</w:t>
            </w:r>
          </w:p>
        </w:tc>
        <w:tc>
          <w:tcPr>
            <w:tcBorders>
              <w:right w:val="single" w:sz="8" w:space="0" w:color="000000"/>
            </w:tcBorders>
            <w:vAlign w:val="center"/>
          </w:tcPr>
          <w:p>
            <w:pPr>
              <w:spacing w:lineRule="auto"/>
              <w:jc w:val="right"/>
            </w:pPr>
            <w:r>
              <w:rPr/>
              <w:t xml:space="preserve">$150,000 - $200,000/year</w:t>
            </w:r>
          </w:p>
        </w:tc>
      </w:tr>
      <w:tr>
        <w:trPr>
          <w:cantSplit/>
        </w:trPr>
        <w:tc>
          <w:tcPr>
            <w:tcBorders>
              <w:left w:val="single" w:sz="8" w:space="0" w:color="000000"/>
              <w:right w:val="single" w:sz="8" w:space="0" w:color="000000"/>
            </w:tcBorders>
            <w:vAlign w:val="center"/>
          </w:tcPr>
          <w:p>
            <w:pPr>
              <w:spacing w:lineRule="auto"/>
              <w:jc w:val="left"/>
            </w:pPr>
            <w:r>
              <w:rPr/>
              <w:t xml:space="preserve">Senior Analyst (1-2 FTE)</w:t>
            </w:r>
          </w:p>
        </w:tc>
        <w:tc>
          <w:tcPr>
            <w:tcBorders>
              <w:right w:val="single" w:sz="8" w:space="0" w:color="000000"/>
            </w:tcBorders>
            <w:vAlign w:val="center"/>
          </w:tcPr>
          <w:p>
            <w:pPr>
              <w:spacing w:lineRule="auto"/>
              <w:jc w:val="right"/>
            </w:pPr>
            <w:r>
              <w:rPr/>
              <w:t xml:space="preserve">$120,000 - $160,000/year each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Junior Analysts (3-5 FTE)</w:t>
            </w:r>
          </w:p>
        </w:tc>
        <w:tc>
          <w:tcPr>
            <w:tcBorders>
              <w:bottom w:val="single" w:sz="8" w:space="0" w:color="000000"/>
              <w:right w:val="single" w:sz="8" w:space="0" w:color="000000"/>
            </w:tcBorders>
            <w:vAlign w:val="center"/>
          </w:tcPr>
          <w:p>
            <w:pPr>
              <w:spacing w:lineRule="auto"/>
              <w:jc w:val="right"/>
            </w:pPr>
            <w:r>
              <w:rPr/>
              <w:t xml:space="preserve">$70,000 - $90,000/year each</w:t>
            </w:r>
          </w:p>
        </w:tc>
      </w:tr>
      <w:tr>
        <w:trPr>
          <w:cantSplit/>
        </w:trPr>
        <w:tc>
          <w:tcPr>
            <w:tcBorders>
              <w:left w:val="single" w:sz="8" w:space="0" w:color="000000"/>
              <w:right w:val="single" w:sz="8" w:space="0" w:color="000000"/>
            </w:tcBorders>
            <w:vAlign w:val="center"/>
          </w:tcPr>
          <w:p>
            <w:pPr>
              <w:spacing w:lineRule="auto"/>
              <w:jc w:val="left"/>
            </w:pPr>
            <w:r>
              <w:rPr>
                <w:b/>
              </w:rPr>
              <w:t xml:space="preserve">Governance:</w:t>
            </w: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pPr>
              <w:spacing w:lineRule="auto"/>
              <w:jc w:val="left"/>
            </w:pPr>
            <w:r>
              <w:rPr/>
              <w:t xml:space="preserve">Independent Annual Review</w:t>
            </w:r>
          </w:p>
        </w:tc>
        <w:tc>
          <w:tcPr>
            <w:tcBorders>
              <w:right w:val="single" w:sz="8" w:space="0" w:color="000000"/>
            </w:tcBorders>
            <w:vAlign w:val="center"/>
          </w:tcPr>
          <w:p>
            <w:pPr>
              <w:spacing w:lineRule="auto"/>
              <w:jc w:val="right"/>
            </w:pPr>
            <w:r>
              <w:rPr/>
              <w:t xml:space="preserve">$30,000 - $80,000/year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Model Validation</w:t>
            </w:r>
          </w:p>
        </w:tc>
        <w:tc>
          <w:tcPr>
            <w:tcBorders>
              <w:bottom w:val="single" w:sz="8" w:space="0" w:color="000000"/>
              <w:right w:val="single" w:sz="8" w:space="0" w:color="000000"/>
            </w:tcBorders>
            <w:vAlign w:val="center"/>
          </w:tcPr>
          <w:p>
            <w:pPr>
              <w:spacing w:lineRule="auto"/>
              <w:jc w:val="right"/>
            </w:pPr>
            <w:r>
              <w:rPr/>
              <w:t xml:space="preserve">$20,000 - $50,000/year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Training and Change Management</w:t>
            </w:r>
          </w:p>
        </w:tc>
        <w:tc>
          <w:tcPr>
            <w:tcBorders>
              <w:bottom w:val="single" w:sz="8" w:space="0" w:color="000000"/>
              <w:right w:val="single" w:sz="8" w:space="0" w:color="000000"/>
            </w:tcBorders>
            <w:vAlign w:val="center"/>
          </w:tcPr>
          <w:p>
            <w:pPr>
              <w:spacing w:lineRule="auto"/>
              <w:jc w:val="right"/>
            </w:pPr>
            <w:r>
              <w:rPr/>
              <w:t xml:space="preserve">$50,000 - $100,000 (one-time)</w:t>
            </w:r>
          </w:p>
        </w:tc>
      </w:tr>
      <w:tr>
        <w:trPr>
          <w:cantSplit/>
        </w:trPr>
        <w:tc>
          <w:tcPr>
            <w:tcBorders>
              <w:left w:val="single" w:sz="8" w:space="0" w:color="000000"/>
              <w:right w:val="single" w:sz="8" w:space="0" w:color="000000"/>
            </w:tcBorders>
            <w:vAlign w:val="center"/>
          </w:tcPr>
          <w:p>
            <w:pPr>
              <w:spacing w:lineRule="auto"/>
              <w:jc w:val="left"/>
            </w:pPr>
            <w:r>
              <w:rPr>
                <w:b/>
              </w:rPr>
              <w:t xml:space="preserve">Total Year 1 (Implementation + Operations):</w:t>
            </w:r>
          </w:p>
        </w:tc>
        <w:tc>
          <w:tcPr>
            <w:tcBorders>
              <w:right w:val="single" w:sz="8" w:space="0" w:color="000000"/>
            </w:tcBorders>
            <w:vAlign w:val="center"/>
          </w:tcPr>
          <w:p>
            <w:pPr>
              <w:spacing w:lineRule="auto"/>
              <w:jc w:val="right"/>
            </w:pPr>
            <w:r>
              <w:rPr/>
              <w:t xml:space="preserve">$1,000,000 - $2,200,000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Ongoing Annual (Years 2+):</w:t>
            </w:r>
          </w:p>
        </w:tc>
        <w:tc>
          <w:tcPr>
            <w:tcBorders>
              <w:bottom w:val="single" w:sz="8" w:space="0" w:color="000000"/>
              <w:right w:val="single" w:sz="8" w:space="0" w:color="000000"/>
            </w:tcBorders>
            <w:vAlign w:val="center"/>
          </w:tcPr>
          <w:p>
            <w:pPr>
              <w:spacing w:lineRule="auto"/>
              <w:jc w:val="right"/>
            </w:pPr>
            <w:r>
              <w:rPr/>
              <w:t xml:space="preserve">$650,000 - $1,200,000</w:t>
            </w:r>
          </w:p>
        </w:tc>
      </w:tr>
    </w:tbl>
    <w:p>
      <w:pPr>
        <w:spacing w:lineRule="auto"/>
      </w:pPr>
    </w:p>
    <w:p>
      <w:pPr>
        <w:spacing w:lineRule="auto"/>
      </w:pPr>
      <w:r>
        <w:rPr/>
        <w:t xml:space="preserve">Table 8: Estimated Implementation and Operating Costs</w:t>
      </w:r>
    </w:p>
    <w:p>
      <w:pPr>
        <w:spacing w:line="271" w:before="240" w:lineRule="auto"/>
      </w:pPr>
      <w:bookmarkStart w:id="32" w:name="bm_8_2_benefits_and_risk_mitigation"/>
      <w:r>
        <w:rPr>
          <w:b/>
          <w:sz w:val="33"/>
        </w:rPr>
        <w:t xml:space="preserve">8.2 Benefits and Risk Mitigation</w:t>
      </w:r>
      <w:bookmarkEnd w:id="32"/>
    </w:p>
    <w:p>
      <w:pPr>
        <w:spacing w:after="210" w:lineRule="auto"/>
      </w:pPr>
      <w:r>
        <w:rPr>
          <w:b/>
        </w:rPr>
        <w:t xml:space="preserve">Quantifiable Benefits:</w:t>
      </w:r>
    </w:p>
    <w:p>
      <w:pPr>
        <w:numPr>
          <w:ilvl w:val="0"/>
          <w:numId w:val="31"/>
        </w:numPr>
        <w:spacing w:lineRule="auto"/>
      </w:pPr>
      <w:r>
        <w:rPr>
          <w:b/>
        </w:rPr>
        <w:t xml:space="preserve">Labor Cost Savings</w:t>
      </w:r>
      <w:r>
        <w:rPr/>
        <w:t xml:space="preserve"> - 85-92% automation vs. fully manual approach saves approximately 15-25 FTE ($1.2M - $2.5M annually)</w:t>
      </w:r>
    </w:p>
    <w:p>
      <w:pPr>
        <w:numPr>
          <w:ilvl w:val="0"/>
          <w:numId w:val="31"/>
        </w:numPr>
        <w:spacing w:lineRule="auto"/>
      </w:pPr>
      <w:r>
        <w:rPr>
          <w:b/>
        </w:rPr>
        <w:t xml:space="preserve">Faster Customer Onboarding</w:t>
      </w:r>
      <w:r>
        <w:rPr/>
        <w:t xml:space="preserve"> - Reduced onboarding time from days to minutes, improving customer experience and venue partner retention</w:t>
      </w:r>
    </w:p>
    <w:p>
      <w:pPr>
        <w:numPr>
          <w:ilvl w:val="0"/>
          <w:numId w:val="31"/>
        </w:numPr>
        <w:spacing w:lineRule="auto"/>
      </w:pPr>
      <w:r>
        <w:rPr>
          <w:b/>
        </w:rPr>
        <w:t xml:space="preserve">Reduced False Positives</w:t>
      </w:r>
      <w:r>
        <w:rPr/>
        <w:t xml:space="preserve"> - AI-driven triage reduces analyst workload by 60-70%, enabling focus on genuine risks[47]</w:t>
      </w:r>
    </w:p>
    <w:p>
      <w:pPr>
        <w:numPr>
          <w:ilvl w:val="0"/>
          <w:numId w:val="31"/>
        </w:numPr>
        <w:spacing w:lineRule="auto"/>
      </w:pPr>
      <w:r>
        <w:rPr>
          <w:b/>
        </w:rPr>
        <w:t xml:space="preserve">Scalability</w:t>
      </w:r>
      <w:r>
        <w:rPr/>
        <w:t xml:space="preserve"> - Automated system handles transaction volume growth with minimal cost increase</w:t>
      </w:r>
    </w:p>
    <w:p>
      <w:pPr>
        <w:spacing w:after="210" w:lineRule="auto"/>
      </w:pPr>
      <w:r>
        <w:rPr>
          <w:b/>
        </w:rPr>
        <w:t xml:space="preserve">Risk Mitigation Benefits:</w:t>
      </w:r>
    </w:p>
    <w:p>
      <w:pPr>
        <w:numPr>
          <w:ilvl w:val="0"/>
          <w:numId w:val="32"/>
        </w:numPr>
        <w:spacing w:lineRule="auto"/>
      </w:pPr>
      <w:r>
        <w:rPr>
          <w:b/>
        </w:rPr>
        <w:t xml:space="preserve">Regulatory Compliance</w:t>
      </w:r>
      <w:r>
        <w:rPr/>
        <w:t xml:space="preserve"> - Reduced risk of AUSTRAC enforcement action and civil penalties (up to $22M per contravention)</w:t>
      </w:r>
    </w:p>
    <w:p>
      <w:pPr>
        <w:numPr>
          <w:ilvl w:val="0"/>
          <w:numId w:val="32"/>
        </w:numPr>
        <w:spacing w:lineRule="auto"/>
      </w:pPr>
      <w:r>
        <w:rPr>
          <w:b/>
        </w:rPr>
        <w:t xml:space="preserve">Reputation Protection</w:t>
      </w:r>
      <w:r>
        <w:rPr/>
        <w:t xml:space="preserve"> - Avoidance of public enforcement actions and reputational damage</w:t>
      </w:r>
    </w:p>
    <w:p>
      <w:pPr>
        <w:numPr>
          <w:ilvl w:val="0"/>
          <w:numId w:val="32"/>
        </w:numPr>
        <w:spacing w:lineRule="auto"/>
      </w:pPr>
      <w:r>
        <w:rPr>
          <w:b/>
        </w:rPr>
        <w:t xml:space="preserve">Financial Crime Prevention</w:t>
      </w:r>
      <w:r>
        <w:rPr/>
        <w:t xml:space="preserve"> - Enhanced detection reduces ML/TF exploitation risk</w:t>
      </w:r>
    </w:p>
    <w:p>
      <w:pPr>
        <w:numPr>
          <w:ilvl w:val="0"/>
          <w:numId w:val="32"/>
        </w:numPr>
        <w:spacing w:lineRule="auto"/>
      </w:pPr>
      <w:r>
        <w:rPr>
          <w:b/>
        </w:rPr>
        <w:t xml:space="preserve">Operational Resilience</w:t>
      </w:r>
      <w:r>
        <w:rPr/>
        <w:t xml:space="preserve"> - Reduced dependence on manual processes and human error</w:t>
      </w:r>
    </w:p>
    <w:p>
      <w:pPr>
        <w:spacing w:line="271" w:before="240" w:lineRule="auto"/>
      </w:pPr>
      <w:bookmarkStart w:id="33" w:name="bm_8_3_return_on_investment"/>
      <w:r>
        <w:rPr>
          <w:b/>
          <w:sz w:val="33"/>
        </w:rPr>
        <w:t xml:space="preserve">8.3 Return on Investment</w:t>
      </w:r>
      <w:bookmarkEnd w:id="33"/>
    </w:p>
    <w:p>
      <w:pPr>
        <w:spacing w:after="210" w:lineRule="auto"/>
      </w:pPr>
      <w:r>
        <w:rPr>
          <w:b/>
        </w:rPr>
        <w:t xml:space="preserve">Break-Even Analysis:</w:t>
      </w:r>
    </w:p>
    <w:p>
      <w:pPr>
        <w:spacing w:after="210" w:lineRule="auto"/>
      </w:pPr>
      <w:r>
        <w:rPr/>
        <w:t xml:space="preserve">Compared to fully manual compliance approach requiring 20-30 FTE ($1.6M - $3M annually in labor alone):</w:t>
      </w:r>
    </w:p>
    <w:p>
      <w:pPr>
        <w:numPr>
          <w:ilvl w:val="0"/>
          <w:numId w:val="33"/>
        </w:numPr>
        <w:spacing w:lineRule="auto"/>
      </w:pPr>
      <w:r>
        <w:rPr/>
        <w:t xml:space="preserve">Automated system: $650K - $1.2M annually (technology + 6-8 FTE)</w:t>
      </w:r>
    </w:p>
    <w:p>
      <w:pPr>
        <w:numPr>
          <w:ilvl w:val="0"/>
          <w:numId w:val="33"/>
        </w:numPr>
        <w:spacing w:lineRule="auto"/>
      </w:pPr>
      <w:r>
        <w:rPr>
          <w:b/>
        </w:rPr>
        <w:t xml:space="preserve">Annual savings: $950K - $1.8M</w:t>
      </w:r>
    </w:p>
    <w:p>
      <w:pPr>
        <w:numPr>
          <w:ilvl w:val="0"/>
          <w:numId w:val="33"/>
        </w:numPr>
        <w:spacing w:lineRule="auto"/>
      </w:pPr>
      <w:r>
        <w:rPr>
          <w:b/>
        </w:rPr>
        <w:t xml:space="preserve">ROI: 90-180% annually after Year 1</w:t>
      </w:r>
    </w:p>
    <w:p>
      <w:pPr>
        <w:spacing w:after="210" w:lineRule="auto"/>
      </w:pPr>
      <w:r>
        <w:rPr>
          <w:b/>
        </w:rPr>
        <w:t xml:space="preserve">Additional Value:</w:t>
      </w:r>
    </w:p>
    <w:p>
      <w:pPr>
        <w:numPr>
          <w:ilvl w:val="0"/>
          <w:numId w:val="34"/>
        </w:numPr>
        <w:spacing w:lineRule="auto"/>
      </w:pPr>
      <w:r>
        <w:rPr/>
        <w:t xml:space="preserve">Avoidance of regulatory penalties (quantified risk mitigation)</w:t>
      </w:r>
    </w:p>
    <w:p>
      <w:pPr>
        <w:numPr>
          <w:ilvl w:val="0"/>
          <w:numId w:val="34"/>
        </w:numPr>
        <w:spacing w:lineRule="auto"/>
      </w:pPr>
      <w:r>
        <w:rPr/>
        <w:t xml:space="preserve">Enhanced customer experience and competitive advantage</w:t>
      </w:r>
    </w:p>
    <w:p>
      <w:pPr>
        <w:numPr>
          <w:ilvl w:val="0"/>
          <w:numId w:val="34"/>
        </w:numPr>
        <w:spacing w:lineRule="auto"/>
      </w:pPr>
      <w:r>
        <w:rPr/>
        <w:t xml:space="preserve">Data-driven insights for business intelligence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9_critical_legal_and_operation_d3fe61"/>
      <w:r>
        <w:rPr>
          <w:b/>
          <w:sz w:val="42"/>
        </w:rPr>
        <w:t xml:space="preserve">9. Critical Legal and Operational Risks</w:t>
      </w:r>
      <w:bookmarkEnd w:id="34"/>
    </w:p>
    <w:p>
      <w:pPr>
        <w:spacing w:line="271" w:before="240" w:lineRule="auto"/>
      </w:pPr>
      <w:bookmarkStart w:id="35" w:name="bm_9_1_risks_of_over_automation"/>
      <w:r>
        <w:rPr>
          <w:b/>
          <w:sz w:val="33"/>
        </w:rPr>
        <w:t xml:space="preserve">9.1 Risks of Over-Automation</w:t>
      </w:r>
      <w:bookmarkEnd w:id="35"/>
    </w:p>
    <w:p>
      <w:pPr>
        <w:spacing w:after="210" w:lineRule="auto"/>
      </w:pPr>
      <w:r>
        <w:rPr>
          <w:b/>
        </w:rPr>
        <w:t xml:space="preserve">Regulatory Non-Compliance Risks:</w:t>
      </w:r>
    </w:p>
    <w:p>
      <w:pPr>
        <w:numPr>
          <w:ilvl w:val="0"/>
          <w:numId w:val="35"/>
        </w:numPr>
        <w:spacing w:lineRule="auto"/>
      </w:pPr>
      <w:r>
        <w:rPr>
          <w:b/>
        </w:rPr>
        <w:t xml:space="preserve">Auto-Filing SMRs Without Human Review</w:t>
      </w:r>
      <w:r>
        <w:rPr/>
        <w:br w:type="textWrapping"/>
      </w:r>
      <w:r>
        <w:rPr/>
        <w:t xml:space="preserve">- Risk: AUSTRAC enforcement action, civil penalties</w:t>
      </w:r>
      <w:r>
        <w:rPr/>
        <w:br w:type="textWrapping"/>
      </w:r>
      <w:r>
        <w:rPr/>
        <w:t xml:space="preserve">- Mitigation: Mandatory analyst review and filing decision for all SMRs</w:t>
      </w:r>
    </w:p>
    <w:p>
      <w:pPr>
        <w:numPr>
          <w:ilvl w:val="0"/>
          <w:numId w:val="35"/>
        </w:numPr>
        <w:spacing w:lineRule="auto"/>
      </w:pPr>
      <w:r>
        <w:rPr>
          <w:b/>
        </w:rPr>
        <w:t xml:space="preserve">Inadequate Model Governance</w:t>
      </w:r>
      <w:r>
        <w:rPr/>
        <w:br w:type="textWrapping"/>
      </w:r>
      <w:r>
        <w:rPr/>
        <w:t xml:space="preserve">- Risk: Unexplainable AI decisions during AUSTRAC audit</w:t>
      </w:r>
      <w:r>
        <w:rPr/>
        <w:br w:type="textWrapping"/>
      </w:r>
      <w:r>
        <w:rPr/>
        <w:t xml:space="preserve">- Mitigation: Comprehensive explainability framework, model documentation, independent validation</w:t>
      </w:r>
    </w:p>
    <w:p>
      <w:pPr>
        <w:numPr>
          <w:ilvl w:val="0"/>
          <w:numId w:val="35"/>
        </w:numPr>
        <w:spacing w:lineRule="auto"/>
      </w:pPr>
      <w:r>
        <w:rPr>
          <w:b/>
        </w:rPr>
        <w:t xml:space="preserve">Compliance Officer Non-Accountability</w:t>
      </w:r>
      <w:r>
        <w:rPr/>
        <w:br w:type="textWrapping"/>
      </w:r>
      <w:r>
        <w:rPr/>
        <w:t xml:space="preserve">- Risk: Delegating all oversight to AI without senior management accountability</w:t>
      </w:r>
      <w:r>
        <w:rPr/>
        <w:br w:type="textWrapping"/>
      </w:r>
      <w:r>
        <w:rPr/>
        <w:t xml:space="preserve">- Mitigation: Clear compliance officer accountability, oversight dashboards, board reporting</w:t>
      </w:r>
    </w:p>
    <w:p>
      <w:pPr>
        <w:numPr>
          <w:ilvl w:val="0"/>
          <w:numId w:val="35"/>
        </w:numPr>
        <w:spacing w:lineRule="auto"/>
      </w:pPr>
      <w:r>
        <w:rPr>
          <w:b/>
        </w:rPr>
        <w:t xml:space="preserve">Failure to Detect Novel Typologies</w:t>
      </w:r>
      <w:r>
        <w:rPr/>
        <w:br w:type="textWrapping"/>
      </w:r>
      <w:r>
        <w:rPr/>
        <w:t xml:space="preserve">- Risk: AI models trained on historical data miss emerging threats</w:t>
      </w:r>
      <w:r>
        <w:rPr/>
        <w:br w:type="textWrapping"/>
      </w:r>
      <w:r>
        <w:rPr/>
        <w:t xml:space="preserve">- Mitigation: Continuous model retraining, threat intelligence integration, human analyst expertise</w:t>
      </w:r>
    </w:p>
    <w:p>
      <w:pPr>
        <w:spacing w:line="271" w:before="240" w:lineRule="auto"/>
      </w:pPr>
      <w:bookmarkStart w:id="36" w:name="bm_9_2_privacy_and_data_security_risks"/>
      <w:r>
        <w:rPr>
          <w:b/>
          <w:sz w:val="33"/>
        </w:rPr>
        <w:t xml:space="preserve">9.2 Privacy and Data Security Risks</w:t>
      </w:r>
      <w:bookmarkEnd w:id="36"/>
    </w:p>
    <w:p>
      <w:pPr>
        <w:numPr>
          <w:ilvl w:val="0"/>
          <w:numId w:val="36"/>
        </w:numPr>
        <w:spacing w:lineRule="auto"/>
      </w:pPr>
      <w:r>
        <w:rPr>
          <w:b/>
        </w:rPr>
        <w:t xml:space="preserve">Biometric Data Breach</w:t>
      </w:r>
      <w:r>
        <w:rPr/>
        <w:t xml:space="preserve"> - High-value target for attackers; requires encryption, access controls, breach response plan</w:t>
      </w:r>
    </w:p>
    <w:p>
      <w:pPr>
        <w:numPr>
          <w:ilvl w:val="0"/>
          <w:numId w:val="36"/>
        </w:numPr>
        <w:spacing w:lineRule="auto"/>
      </w:pPr>
      <w:r>
        <w:rPr>
          <w:b/>
        </w:rPr>
        <w:t xml:space="preserve">DVS/FVS Misuse</w:t>
      </w:r>
      <w:r>
        <w:rPr/>
        <w:t xml:space="preserve"> - Unauthorized use without consent; requires explicit consent mechanisms and audit logging</w:t>
      </w:r>
    </w:p>
    <w:p>
      <w:pPr>
        <w:numPr>
          <w:ilvl w:val="0"/>
          <w:numId w:val="36"/>
        </w:numPr>
        <w:spacing w:lineRule="auto"/>
      </w:pPr>
      <w:r>
        <w:rPr>
          <w:b/>
        </w:rPr>
        <w:t xml:space="preserve">Data Retention Violations</w:t>
      </w:r>
      <w:r>
        <w:rPr/>
        <w:t xml:space="preserve"> - Over-retention or inadequate deletion; requires automated retention policies aligned with 7-year requirement</w:t>
      </w:r>
    </w:p>
    <w:p>
      <w:pPr>
        <w:spacing w:line="271" w:before="240" w:lineRule="auto"/>
      </w:pPr>
      <w:bookmarkStart w:id="37" w:name="bm_9_3_operational_risks"/>
      <w:r>
        <w:rPr>
          <w:b/>
          <w:sz w:val="33"/>
        </w:rPr>
        <w:t xml:space="preserve">9.3 Operational Risks</w:t>
      </w:r>
      <w:bookmarkEnd w:id="37"/>
    </w:p>
    <w:p>
      <w:pPr>
        <w:numPr>
          <w:ilvl w:val="0"/>
          <w:numId w:val="37"/>
        </w:numPr>
        <w:spacing w:lineRule="auto"/>
      </w:pPr>
      <w:r>
        <w:rPr>
          <w:b/>
        </w:rPr>
        <w:t xml:space="preserve">System Downtime</w:t>
      </w:r>
      <w:r>
        <w:rPr/>
        <w:t xml:space="preserve"> - Automated systems unavailable during critical periods; requires redundancy, disaster recovery, manual fallback procedures</w:t>
      </w:r>
    </w:p>
    <w:p>
      <w:pPr>
        <w:numPr>
          <w:ilvl w:val="0"/>
          <w:numId w:val="37"/>
        </w:numPr>
        <w:spacing w:lineRule="auto"/>
      </w:pPr>
      <w:r>
        <w:rPr>
          <w:b/>
        </w:rPr>
        <w:t xml:space="preserve">Integration Failures</w:t>
      </w:r>
      <w:r>
        <w:rPr/>
        <w:t xml:space="preserve"> - API connectivity issues with DVS/FVS or AUSTRAC; requires monitoring, alerting, and escalation procedures</w:t>
      </w:r>
    </w:p>
    <w:p>
      <w:pPr>
        <w:numPr>
          <w:ilvl w:val="0"/>
          <w:numId w:val="37"/>
        </w:numPr>
        <w:spacing w:lineRule="auto"/>
      </w:pPr>
      <w:r>
        <w:rPr>
          <w:b/>
        </w:rPr>
        <w:t xml:space="preserve">Data Quality Issues</w:t>
      </w:r>
      <w:r>
        <w:rPr/>
        <w:t xml:space="preserve"> - Poor quality input data degrades ML model performance; requires data validation, cleansing, and quality monitoring</w:t>
      </w:r>
    </w:p>
    <w:p>
      <w:pPr>
        <w:numPr>
          <w:ilvl w:val="0"/>
          <w:numId w:val="37"/>
        </w:numPr>
        <w:spacing w:lineRule="auto"/>
      </w:pPr>
      <w:r>
        <w:rPr>
          <w:b/>
        </w:rPr>
        <w:t xml:space="preserve">Vendor Dependency</w:t>
      </w:r>
      <w:r>
        <w:rPr/>
        <w:t xml:space="preserve"> - Reliance on third-party technology providers; requires vendor due diligence, SLAs, and exit strategies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bm_10_recommendations_and_conclusion"/>
      <w:r>
        <w:rPr>
          <w:b/>
          <w:sz w:val="42"/>
        </w:rPr>
        <w:t xml:space="preserve">10. Recommendations and Conclusion</w:t>
      </w:r>
      <w:bookmarkEnd w:id="38"/>
    </w:p>
    <w:p>
      <w:pPr>
        <w:spacing w:line="271" w:before="240" w:lineRule="auto"/>
      </w:pPr>
      <w:bookmarkStart w:id="39" w:name="bm_10_1_key_recommendations_for_p_dca992"/>
      <w:r>
        <w:rPr>
          <w:b/>
          <w:sz w:val="33"/>
        </w:rPr>
        <w:t xml:space="preserve">10.1 Key Recommendations for PaySafeGo</w:t>
      </w:r>
      <w:bookmarkEnd w:id="39"/>
    </w:p>
    <w:p>
      <w:pPr>
        <w:numPr>
          <w:ilvl w:val="0"/>
          <w:numId w:val="38"/>
        </w:numPr>
        <w:spacing w:lineRule="auto"/>
      </w:pPr>
      <w:r>
        <w:rPr>
          <w:b/>
        </w:rPr>
        <w:t xml:space="preserve">Accept Human Oversight as Non-Negotiable</w:t>
      </w:r>
      <w:r>
        <w:rPr/>
        <w:br w:type="textWrapping"/>
      </w:r>
      <w:r>
        <w:rPr/>
        <w:t xml:space="preserve">- Complete automation without human intervention is legally impossible under Australian AML/CTF law</w:t>
      </w:r>
      <w:r>
        <w:rPr/>
        <w:br w:type="textWrapping"/>
      </w:r>
      <w:r>
        <w:rPr/>
        <w:t xml:space="preserve">- Target 85-92% automation as maximum achievable level</w:t>
      </w:r>
      <w:r>
        <w:rPr/>
        <w:br w:type="textWrapping"/>
      </w:r>
      <w:r>
        <w:rPr/>
        <w:t xml:space="preserve">- Invest in minimal but highly skilled compliance team (6-8 FTE including Compliance Officer)</w:t>
      </w:r>
    </w:p>
    <w:p>
      <w:pPr>
        <w:numPr>
          <w:ilvl w:val="0"/>
          <w:numId w:val="38"/>
        </w:numPr>
        <w:spacing w:lineRule="auto"/>
      </w:pPr>
      <w:r>
        <w:rPr>
          <w:b/>
        </w:rPr>
        <w:t xml:space="preserve">Prioritize Digital Identity Verification</w:t>
      </w:r>
      <w:r>
        <w:rPr/>
        <w:br w:type="textWrapping"/>
      </w:r>
      <w:r>
        <w:rPr/>
        <w:t xml:space="preserve">- Integrate Australian Government DVS and FVS as foundational identity verification</w:t>
      </w:r>
      <w:r>
        <w:rPr/>
        <w:br w:type="textWrapping"/>
      </w:r>
      <w:r>
        <w:rPr/>
        <w:t xml:space="preserve">- Achieve 95%+ automated customer onboarding with pre-verification</w:t>
      </w:r>
      <w:r>
        <w:rPr/>
        <w:br w:type="textWrapping"/>
      </w:r>
      <w:r>
        <w:rPr/>
        <w:t xml:space="preserve">- Critical for gaming industry compliance (mandatory pre-verification)</w:t>
      </w:r>
    </w:p>
    <w:p>
      <w:pPr>
        <w:numPr>
          <w:ilvl w:val="0"/>
          <w:numId w:val="38"/>
        </w:numPr>
        <w:spacing w:lineRule="auto"/>
      </w:pPr>
      <w:r>
        <w:rPr>
          <w:b/>
        </w:rPr>
        <w:t xml:space="preserve">Deploy AI/ML Transaction Monitoring with Explainability</w:t>
      </w:r>
      <w:r>
        <w:rPr/>
        <w:br w:type="textWrapping"/>
      </w:r>
      <w:r>
        <w:rPr/>
        <w:t xml:space="preserve">- Implement real-time behavioral analysis and typology detection</w:t>
      </w:r>
      <w:r>
        <w:rPr/>
        <w:br w:type="textWrapping"/>
      </w:r>
      <w:r>
        <w:rPr/>
        <w:t xml:space="preserve">- Ensure all AI decisions are explainable and auditable</w:t>
      </w:r>
      <w:r>
        <w:rPr/>
        <w:br w:type="textWrapping"/>
      </w:r>
      <w:r>
        <w:rPr/>
        <w:t xml:space="preserve">- Reduce false positives by 60-70% to enable analyst focus on genuine risks</w:t>
      </w:r>
    </w:p>
    <w:p>
      <w:pPr>
        <w:numPr>
          <w:ilvl w:val="0"/>
          <w:numId w:val="38"/>
        </w:numPr>
        <w:spacing w:lineRule="auto"/>
      </w:pPr>
      <w:r>
        <w:rPr>
          <w:b/>
        </w:rPr>
        <w:t xml:space="preserve">Automate Threshold Reporting (TTR/IFTI) 100%</w:t>
      </w:r>
      <w:r>
        <w:rPr/>
        <w:br w:type="textWrapping"/>
      </w:r>
      <w:r>
        <w:rPr/>
        <w:t xml:space="preserve">- No human review required for threshold-based reports</w:t>
      </w:r>
      <w:r>
        <w:rPr/>
        <w:br w:type="textWrapping"/>
      </w:r>
      <w:r>
        <w:rPr/>
        <w:t xml:space="preserve">- Full automation of A$10,000+ cash transactions and international transfers</w:t>
      </w:r>
      <w:r>
        <w:rPr/>
        <w:br w:type="textWrapping"/>
      </w:r>
      <w:r>
        <w:rPr/>
        <w:t xml:space="preserve">- Direct API integration with AUSTRAC Online</w:t>
      </w:r>
    </w:p>
    <w:p>
      <w:pPr>
        <w:numPr>
          <w:ilvl w:val="0"/>
          <w:numId w:val="38"/>
        </w:numPr>
        <w:spacing w:lineRule="auto"/>
      </w:pPr>
      <w:r>
        <w:rPr>
          <w:b/>
        </w:rPr>
        <w:t xml:space="preserve">Semi-Automate SMR Workflow</w:t>
      </w:r>
      <w:r>
        <w:rPr/>
        <w:br w:type="textWrapping"/>
      </w:r>
      <w:r>
        <w:rPr/>
        <w:t xml:space="preserve">- Use AI for alert generation, risk scoring, and report pre-population</w:t>
      </w:r>
      <w:r>
        <w:rPr/>
        <w:br w:type="textWrapping"/>
      </w:r>
      <w:r>
        <w:rPr/>
        <w:t xml:space="preserve">- Mandatory human analyst review and filing decision</w:t>
      </w:r>
      <w:r>
        <w:rPr/>
        <w:br w:type="textWrapping"/>
      </w:r>
      <w:r>
        <w:rPr/>
        <w:t xml:space="preserve">- GenAI-assisted narrative generation to accelerate process</w:t>
      </w:r>
    </w:p>
    <w:p>
      <w:pPr>
        <w:numPr>
          <w:ilvl w:val="0"/>
          <w:numId w:val="38"/>
        </w:numPr>
        <w:spacing w:lineRule="auto"/>
      </w:pPr>
      <w:r>
        <w:rPr>
          <w:b/>
        </w:rPr>
        <w:t xml:space="preserve">Establish Robust Model Governance</w:t>
      </w:r>
      <w:r>
        <w:rPr/>
        <w:br w:type="textWrapping"/>
      </w:r>
      <w:r>
        <w:rPr/>
        <w:t xml:space="preserve">- Independent validation of AI/ML models annually</w:t>
      </w:r>
      <w:r>
        <w:rPr/>
        <w:br w:type="textWrapping"/>
      </w:r>
      <w:r>
        <w:rPr/>
        <w:t xml:space="preserve">- Monthly performance monitoring and quarterly retraining</w:t>
      </w:r>
      <w:r>
        <w:rPr/>
        <w:br w:type="textWrapping"/>
      </w:r>
      <w:r>
        <w:rPr/>
        <w:t xml:space="preserve">- Complete audit trails for regulatory scrutiny</w:t>
      </w:r>
    </w:p>
    <w:p>
      <w:pPr>
        <w:numPr>
          <w:ilvl w:val="0"/>
          <w:numId w:val="38"/>
        </w:numPr>
        <w:spacing w:lineRule="auto"/>
      </w:pPr>
      <w:r>
        <w:rPr>
          <w:b/>
        </w:rPr>
        <w:t xml:space="preserve">Engage Independent Auditor Early</w:t>
      </w:r>
      <w:r>
        <w:rPr/>
        <w:br w:type="textWrapping"/>
      </w:r>
      <w:r>
        <w:rPr/>
        <w:t xml:space="preserve">- Annual independent review is mandatory</w:t>
      </w:r>
      <w:r>
        <w:rPr/>
        <w:br w:type="textWrapping"/>
      </w:r>
      <w:r>
        <w:rPr/>
        <w:t xml:space="preserve">- Early engagement helps validate compliance approach</w:t>
      </w:r>
      <w:r>
        <w:rPr/>
        <w:br w:type="textWrapping"/>
      </w:r>
      <w:r>
        <w:rPr/>
        <w:t xml:space="preserve">- Demonstrates proactive compliance culture to AUSTRAC</w:t>
      </w:r>
    </w:p>
    <w:p>
      <w:pPr>
        <w:numPr>
          <w:ilvl w:val="0"/>
          <w:numId w:val="38"/>
        </w:numPr>
        <w:spacing w:lineRule="auto"/>
      </w:pPr>
      <w:r>
        <w:rPr>
          <w:b/>
        </w:rPr>
        <w:t xml:space="preserve">Budget for Ongoing Optimization</w:t>
      </w:r>
      <w:r>
        <w:rPr/>
        <w:br w:type="textWrapping"/>
      </w:r>
      <w:r>
        <w:rPr/>
        <w:t xml:space="preserve">- Initial implementation is not final state</w:t>
      </w:r>
      <w:r>
        <w:rPr/>
        <w:br w:type="textWrapping"/>
      </w:r>
      <w:r>
        <w:rPr/>
        <w:t xml:space="preserve">- Continuous improvement based on false positive/negative analysis</w:t>
      </w:r>
      <w:r>
        <w:rPr/>
        <w:br w:type="textWrapping"/>
      </w:r>
      <w:r>
        <w:rPr/>
        <w:t xml:space="preserve">- Regulatory environment evolves; system must adapt</w:t>
      </w:r>
    </w:p>
    <w:p>
      <w:pPr>
        <w:spacing w:line="271" w:before="240" w:lineRule="auto"/>
      </w:pPr>
      <w:bookmarkStart w:id="40" w:name="bm_10_2_conclusion"/>
      <w:r>
        <w:rPr>
          <w:b/>
          <w:sz w:val="33"/>
        </w:rPr>
        <w:t xml:space="preserve">10.2 Conclusion</w:t>
      </w:r>
      <w:bookmarkEnd w:id="40"/>
    </w:p>
    <w:p>
      <w:pPr>
        <w:spacing w:after="210" w:lineRule="auto"/>
      </w:pPr>
      <w:r>
        <w:rPr/>
        <w:t xml:space="preserve">PaySafeGo operates in a high-stakes regulatory environment where gaming venues are specifically targeted by AUSTRAC for enhanced scrutiny. While complete automation without human intervention is not legally permissible, achieving 85-92% automation with strategic human oversight represents the optimal balance between efficiency, cost, and regulatory compliance.</w:t>
      </w:r>
    </w:p>
    <w:p>
      <w:pPr>
        <w:spacing w:after="210" w:lineRule="auto"/>
      </w:pPr>
      <w:r>
        <w:rPr>
          <w:b/>
        </w:rPr>
        <w:t xml:space="preserve">The Maximum Achievable Automation Framework outlined in this document enables PaySafeGo to:</w:t>
      </w:r>
    </w:p>
    <w:p>
      <w:pPr>
        <w:numPr>
          <w:ilvl w:val="0"/>
          <w:numId w:val="39"/>
        </w:numPr>
        <w:spacing w:lineRule="auto"/>
      </w:pPr>
      <w:r>
        <w:rPr/>
        <w:t xml:space="preserve">Meet all AUSTRAC AML/CTF obligations under reformed legislation (effective March 31, 2026)</w:t>
      </w:r>
    </w:p>
    <w:p>
      <w:pPr>
        <w:numPr>
          <w:ilvl w:val="0"/>
          <w:numId w:val="39"/>
        </w:numPr>
        <w:spacing w:lineRule="auto"/>
      </w:pPr>
      <w:r>
        <w:rPr/>
        <w:t xml:space="preserve">Process customer onboarding in minutes with 90-95% automated approval rates</w:t>
      </w:r>
    </w:p>
    <w:p>
      <w:pPr>
        <w:numPr>
          <w:ilvl w:val="0"/>
          <w:numId w:val="39"/>
        </w:numPr>
        <w:spacing w:lineRule="auto"/>
      </w:pPr>
      <w:r>
        <w:rPr/>
        <w:t xml:space="preserve">Monitor transactions in real-time with AI-driven typology detection</w:t>
      </w:r>
    </w:p>
    <w:p>
      <w:pPr>
        <w:numPr>
          <w:ilvl w:val="0"/>
          <w:numId w:val="39"/>
        </w:numPr>
        <w:spacing w:lineRule="auto"/>
      </w:pPr>
      <w:r>
        <w:rPr/>
        <w:t xml:space="preserve">Generate threshold reports (TTRs, IFTIs) with 100% automation</w:t>
      </w:r>
    </w:p>
    <w:p>
      <w:pPr>
        <w:numPr>
          <w:ilvl w:val="0"/>
          <w:numId w:val="39"/>
        </w:numPr>
        <w:spacing w:lineRule="auto"/>
      </w:pPr>
      <w:r>
        <w:rPr/>
        <w:t xml:space="preserve">Reduce compliance labor costs by $950K - $1.8M annually vs. manual approach</w:t>
      </w:r>
    </w:p>
    <w:p>
      <w:pPr>
        <w:numPr>
          <w:ilvl w:val="0"/>
          <w:numId w:val="39"/>
        </w:numPr>
        <w:spacing w:lineRule="auto"/>
      </w:pPr>
      <w:r>
        <w:rPr/>
        <w:t xml:space="preserve">Scale transaction volumes without proportional cost increases</w:t>
      </w:r>
    </w:p>
    <w:p>
      <w:pPr>
        <w:numPr>
          <w:ilvl w:val="0"/>
          <w:numId w:val="39"/>
        </w:numPr>
        <w:spacing w:lineRule="auto"/>
      </w:pPr>
      <w:r>
        <w:rPr/>
        <w:t xml:space="preserve">Mitigate regulatory enforcement risk and protect reputation</w:t>
      </w:r>
    </w:p>
    <w:p>
      <w:pPr>
        <w:spacing w:after="210" w:lineRule="auto"/>
      </w:pPr>
      <w:r>
        <w:rPr>
          <w:b/>
        </w:rPr>
        <w:t xml:space="preserve">Critical Success Factors:</w:t>
      </w:r>
    </w:p>
    <w:p>
      <w:pPr>
        <w:numPr>
          <w:ilvl w:val="0"/>
          <w:numId w:val="40"/>
        </w:numPr>
        <w:spacing w:lineRule="auto"/>
      </w:pPr>
      <w:r>
        <w:rPr/>
        <w:t xml:space="preserve">Appoint a qualified, accountable AML/CTF Compliance Officer at management level</w:t>
      </w:r>
    </w:p>
    <w:p>
      <w:pPr>
        <w:numPr>
          <w:ilvl w:val="0"/>
          <w:numId w:val="40"/>
        </w:numPr>
        <w:spacing w:lineRule="auto"/>
      </w:pPr>
      <w:r>
        <w:rPr/>
        <w:t xml:space="preserve">Invest in proven, AUSTRAC-aligned technology providers</w:t>
      </w:r>
    </w:p>
    <w:p>
      <w:pPr>
        <w:numPr>
          <w:ilvl w:val="0"/>
          <w:numId w:val="40"/>
        </w:numPr>
        <w:spacing w:lineRule="auto"/>
      </w:pPr>
      <w:r>
        <w:rPr/>
        <w:t xml:space="preserve">Integrate Australian Government identity verification services (DVS/FVS)</w:t>
      </w:r>
    </w:p>
    <w:p>
      <w:pPr>
        <w:numPr>
          <w:ilvl w:val="0"/>
          <w:numId w:val="40"/>
        </w:numPr>
        <w:spacing w:lineRule="auto"/>
      </w:pPr>
      <w:r>
        <w:rPr/>
        <w:t xml:space="preserve">Maintain human oversight for all suspicious matter determinations and enhanced due diligence</w:t>
      </w:r>
    </w:p>
    <w:p>
      <w:pPr>
        <w:numPr>
          <w:ilvl w:val="0"/>
          <w:numId w:val="40"/>
        </w:numPr>
        <w:spacing w:lineRule="auto"/>
      </w:pPr>
      <w:r>
        <w:rPr/>
        <w:t xml:space="preserve">Establish comprehensive AI model governance and explainability frameworks</w:t>
      </w:r>
    </w:p>
    <w:p>
      <w:pPr>
        <w:numPr>
          <w:ilvl w:val="0"/>
          <w:numId w:val="40"/>
        </w:numPr>
        <w:spacing w:lineRule="auto"/>
      </w:pPr>
      <w:r>
        <w:rPr/>
        <w:t xml:space="preserve">Engage independent auditor for annual program review</w:t>
      </w:r>
    </w:p>
    <w:p>
      <w:pPr>
        <w:numPr>
          <w:ilvl w:val="0"/>
          <w:numId w:val="40"/>
        </w:numPr>
        <w:spacing w:lineRule="auto"/>
      </w:pPr>
      <w:r>
        <w:rPr/>
        <w:t xml:space="preserve">Foster a compliance culture that views automation as enablement, not replacement, of human judgment</w:t>
      </w:r>
    </w:p>
    <w:p>
      <w:pPr>
        <w:spacing w:after="210" w:lineRule="auto"/>
      </w:pPr>
      <w:r>
        <w:rPr/>
        <w:t xml:space="preserve">The technology and regulatory landscape now enables highly automated AML/CTF compliance, but Australian law unequivocally requires human accountability for critical risk decisions. PaySafeGo's compliance framework must embrace this reality while maximizing automation within legal boundaries.</w:t>
      </w:r>
    </w:p>
    <w:p>
      <w:pPr>
        <w:spacing w:after="210" w:lineRule="auto"/>
      </w:pPr>
      <w:r>
        <w:rPr>
          <w:b/>
        </w:rPr>
        <w:t xml:space="preserve">Implementation of this framework positions PaySafeGo as a compliance leader in the gaming payment industry, demonstrating to AUSTRAC, venue partners, and customers that financial crime prevention is integrated into the platform's core architecture.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references"/>
      <w:r>
        <w:rPr>
          <w:b/>
          <w:sz w:val="42"/>
        </w:rPr>
        <w:t xml:space="preserve">References</w:t>
      </w:r>
      <w:bookmarkEnd w:id="41"/>
    </w:p>
    <w:p>
      <w:pPr>
        <w:spacing w:after="210" w:lineRule="auto"/>
      </w:pPr>
      <w:r>
        <w:rPr/>
        <w:t xml:space="preserve">[1] Australian Government Department of Home Affairs. (2026). Anti-money laundering and counter-terrorism financing. </w:t>
      </w:r>
      <w:hyperlink r:id="rId5">
        <w:r>
          <w:rPr>
            <w:color w:val="4472C4"/>
          </w:rPr>
          <w:t xml:space="preserve">https://www.homeaffairs.gov.au/about-us/our-portfolios/criminal-justice/anti-money-laundering-and-counter-terrorism-financing</w:t>
        </w:r>
      </w:hyperlink>
    </w:p>
    <w:p>
      <w:pPr>
        <w:spacing w:after="210" w:lineRule="auto"/>
      </w:pPr>
      <w:r>
        <w:rPr/>
        <w:t xml:space="preserve">[2] AUSTRAC. (2024). Who and what we regulate. </w:t>
      </w:r>
      <w:hyperlink r:id="rId6">
        <w:r>
          <w:rPr>
            <w:color w:val="4472C4"/>
          </w:rPr>
          <w:t xml:space="preserve">https://www.austrac.gov.au/business/new-to-austrac/who-and-what-we-regulate</w:t>
        </w:r>
      </w:hyperlink>
    </w:p>
    <w:p>
      <w:pPr>
        <w:spacing w:after="210" w:lineRule="auto"/>
      </w:pPr>
      <w:r>
        <w:rPr/>
        <w:t xml:space="preserve">[3] MinterEllison. (2025). AUSTRAC's AML/CTF enforcement - Clubs and EGM operators. </w:t>
      </w:r>
      <w:hyperlink r:id="rId7">
        <w:r>
          <w:rPr>
            <w:color w:val="4472C4"/>
          </w:rPr>
          <w:t xml:space="preserve">https://www.minterellison.com/articles/austracs-amlctf-enforcement-clubs-and-egm-operators</w:t>
        </w:r>
      </w:hyperlink>
    </w:p>
    <w:p>
      <w:pPr>
        <w:spacing w:after="210" w:lineRule="auto"/>
      </w:pPr>
      <w:r>
        <w:rPr/>
        <w:t xml:space="preserve">[4] AUSTRAC. (2025). Summary of changes for current reporting entities (Reform). </w:t>
      </w:r>
      <w:hyperlink r:id="rId8">
        <w:r>
          <w:rPr>
            <w:color w:val="4472C4"/>
          </w:rPr>
          <w:t xml:space="preserve">https://www.austrac.gov.au/amlctf-reform/reforms-guidance/before-you-start/summary-changes-current-reporting-entities-reform</w:t>
        </w:r>
      </w:hyperlink>
    </w:p>
    <w:p>
      <w:pPr>
        <w:spacing w:after="210" w:lineRule="auto"/>
      </w:pPr>
      <w:r>
        <w:rPr/>
        <w:t xml:space="preserve">[5] Australian Government Department of Home Affairs. (2026). Changes to AML/CTF program requirements. </w:t>
      </w:r>
      <w:hyperlink r:id="rId9">
        <w:r>
          <w:rPr>
            <w:color w:val="4472C4"/>
          </w:rPr>
          <w:t xml:space="preserve">https://www.homeaffairs.gov.au/criminal-justice/Pages/changes-to-amlctf-program-requirements.aspx</w:t>
        </w:r>
      </w:hyperlink>
    </w:p>
    <w:p>
      <w:pPr>
        <w:spacing w:after="210" w:lineRule="auto"/>
      </w:pPr>
      <w:r>
        <w:rPr/>
        <w:t xml:space="preserve">[6] AUSTRAC. (2025). AML/CTF programs. </w:t>
      </w:r>
      <w:hyperlink r:id="rId10">
        <w:r>
          <w:rPr>
            <w:color w:val="4472C4"/>
          </w:rPr>
          <w:t xml:space="preserve">https://www.austrac.gov.au/business/core-guidance/amlctf-programs</w:t>
        </w:r>
      </w:hyperlink>
    </w:p>
    <w:p>
      <w:pPr>
        <w:spacing w:after="210" w:lineRule="auto"/>
      </w:pPr>
      <w:r>
        <w:rPr/>
        <w:t xml:space="preserve">[7] AUSTRAC. (2025). Suspicious matter reports (SMRs). </w:t>
      </w:r>
      <w:hyperlink r:id="rId11">
        <w:r>
          <w:rPr>
            <w:color w:val="4472C4"/>
          </w:rPr>
          <w:t xml:space="preserve">https://www.austrac.gov.au/business/core-guidance/reporting/suspicious-matter-reports-smrs</w:t>
        </w:r>
      </w:hyperlink>
    </w:p>
    <w:p>
      <w:pPr>
        <w:spacing w:after="210" w:lineRule="auto"/>
      </w:pPr>
      <w:r>
        <w:rPr/>
        <w:t xml:space="preserve">[8] Jade ThirdEye. (2025). Automating Suspicious Matter Reporting (SMR) to AUSTRAC. </w:t>
      </w:r>
      <w:hyperlink r:id="rId12">
        <w:r>
          <w:rPr>
            <w:color w:val="4472C4"/>
          </w:rPr>
          <w:t xml:space="preserve">https://jadethirdeye.com/blog/automating-suspicious-matter-reporting-smr-to-austrac/</w:t>
        </w:r>
      </w:hyperlink>
    </w:p>
    <w:p>
      <w:pPr>
        <w:spacing w:after="210" w:lineRule="auto"/>
      </w:pPr>
      <w:r>
        <w:rPr/>
        <w:t xml:space="preserve">[9] Australian Government Department of Home Affairs. (2026). Changes to customer due diligence. </w:t>
      </w:r>
      <w:hyperlink r:id="rId13">
        <w:r>
          <w:rPr>
            <w:color w:val="4472C4"/>
          </w:rPr>
          <w:t xml:space="preserve">https://www.homeaffairs.gov.au/criminal-justice/Pages/changes-to-customer-due-diligence.aspx</w:t>
        </w:r>
      </w:hyperlink>
    </w:p>
    <w:p>
      <w:pPr>
        <w:spacing w:after="210" w:lineRule="auto"/>
      </w:pPr>
      <w:r>
        <w:rPr/>
        <w:t xml:space="preserve">[10] Australian Government Department of Home Affairs. (2026). Changes to AML/CTF program requirements. </w:t>
      </w:r>
      <w:hyperlink r:id="rId14">
        <w:r>
          <w:rPr>
            <w:color w:val="4472C4"/>
          </w:rPr>
          <w:t xml:space="preserve">https://www.homeaffairs.gov.au/criminal-justice/Pages/changes-to-amlctf-program-requirements.aspx</w:t>
        </w:r>
      </w:hyperlink>
    </w:p>
    <w:p>
      <w:pPr>
        <w:spacing w:after="210" w:lineRule="auto"/>
      </w:pPr>
      <w:r>
        <w:rPr/>
        <w:t xml:space="preserve">[11] Australian Government Department of Home Affairs. (2026). Changes to AML/CTF program requirements. </w:t>
      </w:r>
      <w:hyperlink r:id="rId15">
        <w:r>
          <w:rPr>
            <w:color w:val="4472C4"/>
          </w:rPr>
          <w:t xml:space="preserve">https://www.homeaffairs.gov.au/criminal-justice/Pages/changes-to-amlctf-program-requirements.aspx</w:t>
        </w:r>
      </w:hyperlink>
    </w:p>
    <w:p>
      <w:pPr>
        <w:spacing w:after="210" w:lineRule="auto"/>
      </w:pPr>
      <w:r>
        <w:rPr/>
        <w:t xml:space="preserve">[12] AUSTRAC. (2025). Summary of changes for current reporting entities (Reform). </w:t>
      </w:r>
      <w:hyperlink r:id="rId16">
        <w:r>
          <w:rPr>
            <w:color w:val="4472C4"/>
          </w:rPr>
          <w:t xml:space="preserve">https://www.austrac.gov.au/amlctf-reform/reforms-guidance/before-you-start/summary-changes-current-reporting-entities-reform</w:t>
        </w:r>
      </w:hyperlink>
    </w:p>
    <w:p>
      <w:pPr>
        <w:spacing w:after="210" w:lineRule="auto"/>
      </w:pPr>
      <w:r>
        <w:rPr/>
        <w:t xml:space="preserve">[13] Napier AI. (2026). The future of AI for transaction monitoring in AML. </w:t>
      </w:r>
      <w:hyperlink r:id="rId17">
        <w:r>
          <w:rPr>
            <w:color w:val="4472C4"/>
          </w:rPr>
          <w:t xml:space="preserve">https://www.napier.ai/post/future-ai-transaction-monitoring-aml</w:t>
        </w:r>
      </w:hyperlink>
    </w:p>
    <w:p>
      <w:pPr>
        <w:spacing w:after="210" w:lineRule="auto"/>
      </w:pPr>
      <w:r>
        <w:rPr/>
        <w:t xml:space="preserve">[14] Complete AI Training. (2025). AUSTRAC puts banks on notice over AI in suspicious matter reporting. </w:t>
      </w:r>
      <w:hyperlink r:id="rId18">
        <w:r>
          <w:rPr>
            <w:color w:val="4472C4"/>
          </w:rPr>
          <w:t xml:space="preserve">https://completeaitraining.com/news/austrac-puts-banks-on-notice-over-ai-in-suspicious-matter/</w:t>
        </w:r>
      </w:hyperlink>
    </w:p>
    <w:p>
      <w:pPr>
        <w:spacing w:after="210" w:lineRule="auto"/>
      </w:pPr>
      <w:r>
        <w:rPr/>
        <w:t xml:space="preserve">[15] AUSTRAC. (2023). Strengthened customer identification procedures for online gambling service providers. </w:t>
      </w:r>
      <w:hyperlink r:id="rId19">
        <w:r>
          <w:rPr>
            <w:color w:val="4472C4"/>
          </w:rPr>
          <w:t xml:space="preserve">https://www.austrac.gov.au/strengthened-customer-identification-procedures-online-gambling-service-providers</w:t>
        </w:r>
      </w:hyperlink>
    </w:p>
    <w:p>
      <w:pPr>
        <w:spacing w:after="210" w:lineRule="auto"/>
      </w:pPr>
      <w:r>
        <w:rPr/>
        <w:t xml:space="preserve">[16] Australian Government Department of Home Affairs. (2026). Document Verification Service Assistance. </w:t>
      </w:r>
      <w:hyperlink r:id="rId20">
        <w:r>
          <w:rPr>
            <w:color w:val="4472C4"/>
          </w:rPr>
          <w:t xml:space="preserve">https://immi.homeaffairs.gov.au/help-support/departmental-forms/online-forms/document-verification-services-form</w:t>
        </w:r>
      </w:hyperlink>
    </w:p>
    <w:p>
      <w:pPr>
        <w:spacing w:after="210" w:lineRule="auto"/>
      </w:pPr>
      <w:r>
        <w:rPr/>
        <w:t xml:space="preserve">[17] Attorney-General's Department. (2025). Identity verification services. </w:t>
      </w:r>
      <w:hyperlink r:id="rId21">
        <w:r>
          <w:rPr>
            <w:color w:val="4472C4"/>
          </w:rPr>
          <w:t xml:space="preserve">https://www.ag.gov.au/national-security/identity-security/identity-verification-services</w:t>
        </w:r>
      </w:hyperlink>
    </w:p>
    <w:p>
      <w:pPr>
        <w:spacing w:after="210" w:lineRule="auto"/>
      </w:pPr>
      <w:r>
        <w:rPr/>
        <w:t xml:space="preserve">[18] EY. (2026). How AI is reshaping the future of transaction monitoring. </w:t>
      </w:r>
      <w:hyperlink r:id="rId22">
        <w:r>
          <w:rPr>
            <w:rFonts w:eastAsia="Georgia" w:cs="Georgia" w:ascii="Georgia" w:hAnsi="Georgia"/>
            <w:color w:val="4472C4"/>
          </w:rPr>
          <w:t xml:space="preserve">https://www.ey.com/en_se/insights/financial-services/how-ai-is-reshaping-the-future-of-transaction-monitoring</w:t>
        </w:r>
      </w:hyperlink>
    </w:p>
    <w:p>
      <w:pPr>
        <w:spacing w:after="210" w:lineRule="auto"/>
      </w:pPr>
      <w:r>
        <w:rPr/>
        <w:t xml:space="preserve">[19] Bright Law. (2022). Updated AUSTRAC guidance on reporting Threshold Transaction Reports. </w:t>
      </w:r>
      <w:hyperlink r:id="rId23">
        <w:r>
          <w:rPr>
            <w:color w:val="4472C4"/>
          </w:rPr>
          <w:t xml:space="preserve">https://www.brightlaw.com.au/updated-austrac-guidance-on-reporting-threshold-transaction-reports/</w:t>
        </w:r>
      </w:hyperlink>
    </w:p>
    <w:p>
      <w:pPr>
        <w:spacing w:after="210" w:lineRule="auto"/>
      </w:pPr>
      <w:r>
        <w:rPr/>
        <w:t xml:space="preserve">[20] FirstAML. (2026). The layman's guide to AML/CTF Rules 2025: Part 9 - Reporting. </w:t>
      </w:r>
      <w:hyperlink r:id="rId24">
        <w:r>
          <w:rPr>
            <w:color w:val="4472C4"/>
          </w:rPr>
          <w:t xml:space="preserve">https://www.firstaml.com/resources/the-laymans-guide-to-amlctf-rules-2025-part-9-reporting/</w:t>
        </w:r>
      </w:hyperlink>
    </w:p>
    <w:p>
      <w:pPr>
        <w:spacing w:after="210" w:lineRule="auto"/>
      </w:pPr>
      <w:r>
        <w:rPr/>
        <w:t xml:space="preserve">[21] Ripjar. (2024). AUSTRAC and AML Rules in Australia: What You Need to Know. </w:t>
      </w:r>
      <w:hyperlink r:id="rId25">
        <w:r>
          <w:rPr>
            <w:color w:val="4472C4"/>
          </w:rPr>
          <w:t xml:space="preserve">https://ripjar.com/blog/austrac-aml-rules-australia/</w:t>
        </w:r>
      </w:hyperlink>
    </w:p>
    <w:p>
      <w:pPr>
        <w:spacing w:after="210" w:lineRule="auto"/>
      </w:pPr>
      <w:r>
        <w:rPr/>
        <w:t xml:space="preserve">[22] Ripjar. (2024). AUSTRAC and AML Rules in Australia: What You Need to Know. </w:t>
      </w:r>
      <w:hyperlink r:id="rId26">
        <w:r>
          <w:rPr>
            <w:color w:val="4472C4"/>
          </w:rPr>
          <w:t xml:space="preserve">https://ripjar.com/blog/austrac-aml-rules-australia/</w:t>
        </w:r>
      </w:hyperlink>
    </w:p>
    <w:p>
      <w:pPr>
        <w:spacing w:after="210" w:lineRule="auto"/>
      </w:pPr>
      <w:r>
        <w:rPr/>
        <w:t xml:space="preserve">[23] WorkFusion. (2025). Four Ways AI Can Transform AML Compliance Operations. </w:t>
      </w:r>
      <w:hyperlink r:id="rId27">
        <w:r>
          <w:rPr>
            <w:color w:val="4472C4"/>
          </w:rPr>
          <w:t xml:space="preserve">https://www.workfusion.com/blog/four-ways-ai-can-transform-aml-compliance-operations/</w:t>
        </w:r>
      </w:hyperlink>
    </w:p>
    <w:p>
      <w:pPr>
        <w:spacing w:after="210" w:lineRule="auto"/>
      </w:pPr>
      <w:r>
        <w:rPr/>
        <w:t xml:space="preserve">[24] Jade ThirdEye. (2025). Automating Suspicious Matter Reporting (SMR) to AUSTRAC. </w:t>
      </w:r>
      <w:hyperlink r:id="rId28">
        <w:r>
          <w:rPr>
            <w:color w:val="4472C4"/>
          </w:rPr>
          <w:t xml:space="preserve">https://jadethirdeye.com/blog/automating-suspicious-matter-reporting-smr-to-austrac/</w:t>
        </w:r>
      </w:hyperlink>
    </w:p>
    <w:p>
      <w:pPr>
        <w:spacing w:after="210" w:lineRule="auto"/>
      </w:pPr>
      <w:r>
        <w:rPr/>
        <w:t xml:space="preserve">[25] AUSTRAC. (2025). AUSTRAC compliance reports. </w:t>
      </w:r>
      <w:hyperlink r:id="rId29">
        <w:r>
          <w:rPr>
            <w:color w:val="4472C4"/>
          </w:rPr>
          <w:t xml:space="preserve">https://www.austrac.gov.au/business/core-guidance/reporting/austrac-compliance-reports</w:t>
        </w:r>
      </w:hyperlink>
    </w:p>
    <w:p>
      <w:pPr>
        <w:spacing w:after="210" w:lineRule="auto"/>
      </w:pPr>
      <w:r>
        <w:rPr/>
        <w:t xml:space="preserve">[26] AUSTRAC. (2025). Independent reviews. </w:t>
      </w:r>
      <w:hyperlink r:id="rId30">
        <w:r>
          <w:rPr>
            <w:color w:val="4472C4"/>
          </w:rPr>
          <w:t xml:space="preserve">https://www.austrac.gov.au/business/core-guidance/amlctf-programs/independent-reviews</w:t>
        </w:r>
      </w:hyperlink>
    </w:p>
    <w:p>
      <w:pPr>
        <w:spacing w:after="210" w:lineRule="auto"/>
      </w:pPr>
      <w:r>
        <w:rPr/>
        <w:t xml:space="preserve">[27] easyAML. (2025). KYC &amp; KYB Verification Software | Digital ID Checks. </w:t>
      </w:r>
      <w:hyperlink r:id="rId31">
        <w:r>
          <w:rPr>
            <w:color w:val="4472C4"/>
          </w:rPr>
          <w:t xml:space="preserve">https://easyaml.com/platform/features/digital-id-verification/</w:t>
        </w:r>
      </w:hyperlink>
    </w:p>
    <w:p>
      <w:pPr>
        <w:spacing w:after="210" w:lineRule="auto"/>
      </w:pPr>
      <w:r>
        <w:rPr/>
        <w:t xml:space="preserve">[28] GBG. (2025). How legal firms can embrace digital identity verification for Tranche 2 AML/CTF reforms. </w:t>
      </w:r>
      <w:hyperlink r:id="rId32">
        <w:r>
          <w:rPr>
            <w:color w:val="4472C4"/>
          </w:rPr>
          <w:t xml:space="preserve">https://www.gbg.com/au/blog/how-legal-firms-can-embrace-digital-identity-verification-for-tranche-2-aml-ctf-reforms/</w:t>
        </w:r>
      </w:hyperlink>
    </w:p>
    <w:p>
      <w:pPr>
        <w:spacing w:after="210" w:lineRule="auto"/>
      </w:pPr>
      <w:r>
        <w:rPr/>
        <w:t xml:space="preserve">[29] Alessa. (2025). Top 10 Transaction Monitoring Software Solutions in 2026. </w:t>
      </w:r>
      <w:hyperlink r:id="rId33">
        <w:r>
          <w:rPr>
            <w:color w:val="4472C4"/>
          </w:rPr>
          <w:t xml:space="preserve">https://alessa.com/blog/top-10-transaction-monitoring-software-solutions/</w:t>
        </w:r>
      </w:hyperlink>
    </w:p>
    <w:p>
      <w:pPr>
        <w:spacing w:after="210" w:lineRule="auto"/>
      </w:pPr>
      <w:r>
        <w:rPr/>
        <w:t xml:space="preserve">[30] Tookitaki. (2026). Automating Regulatory Reporting in Australian Banks | 2025 Guide. </w:t>
      </w:r>
      <w:hyperlink r:id="rId34">
        <w:r>
          <w:rPr>
            <w:color w:val="4472C4"/>
          </w:rPr>
          <w:t xml:space="preserve">https://www.tookitaki.com/compliance-hub/automating-regulatory-reporting-australian-banks</w:t>
        </w:r>
      </w:hyperlink>
    </w:p>
    <w:p>
      <w:pPr>
        <w:spacing w:after="210" w:lineRule="auto"/>
      </w:pPr>
      <w:r>
        <w:rPr/>
        <w:t xml:space="preserve">[31] Jade ThirdEye. (2025). Automating Suspicious Matter Reporting (SMR) to AUSTRAC. </w:t>
      </w:r>
      <w:hyperlink r:id="rId35">
        <w:r>
          <w:rPr>
            <w:color w:val="4472C4"/>
          </w:rPr>
          <w:t xml:space="preserve">https://jadethirdeye.com/blog/automating-suspicious-matter-reporting-smr-to-austrac/</w:t>
        </w:r>
      </w:hyperlink>
    </w:p>
    <w:p>
      <w:pPr>
        <w:spacing w:after="210" w:lineRule="auto"/>
      </w:pPr>
      <w:r>
        <w:rPr/>
        <w:t xml:space="preserve">[32] StackGo. (2025). Identity Verification Service in Australia: How It Works Now. </w:t>
      </w:r>
      <w:hyperlink r:id="rId36">
        <w:r>
          <w:rPr>
            <w:color w:val="4472C4"/>
          </w:rPr>
          <w:t xml:space="preserve">https://stackgo.io/resources/identity-verification-service/</w:t>
        </w:r>
      </w:hyperlink>
    </w:p>
    <w:p>
      <w:pPr>
        <w:spacing w:after="210" w:lineRule="auto"/>
      </w:pPr>
      <w:r>
        <w:rPr/>
        <w:t xml:space="preserve">[33] AUSTRAC. (2025). Reporting - AUSTRAC. </w:t>
      </w:r>
      <w:hyperlink r:id="rId37">
        <w:r>
          <w:rPr>
            <w:color w:val="4472C4"/>
          </w:rPr>
          <w:t xml:space="preserve">https://www.austrac.gov.au/business/core-guidance/reporting</w:t>
        </w:r>
      </w:hyperlink>
    </w:p>
    <w:p>
      <w:pPr>
        <w:spacing w:after="210" w:lineRule="auto"/>
      </w:pPr>
      <w:r>
        <w:rPr/>
        <w:t xml:space="preserve">[34] Australian Government Department of Home Affairs. (2026). Document Verification Service Assistance. </w:t>
      </w:r>
      <w:hyperlink r:id="rId38">
        <w:r>
          <w:rPr>
            <w:color w:val="4472C4"/>
          </w:rPr>
          <w:t xml:space="preserve">https://immi.homeaffairs.gov.au/help-support/departmental-forms/online-forms/document-verification-services-form</w:t>
        </w:r>
      </w:hyperlink>
    </w:p>
    <w:p>
      <w:pPr>
        <w:spacing w:after="210" w:lineRule="auto"/>
      </w:pPr>
      <w:r>
        <w:rPr/>
        <w:t xml:space="preserve">[35] Attorney-General's Department. (2025). Identity verification services. </w:t>
      </w:r>
      <w:hyperlink r:id="rId39">
        <w:r>
          <w:rPr>
            <w:color w:val="4472C4"/>
          </w:rPr>
          <w:t xml:space="preserve">https://www.ag.gov.au/national-security/identity-security/identity-verification-services</w:t>
        </w:r>
      </w:hyperlink>
    </w:p>
    <w:p>
      <w:pPr>
        <w:spacing w:after="210" w:lineRule="auto"/>
      </w:pPr>
      <w:r>
        <w:rPr/>
        <w:t xml:space="preserve">[36] Australian Government. (2025). Set up and manage your Digital ID. </w:t>
      </w:r>
      <w:hyperlink r:id="rId40">
        <w:r>
          <w:rPr>
            <w:color w:val="4472C4"/>
          </w:rPr>
          <w:t xml:space="preserve">https://www.digitalidsystem.gov.au/set-up-and-manage-your-digital-id</w:t>
        </w:r>
      </w:hyperlink>
    </w:p>
    <w:p>
      <w:pPr>
        <w:spacing w:after="210" w:lineRule="auto"/>
      </w:pPr>
      <w:r>
        <w:rPr/>
        <w:t xml:space="preserve">[37] StackGo. (2025). Identity Verification Service in Australia: How It Works Now. </w:t>
      </w:r>
      <w:hyperlink r:id="rId41">
        <w:r>
          <w:rPr>
            <w:color w:val="4472C4"/>
          </w:rPr>
          <w:t xml:space="preserve">https://stackgo.io/resources/identity-verification-service/</w:t>
        </w:r>
      </w:hyperlink>
    </w:p>
    <w:p>
      <w:pPr>
        <w:spacing w:after="210" w:lineRule="auto"/>
      </w:pPr>
      <w:r>
        <w:rPr/>
        <w:t xml:space="preserve">[38] Office of the Australian Information Commissioner. (2026). Privacy guidance for reporting entities under the Anti-Money Laundering Act. </w:t>
      </w:r>
      <w:hyperlink r:id="rId42">
        <w:r>
          <w:rPr>
            <w:color w:val="4472C4"/>
          </w:rPr>
          <w:t xml:space="preserve">https://www.oaic.gov.au/privacy/privacy-guidance-for-organisations-and-government-agencies/organisations/privacy-guidance-for-reporting-entities</w:t>
        </w:r>
      </w:hyperlink>
    </w:p>
    <w:p>
      <w:pPr>
        <w:spacing w:after="210" w:lineRule="auto"/>
      </w:pPr>
      <w:r>
        <w:rPr/>
        <w:t xml:space="preserve">[39] Australian Government Department of Home Affairs. (2026). Changes to AML/CTF program requirements. </w:t>
      </w:r>
      <w:hyperlink r:id="rId43">
        <w:r>
          <w:rPr>
            <w:color w:val="4472C4"/>
          </w:rPr>
          <w:t xml:space="preserve">https://www.homeaffairs.gov.au/criminal-justice/Pages/changes-to-amlctf-program-requirements.aspx</w:t>
        </w:r>
      </w:hyperlink>
    </w:p>
    <w:p>
      <w:pPr>
        <w:spacing w:after="210" w:lineRule="auto"/>
      </w:pPr>
      <w:r>
        <w:rPr/>
        <w:t xml:space="preserve">[40] AUSTRAC. (2025). Independent reviews. </w:t>
      </w:r>
      <w:hyperlink r:id="rId44">
        <w:r>
          <w:rPr>
            <w:color w:val="4472C4"/>
          </w:rPr>
          <w:t xml:space="preserve">https://www.austrac.gov.au/business/core-guidance/amlctf-programs/independent-reviews</w:t>
        </w:r>
      </w:hyperlink>
    </w:p>
    <w:p>
      <w:pPr>
        <w:spacing w:after="210" w:lineRule="auto"/>
      </w:pPr>
      <w:r>
        <w:rPr/>
        <w:t xml:space="preserve">[41] Flagright. (2026). AUSTRAC's New AML/CTF Compliance Checklist for Fund Managers. </w:t>
      </w:r>
      <w:hyperlink r:id="rId45">
        <w:r>
          <w:rPr>
            <w:color w:val="4472C4"/>
          </w:rPr>
          <w:t xml:space="preserve">https://www.flagright.com/post/austracs-new-aml-ctf-compliance-checklist-for-fund-managers-superannuation-providers</w:t>
        </w:r>
      </w:hyperlink>
    </w:p>
    <w:p>
      <w:pPr>
        <w:spacing w:after="210" w:lineRule="auto"/>
      </w:pPr>
      <w:r>
        <w:rPr/>
        <w:t xml:space="preserve">[42] Napier AI. (2026). The future of AI for transaction monitoring in AML. </w:t>
      </w:r>
      <w:hyperlink r:id="rId46">
        <w:r>
          <w:rPr>
            <w:color w:val="4472C4"/>
          </w:rPr>
          <w:t xml:space="preserve">https://www.napier.ai/post/future-ai-transaction-monitoring-aml</w:t>
        </w:r>
      </w:hyperlink>
    </w:p>
    <w:p>
      <w:pPr>
        <w:spacing w:after="210" w:lineRule="auto"/>
      </w:pPr>
      <w:r>
        <w:rPr/>
        <w:t xml:space="preserve">[43] Ruck Compliance. (2023). Customer Due Diligence | Enhanced &amp; Simplified CDD. </w:t>
      </w:r>
      <w:hyperlink r:id="rId47">
        <w:r>
          <w:rPr>
            <w:color w:val="4472C4"/>
          </w:rPr>
          <w:t xml:space="preserve">https://ruckcompliance.com.au/blog/customer-due-diligence-new-rules</w:t>
        </w:r>
      </w:hyperlink>
    </w:p>
    <w:p>
      <w:pPr>
        <w:spacing w:after="210" w:lineRule="auto"/>
      </w:pPr>
      <w:r>
        <w:rPr/>
        <w:t xml:space="preserve">[44] AML House. (2025). Managing AML/CTF Customer Due Diligence in Australia. </w:t>
      </w:r>
      <w:hyperlink r:id="rId48">
        <w:r>
          <w:rPr>
            <w:color w:val="4472C4"/>
          </w:rPr>
          <w:t xml:space="preserve">https://amlhouse.com.au/insights/aml-ctf-customer-due-diligence-compliance-guide/</w:t>
        </w:r>
      </w:hyperlink>
    </w:p>
    <w:p>
      <w:pPr>
        <w:spacing w:after="210" w:lineRule="auto"/>
      </w:pPr>
      <w:r>
        <w:rPr/>
        <w:t xml:space="preserve">[45] Australian Government Department of Home Affairs. (2026). Overview of the AML/CTF Amendment Act. </w:t>
      </w:r>
      <w:hyperlink r:id="rId49">
        <w:r>
          <w:rPr>
            <w:color w:val="4472C4"/>
          </w:rPr>
          <w:t xml:space="preserve">https://www.homeaffairs.gov.au/criminal-justice/Pages/overview-of-the-amlctf-amendment-act.aspx</w:t>
        </w:r>
      </w:hyperlink>
    </w:p>
    <w:p>
      <w:pPr>
        <w:spacing w:after="210" w:lineRule="auto"/>
      </w:pPr>
      <w:r>
        <w:rPr/>
        <w:t xml:space="preserve">[46] Australian Government Department of Home Affairs. (2026). Overview of the AML/CTF Amendment Act. </w:t>
      </w:r>
      <w:hyperlink r:id="rId50">
        <w:r>
          <w:rPr>
            <w:color w:val="4472C4"/>
          </w:rPr>
          <w:t xml:space="preserve">https://www.homeaffairs.gov.au/criminal-justice/Pages/overview-of-the-amlctf-amendment-act.aspx</w:t>
        </w:r>
      </w:hyperlink>
    </w:p>
    <w:p>
      <w:pPr>
        <w:spacing w:after="210" w:lineRule="auto"/>
      </w:pPr>
      <w:r>
        <w:rPr/>
        <w:t xml:space="preserve">[47] Tookitaki. (2026). Automated Transaction Monitoring: A New Era. </w:t>
      </w:r>
      <w:hyperlink r:id="rId51">
        <w:r>
          <w:rPr>
            <w:color w:val="4472C4"/>
          </w:rPr>
          <w:t xml:space="preserve">https://www.tookitaki.com/compliance-hub/automated-transaction-monitoring-a-new-era</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homeaffairs.gov.au/about-us/our-portfolios/criminal-justice/anti-money-laundering-and-counter-terrorism-financing" TargetMode="External"/><Relationship Id="rId6" Type="http://schemas.openxmlformats.org/officeDocument/2006/relationships/hyperlink" Target="https://www.austrac.gov.au/business/new-to-austrac/who-and-what-we-regulate" TargetMode="External"/><Relationship Id="rId7" Type="http://schemas.openxmlformats.org/officeDocument/2006/relationships/hyperlink" Target="https://www.minterellison.com/articles/austracs-amlctf-enforcement-clubs-and-egm-operators" TargetMode="External"/><Relationship Id="rId8" Type="http://schemas.openxmlformats.org/officeDocument/2006/relationships/hyperlink" Target="https://www.austrac.gov.au/amlctf-reform/reforms-guidance/before-you-start/summary-changes-current-reporting-entities-reform" TargetMode="External"/><Relationship Id="rId9" Type="http://schemas.openxmlformats.org/officeDocument/2006/relationships/hyperlink" Target="https://www.homeaffairs.gov.au/criminal-justice/Pages/changes-to-amlctf-program-requirements.aspx" TargetMode="External"/><Relationship Id="rId10" Type="http://schemas.openxmlformats.org/officeDocument/2006/relationships/hyperlink" Target="https://www.austrac.gov.au/business/core-guidance/amlctf-programs" TargetMode="External"/><Relationship Id="rId11" Type="http://schemas.openxmlformats.org/officeDocument/2006/relationships/hyperlink" Target="https://www.austrac.gov.au/business/core-guidance/reporting/suspicious-matter-reports-smrs" TargetMode="External"/><Relationship Id="rId12" Type="http://schemas.openxmlformats.org/officeDocument/2006/relationships/hyperlink" Target="https://jadethirdeye.com/blog/automating-suspicious-matter-reporting-smr-to-austrac/" TargetMode="External"/><Relationship Id="rId13" Type="http://schemas.openxmlformats.org/officeDocument/2006/relationships/hyperlink" Target="https://www.homeaffairs.gov.au/criminal-justice/Pages/changes-to-customer-due-diligence.aspx" TargetMode="External"/><Relationship Id="rId14" Type="http://schemas.openxmlformats.org/officeDocument/2006/relationships/hyperlink" Target="https://www.homeaffairs.gov.au/criminal-justice/Pages/changes-to-amlctf-program-requirements.aspx" TargetMode="External"/><Relationship Id="rId15" Type="http://schemas.openxmlformats.org/officeDocument/2006/relationships/hyperlink" Target="https://www.homeaffairs.gov.au/criminal-justice/Pages/changes-to-amlctf-program-requirements.aspx" TargetMode="External"/><Relationship Id="rId16" Type="http://schemas.openxmlformats.org/officeDocument/2006/relationships/hyperlink" Target="https://www.austrac.gov.au/amlctf-reform/reforms-guidance/before-you-start/summary-changes-current-reporting-entities-reform" TargetMode="External"/><Relationship Id="rId17" Type="http://schemas.openxmlformats.org/officeDocument/2006/relationships/hyperlink" Target="https://www.napier.ai/post/future-ai-transaction-monitoring-aml" TargetMode="External"/><Relationship Id="rId18" Type="http://schemas.openxmlformats.org/officeDocument/2006/relationships/hyperlink" Target="https://completeaitraining.com/news/austrac-puts-banks-on-notice-over-ai-in-suspicious-matter/" TargetMode="External"/><Relationship Id="rId19" Type="http://schemas.openxmlformats.org/officeDocument/2006/relationships/hyperlink" Target="https://www.austrac.gov.au/strengthened-customer-identification-procedures-online-gambling-service-providers" TargetMode="External"/><Relationship Id="rId20" Type="http://schemas.openxmlformats.org/officeDocument/2006/relationships/hyperlink" Target="https://immi.homeaffairs.gov.au/help-support/departmental-forms/online-forms/document-verification-services-form" TargetMode="External"/><Relationship Id="rId21" Type="http://schemas.openxmlformats.org/officeDocument/2006/relationships/hyperlink" Target="https://www.ag.gov.au/national-security/identity-security/identity-verification-services" TargetMode="External"/><Relationship Id="rId22" Type="http://schemas.openxmlformats.org/officeDocument/2006/relationships/hyperlink" Target="https://www.ey.com/en_se/insights/financial-services/how-ai-is-reshaping-the-future-of-transaction-monitoring" TargetMode="External"/><Relationship Id="rId23" Type="http://schemas.openxmlformats.org/officeDocument/2006/relationships/hyperlink" Target="https://www.brightlaw.com.au/updated-austrac-guidance-on-reporting-threshold-transaction-reports/" TargetMode="External"/><Relationship Id="rId24" Type="http://schemas.openxmlformats.org/officeDocument/2006/relationships/hyperlink" Target="https://www.firstaml.com/resources/the-laymans-guide-to-amlctf-rules-2025-part-9-reporting/" TargetMode="External"/><Relationship Id="rId25" Type="http://schemas.openxmlformats.org/officeDocument/2006/relationships/hyperlink" Target="https://ripjar.com/blog/austrac-aml-rules-australia/" TargetMode="External"/><Relationship Id="rId26" Type="http://schemas.openxmlformats.org/officeDocument/2006/relationships/hyperlink" Target="https://ripjar.com/blog/austrac-aml-rules-australia/" TargetMode="External"/><Relationship Id="rId27" Type="http://schemas.openxmlformats.org/officeDocument/2006/relationships/hyperlink" Target="https://www.workfusion.com/blog/four-ways-ai-can-transform-aml-compliance-operations/" TargetMode="External"/><Relationship Id="rId28" Type="http://schemas.openxmlformats.org/officeDocument/2006/relationships/hyperlink" Target="https://jadethirdeye.com/blog/automating-suspicious-matter-reporting-smr-to-austrac/" TargetMode="External"/><Relationship Id="rId29" Type="http://schemas.openxmlformats.org/officeDocument/2006/relationships/hyperlink" Target="https://www.austrac.gov.au/business/core-guidance/reporting/austrac-compliance-reports" TargetMode="External"/><Relationship Id="rId30" Type="http://schemas.openxmlformats.org/officeDocument/2006/relationships/hyperlink" Target="https://www.austrac.gov.au/business/core-guidance/amlctf-programs/independent-reviews" TargetMode="External"/><Relationship Id="rId31" Type="http://schemas.openxmlformats.org/officeDocument/2006/relationships/hyperlink" Target="https://easyaml.com/platform/features/digital-id-verification/" TargetMode="External"/><Relationship Id="rId32" Type="http://schemas.openxmlformats.org/officeDocument/2006/relationships/hyperlink" Target="https://www.gbg.com/au/blog/how-legal-firms-can-embrace-digital-identity-verification-for-tranche-2-aml-ctf-reforms/" TargetMode="External"/><Relationship Id="rId33" Type="http://schemas.openxmlformats.org/officeDocument/2006/relationships/hyperlink" Target="https://alessa.com/blog/top-10-transaction-monitoring-software-solutions/" TargetMode="External"/><Relationship Id="rId34" Type="http://schemas.openxmlformats.org/officeDocument/2006/relationships/hyperlink" Target="https://www.tookitaki.com/compliance-hub/automating-regulatory-reporting-australian-banks" TargetMode="External"/><Relationship Id="rId35" Type="http://schemas.openxmlformats.org/officeDocument/2006/relationships/hyperlink" Target="https://jadethirdeye.com/blog/automating-suspicious-matter-reporting-smr-to-austrac/" TargetMode="External"/><Relationship Id="rId36" Type="http://schemas.openxmlformats.org/officeDocument/2006/relationships/hyperlink" Target="https://stackgo.io/resources/identity-verification-service/" TargetMode="External"/><Relationship Id="rId37" Type="http://schemas.openxmlformats.org/officeDocument/2006/relationships/hyperlink" Target="https://www.austrac.gov.au/business/core-guidance/reporting" TargetMode="External"/><Relationship Id="rId38" Type="http://schemas.openxmlformats.org/officeDocument/2006/relationships/hyperlink" Target="https://immi.homeaffairs.gov.au/help-support/departmental-forms/online-forms/document-verification-services-form" TargetMode="External"/><Relationship Id="rId39" Type="http://schemas.openxmlformats.org/officeDocument/2006/relationships/hyperlink" Target="https://www.ag.gov.au/national-security/identity-security/identity-verification-services" TargetMode="External"/><Relationship Id="rId40" Type="http://schemas.openxmlformats.org/officeDocument/2006/relationships/hyperlink" Target="https://www.digitalidsystem.gov.au/set-up-and-manage-your-digital-id" TargetMode="External"/><Relationship Id="rId41" Type="http://schemas.openxmlformats.org/officeDocument/2006/relationships/hyperlink" Target="https://stackgo.io/resources/identity-verification-service/" TargetMode="External"/><Relationship Id="rId42" Type="http://schemas.openxmlformats.org/officeDocument/2006/relationships/hyperlink" Target="https://www.oaic.gov.au/privacy/privacy-guidance-for-organisations-and-government-agencies/organisations/privacy-guidance-for-reporting-entities" TargetMode="External"/><Relationship Id="rId43" Type="http://schemas.openxmlformats.org/officeDocument/2006/relationships/hyperlink" Target="https://www.homeaffairs.gov.au/criminal-justice/Pages/changes-to-amlctf-program-requirements.aspx" TargetMode="External"/><Relationship Id="rId44" Type="http://schemas.openxmlformats.org/officeDocument/2006/relationships/hyperlink" Target="https://www.austrac.gov.au/business/core-guidance/amlctf-programs/independent-reviews" TargetMode="External"/><Relationship Id="rId45" Type="http://schemas.openxmlformats.org/officeDocument/2006/relationships/hyperlink" Target="https://www.flagright.com/post/austracs-new-aml-ctf-compliance-checklist-for-fund-managers-superannuation-providers" TargetMode="External"/><Relationship Id="rId46" Type="http://schemas.openxmlformats.org/officeDocument/2006/relationships/hyperlink" Target="https://www.napier.ai/post/future-ai-transaction-monitoring-aml" TargetMode="External"/><Relationship Id="rId47" Type="http://schemas.openxmlformats.org/officeDocument/2006/relationships/hyperlink" Target="https://ruckcompliance.com.au/blog/customer-due-diligence-new-rules" TargetMode="External"/><Relationship Id="rId48" Type="http://schemas.openxmlformats.org/officeDocument/2006/relationships/hyperlink" Target="https://amlhouse.com.au/insights/aml-ctf-customer-due-diligence-compliance-guide/" TargetMode="External"/><Relationship Id="rId49" Type="http://schemas.openxmlformats.org/officeDocument/2006/relationships/hyperlink" Target="https://www.homeaffairs.gov.au/criminal-justice/Pages/overview-of-the-amlctf-amendment-act.aspx" TargetMode="External"/><Relationship Id="rId50" Type="http://schemas.openxmlformats.org/officeDocument/2006/relationships/hyperlink" Target="https://www.homeaffairs.gov.au/criminal-justice/Pages/overview-of-the-amlctf-amendment-act.aspx" TargetMode="External"/><Relationship Id="rId51" Type="http://schemas.openxmlformats.org/officeDocument/2006/relationships/hyperlink" Target="https://www.tookitaki.com/compliance-hub/automated-transaction-monitoring-a-new-er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2026-03-02T13:26:06.186Z</dcterms:created>
  <dcterms:modified xsi:type="dcterms:W3CDTF">2026-03-02T13:26:06.186Z</dcterms:modified>
</cp:coreProperties>
</file>