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393"/>
        <w:rPr>
          <w:rFonts w:ascii="Times New Roman"/>
          <w:sz w:val="20"/>
        </w:rPr>
      </w:pPr>
      <w:r>
        <w:rPr>
          <w:rFonts w:ascii="Times New Roman"/>
          <w:sz w:val="20"/>
        </w:rPr>
        <w:drawing>
          <wp:inline distT="0" distB="0" distL="0" distR="0">
            <wp:extent cx="1114425" cy="6667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14425" cy="666750"/>
                    </a:xfrm>
                    <a:prstGeom prst="rect">
                      <a:avLst/>
                    </a:prstGeom>
                  </pic:spPr>
                </pic:pic>
              </a:graphicData>
            </a:graphic>
          </wp:inline>
        </w:drawing>
      </w:r>
      <w:r>
        <w:rPr>
          <w:rFonts w:ascii="Times New Roman"/>
          <w:sz w:val="20"/>
        </w:rPr>
      </w:r>
    </w:p>
    <w:p>
      <w:pPr>
        <w:pStyle w:val="BodyText"/>
        <w:spacing w:before="4"/>
        <w:rPr>
          <w:rFonts w:ascii="Times New Roman"/>
          <w:sz w:val="10"/>
        </w:rPr>
      </w:pPr>
    </w:p>
    <w:p>
      <w:pPr>
        <w:pStyle w:val="BodyText"/>
        <w:spacing w:line="20" w:lineRule="exact"/>
        <w:ind w:left="110"/>
        <w:rPr>
          <w:rFonts w:ascii="Times New Roman"/>
          <w:sz w:val="2"/>
        </w:rPr>
      </w:pPr>
      <w:r>
        <w:rPr>
          <w:rFonts w:ascii="Times New Roman"/>
          <w:sz w:val="2"/>
        </w:rPr>
        <w:pict>
          <v:group style="width:452.45pt;height:1pt;mso-position-horizontal-relative:char;mso-position-vertical-relative:line" coordorigin="0,0" coordsize="9049,20">
            <v:line style="position:absolute" from="10,10" to="9039,10" stroked="true" strokeweight="1pt" strokecolor="#808080">
              <v:stroke dashstyle="solid"/>
            </v:line>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spacing w:before="8"/>
        <w:rPr>
          <w:rFonts w:ascii="Times New Roman"/>
          <w:sz w:val="12"/>
        </w:rPr>
      </w:pPr>
      <w:r>
        <w:rPr/>
        <w:drawing>
          <wp:anchor distT="0" distB="0" distL="0" distR="0" allowOverlap="1" layoutInCell="1" locked="0" behindDoc="0" simplePos="0" relativeHeight="1048">
            <wp:simplePos x="0" y="0"/>
            <wp:positionH relativeFrom="page">
              <wp:posOffset>914400</wp:posOffset>
            </wp:positionH>
            <wp:positionV relativeFrom="paragraph">
              <wp:posOffset>117493</wp:posOffset>
            </wp:positionV>
            <wp:extent cx="1905000" cy="23812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905000" cy="238125"/>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Heading1"/>
      </w:pPr>
      <w:r>
        <w:rPr/>
        <w:t>Joint Wingas, E.ON German Gas Pipeline Seen Delayed By One Year</w:t>
      </w:r>
    </w:p>
    <w:p>
      <w:pPr>
        <w:pStyle w:val="BodyText"/>
        <w:spacing w:before="118"/>
        <w:ind w:left="120"/>
      </w:pPr>
      <w:r>
        <w:rPr/>
        <w:t>234 words</w:t>
      </w:r>
    </w:p>
    <w:p>
      <w:pPr>
        <w:pStyle w:val="BodyText"/>
        <w:spacing w:before="9"/>
        <w:ind w:left="120"/>
      </w:pPr>
      <w:r>
        <w:rPr/>
        <w:t>15 February 2012</w:t>
      </w:r>
    </w:p>
    <w:p>
      <w:pPr>
        <w:pStyle w:val="BodyText"/>
        <w:spacing w:before="9"/>
        <w:ind w:left="120"/>
      </w:pPr>
      <w:r>
        <w:rPr/>
        <w:t>11:33</w:t>
      </w:r>
    </w:p>
    <w:p>
      <w:pPr>
        <w:pStyle w:val="BodyText"/>
        <w:spacing w:line="249" w:lineRule="auto" w:before="9"/>
        <w:ind w:left="120" w:right="6959"/>
      </w:pPr>
      <w:r>
        <w:rPr/>
        <w:t>Dow Jones Business News DJON</w:t>
      </w:r>
    </w:p>
    <w:p>
      <w:pPr>
        <w:pStyle w:val="BodyText"/>
        <w:spacing w:before="1"/>
        <w:ind w:left="120"/>
      </w:pPr>
      <w:r>
        <w:rPr/>
        <w:t>English</w:t>
      </w:r>
    </w:p>
    <w:p>
      <w:pPr>
        <w:pStyle w:val="BodyText"/>
        <w:spacing w:before="9"/>
        <w:ind w:left="120"/>
      </w:pPr>
      <w:r>
        <w:rPr/>
        <w:t>(c) 2012 Dow Jones &amp; Company, Inc.</w:t>
      </w:r>
    </w:p>
    <w:p>
      <w:pPr>
        <w:pStyle w:val="BodyText"/>
        <w:spacing w:line="249" w:lineRule="auto" w:before="89"/>
        <w:ind w:left="120" w:right="624"/>
      </w:pPr>
      <w:r>
        <w:rPr/>
        <w:t>FRANKFURT -(Dow Jones)- A natural gas pipeline that is slated to link the giant Baltic Sea transit pipeline Nord Stream to the German gas grid will be delayed by around one year due to pending legal disputes with residents, co-developer E.ON Ruhrgas has said.</w:t>
      </w:r>
    </w:p>
    <w:p>
      <w:pPr>
        <w:pStyle w:val="BodyText"/>
        <w:spacing w:line="249" w:lineRule="auto" w:before="181"/>
        <w:ind w:left="120"/>
      </w:pPr>
      <w:r>
        <w:rPr/>
        <w:t>The NEL pipeline, which the E.ON AG (EOAN.XE) unit is jointly building with Wingas--a 50-50 joint venture between BASF SE's (BAS.XE) Wintershall AG and Russian gas monopoly Gazprom OAO (GAZP.RS)--will be delayed after residents along certain sections of the pipeline complained about the route.</w:t>
      </w:r>
    </w:p>
    <w:p>
      <w:pPr>
        <w:pStyle w:val="BodyText"/>
        <w:spacing w:line="249" w:lineRule="auto" w:before="181"/>
        <w:ind w:left="120"/>
      </w:pPr>
      <w:r>
        <w:rPr/>
        <w:t>In light of the ongoing legal dispute, E.ON Ruhrgas has proposed an alternative route, which is now being presented to residents. The approval process for the alterative route could be concluded by autumn 2012, the company said.</w:t>
      </w:r>
    </w:p>
    <w:p>
      <w:pPr>
        <w:pStyle w:val="BodyText"/>
        <w:spacing w:line="249" w:lineRule="auto" w:before="181"/>
        <w:ind w:left="120" w:right="495"/>
      </w:pPr>
      <w:r>
        <w:rPr/>
        <w:t>The 440-kilometer pipeline will have a capacity to transport 20 billion cubic meters of gas per year. Construction costs of the pipeline are expected to amount to around EUR1 billion. Originally the pipeline was expected to begin operations in autumn 2012.</w:t>
      </w:r>
    </w:p>
    <w:p>
      <w:pPr>
        <w:pStyle w:val="BodyText"/>
        <w:spacing w:line="249" w:lineRule="auto" w:before="181"/>
        <w:ind w:left="120" w:right="624"/>
      </w:pPr>
      <w:r>
        <w:rPr/>
        <w:t>Nederlandse Gasunie NV of the Netherlands and Belgian gas pipeline operator Fluxys SA (FLUX.BT) also own stakes in the NEL pipeline project.</w:t>
      </w:r>
    </w:p>
    <w:p>
      <w:pPr>
        <w:pStyle w:val="BodyText"/>
        <w:spacing w:before="181"/>
        <w:ind w:left="120"/>
      </w:pPr>
      <w:r>
        <w:rPr/>
        <w:t>-By Julia Mengewein, Dow Jones Newswires; +49 69 29 725 503; </w:t>
      </w:r>
      <w:hyperlink r:id="rId7">
        <w:r>
          <w:rPr/>
          <w:t>julia.mengewein@dowjones.com</w:t>
        </w:r>
      </w:hyperlink>
      <w:r>
        <w:rPr/>
        <w:t> [</w:t>
      </w:r>
    </w:p>
    <w:p>
      <w:pPr>
        <w:pStyle w:val="BodyText"/>
        <w:spacing w:before="9"/>
        <w:ind w:left="120"/>
      </w:pPr>
      <w:r>
        <w:rPr/>
        <w:t>02-15-12 0533ET ]</w:t>
      </w:r>
    </w:p>
    <w:p>
      <w:pPr>
        <w:pStyle w:val="BodyText"/>
        <w:spacing w:before="189"/>
        <w:ind w:left="120"/>
      </w:pPr>
      <w:r>
        <w:rPr/>
        <w:t>Document DJON000020120215e82f0003d</w:t>
      </w:r>
    </w:p>
    <w:p>
      <w:pPr>
        <w:pStyle w:val="BodyText"/>
        <w:spacing w:before="1"/>
        <w:rPr>
          <w:sz w:val="19"/>
        </w:rPr>
      </w:pPr>
    </w:p>
    <w:p>
      <w:pPr>
        <w:pStyle w:val="Heading1"/>
      </w:pPr>
      <w:r>
        <w:rPr/>
        <w:t>Search Summary</w:t>
      </w:r>
    </w:p>
    <w:p>
      <w:pPr>
        <w:pStyle w:val="BodyText"/>
        <w:spacing w:before="8"/>
        <w:rPr>
          <w:b/>
          <w:sz w:val="9"/>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5"/>
        <w:gridCol w:w="6995"/>
      </w:tblGrid>
      <w:tr>
        <w:trPr>
          <w:trHeight w:val="301" w:hRule="exact"/>
        </w:trPr>
        <w:tc>
          <w:tcPr>
            <w:tcW w:w="1995" w:type="dxa"/>
          </w:tcPr>
          <w:p>
            <w:pPr>
              <w:pStyle w:val="TableParagraph"/>
              <w:spacing w:before="46"/>
              <w:rPr>
                <w:sz w:val="18"/>
              </w:rPr>
            </w:pPr>
            <w:r>
              <w:rPr>
                <w:sz w:val="18"/>
              </w:rPr>
              <w:t>Text</w:t>
            </w:r>
          </w:p>
        </w:tc>
        <w:tc>
          <w:tcPr>
            <w:tcW w:w="6995" w:type="dxa"/>
          </w:tcPr>
          <w:p>
            <w:pPr/>
          </w:p>
        </w:tc>
      </w:tr>
      <w:tr>
        <w:trPr>
          <w:trHeight w:val="306" w:hRule="exact"/>
        </w:trPr>
        <w:tc>
          <w:tcPr>
            <w:tcW w:w="1995" w:type="dxa"/>
          </w:tcPr>
          <w:p>
            <w:pPr>
              <w:pStyle w:val="TableParagraph"/>
              <w:rPr>
                <w:sz w:val="18"/>
              </w:rPr>
            </w:pPr>
            <w:r>
              <w:rPr>
                <w:sz w:val="18"/>
              </w:rPr>
              <w:t>Date</w:t>
            </w:r>
          </w:p>
        </w:tc>
        <w:tc>
          <w:tcPr>
            <w:tcW w:w="6995" w:type="dxa"/>
          </w:tcPr>
          <w:p>
            <w:pPr>
              <w:pStyle w:val="TableParagraph"/>
              <w:rPr>
                <w:sz w:val="18"/>
              </w:rPr>
            </w:pPr>
            <w:r>
              <w:rPr>
                <w:sz w:val="18"/>
              </w:rPr>
              <w:t>31/03/2011 to 31/03/2012</w:t>
            </w:r>
          </w:p>
        </w:tc>
      </w:tr>
      <w:tr>
        <w:trPr>
          <w:trHeight w:val="306" w:hRule="exact"/>
        </w:trPr>
        <w:tc>
          <w:tcPr>
            <w:tcW w:w="1995" w:type="dxa"/>
          </w:tcPr>
          <w:p>
            <w:pPr>
              <w:pStyle w:val="TableParagraph"/>
              <w:rPr>
                <w:sz w:val="18"/>
              </w:rPr>
            </w:pPr>
            <w:r>
              <w:rPr>
                <w:sz w:val="18"/>
              </w:rPr>
              <w:t>Source</w:t>
            </w:r>
          </w:p>
        </w:tc>
        <w:tc>
          <w:tcPr>
            <w:tcW w:w="6995" w:type="dxa"/>
          </w:tcPr>
          <w:p>
            <w:pPr>
              <w:pStyle w:val="TableParagraph"/>
              <w:rPr>
                <w:sz w:val="18"/>
              </w:rPr>
            </w:pPr>
            <w:r>
              <w:rPr>
                <w:sz w:val="18"/>
              </w:rPr>
              <w:t>Major News and Business Sources Or Reuters Newswires</w:t>
            </w:r>
          </w:p>
        </w:tc>
      </w:tr>
      <w:tr>
        <w:trPr>
          <w:trHeight w:val="306" w:hRule="exact"/>
        </w:trPr>
        <w:tc>
          <w:tcPr>
            <w:tcW w:w="1995" w:type="dxa"/>
          </w:tcPr>
          <w:p>
            <w:pPr>
              <w:pStyle w:val="TableParagraph"/>
              <w:rPr>
                <w:sz w:val="18"/>
              </w:rPr>
            </w:pPr>
            <w:r>
              <w:rPr>
                <w:sz w:val="18"/>
              </w:rPr>
              <w:t>Author</w:t>
            </w:r>
          </w:p>
        </w:tc>
        <w:tc>
          <w:tcPr>
            <w:tcW w:w="6995" w:type="dxa"/>
          </w:tcPr>
          <w:p>
            <w:pPr>
              <w:pStyle w:val="TableParagraph"/>
              <w:rPr>
                <w:sz w:val="18"/>
              </w:rPr>
            </w:pPr>
            <w:r>
              <w:rPr>
                <w:sz w:val="18"/>
              </w:rPr>
              <w:t>All Authors</w:t>
            </w:r>
          </w:p>
        </w:tc>
      </w:tr>
      <w:tr>
        <w:trPr>
          <w:trHeight w:val="306" w:hRule="exact"/>
        </w:trPr>
        <w:tc>
          <w:tcPr>
            <w:tcW w:w="1995" w:type="dxa"/>
          </w:tcPr>
          <w:p>
            <w:pPr>
              <w:pStyle w:val="TableParagraph"/>
              <w:rPr>
                <w:sz w:val="18"/>
              </w:rPr>
            </w:pPr>
            <w:r>
              <w:rPr>
                <w:sz w:val="18"/>
              </w:rPr>
              <w:t>Company</w:t>
            </w:r>
          </w:p>
        </w:tc>
        <w:tc>
          <w:tcPr>
            <w:tcW w:w="6995" w:type="dxa"/>
          </w:tcPr>
          <w:p>
            <w:pPr>
              <w:pStyle w:val="TableParagraph"/>
              <w:rPr>
                <w:sz w:val="18"/>
              </w:rPr>
            </w:pPr>
            <w:r>
              <w:rPr>
                <w:sz w:val="18"/>
              </w:rPr>
              <w:t>Fluxys SA</w:t>
            </w:r>
          </w:p>
        </w:tc>
      </w:tr>
      <w:tr>
        <w:trPr>
          <w:trHeight w:val="522" w:hRule="exact"/>
        </w:trPr>
        <w:tc>
          <w:tcPr>
            <w:tcW w:w="1995" w:type="dxa"/>
          </w:tcPr>
          <w:p>
            <w:pPr>
              <w:pStyle w:val="TableParagraph"/>
              <w:rPr>
                <w:sz w:val="18"/>
              </w:rPr>
            </w:pPr>
            <w:r>
              <w:rPr>
                <w:sz w:val="18"/>
              </w:rPr>
              <w:t>Subject</w:t>
            </w:r>
          </w:p>
        </w:tc>
        <w:tc>
          <w:tcPr>
            <w:tcW w:w="6995" w:type="dxa"/>
          </w:tcPr>
          <w:p>
            <w:pPr>
              <w:pStyle w:val="TableParagraph"/>
              <w:spacing w:line="249" w:lineRule="auto"/>
              <w:rPr>
                <w:sz w:val="18"/>
              </w:rPr>
            </w:pPr>
            <w:r>
              <w:rPr>
                <w:sz w:val="18"/>
              </w:rPr>
              <w:t>Environmental Pollution Or Corporate Social Responsibility Or Natural Environment Or Sustainable Development/Sustainability Or Natural Disasters/Catastrophes</w:t>
            </w:r>
          </w:p>
        </w:tc>
      </w:tr>
      <w:tr>
        <w:trPr>
          <w:trHeight w:val="306" w:hRule="exact"/>
        </w:trPr>
        <w:tc>
          <w:tcPr>
            <w:tcW w:w="1995" w:type="dxa"/>
          </w:tcPr>
          <w:p>
            <w:pPr>
              <w:pStyle w:val="TableParagraph"/>
              <w:rPr>
                <w:sz w:val="18"/>
              </w:rPr>
            </w:pPr>
            <w:r>
              <w:rPr>
                <w:sz w:val="18"/>
              </w:rPr>
              <w:t>Industry</w:t>
            </w:r>
          </w:p>
        </w:tc>
        <w:tc>
          <w:tcPr>
            <w:tcW w:w="6995" w:type="dxa"/>
          </w:tcPr>
          <w:p>
            <w:pPr>
              <w:pStyle w:val="TableParagraph"/>
              <w:rPr>
                <w:sz w:val="18"/>
              </w:rPr>
            </w:pPr>
            <w:r>
              <w:rPr>
                <w:sz w:val="18"/>
              </w:rPr>
              <w:t>All Industries</w:t>
            </w:r>
          </w:p>
        </w:tc>
      </w:tr>
      <w:tr>
        <w:trPr>
          <w:trHeight w:val="306" w:hRule="exact"/>
        </w:trPr>
        <w:tc>
          <w:tcPr>
            <w:tcW w:w="1995" w:type="dxa"/>
          </w:tcPr>
          <w:p>
            <w:pPr>
              <w:pStyle w:val="TableParagraph"/>
              <w:rPr>
                <w:sz w:val="18"/>
              </w:rPr>
            </w:pPr>
            <w:r>
              <w:rPr>
                <w:sz w:val="18"/>
              </w:rPr>
              <w:t>Region</w:t>
            </w:r>
          </w:p>
        </w:tc>
        <w:tc>
          <w:tcPr>
            <w:tcW w:w="6995" w:type="dxa"/>
          </w:tcPr>
          <w:p>
            <w:pPr>
              <w:pStyle w:val="TableParagraph"/>
              <w:rPr>
                <w:sz w:val="18"/>
              </w:rPr>
            </w:pPr>
            <w:r>
              <w:rPr>
                <w:sz w:val="18"/>
              </w:rPr>
              <w:t>All Regions</w:t>
            </w:r>
          </w:p>
        </w:tc>
      </w:tr>
      <w:tr>
        <w:trPr>
          <w:trHeight w:val="306" w:hRule="exact"/>
        </w:trPr>
        <w:tc>
          <w:tcPr>
            <w:tcW w:w="1995" w:type="dxa"/>
          </w:tcPr>
          <w:p>
            <w:pPr>
              <w:pStyle w:val="TableParagraph"/>
              <w:rPr>
                <w:sz w:val="18"/>
              </w:rPr>
            </w:pPr>
            <w:r>
              <w:rPr>
                <w:sz w:val="18"/>
              </w:rPr>
              <w:t>Language</w:t>
            </w:r>
          </w:p>
        </w:tc>
        <w:tc>
          <w:tcPr>
            <w:tcW w:w="6995" w:type="dxa"/>
          </w:tcPr>
          <w:p>
            <w:pPr>
              <w:pStyle w:val="TableParagraph"/>
              <w:rPr>
                <w:sz w:val="18"/>
              </w:rPr>
            </w:pPr>
            <w:r>
              <w:rPr>
                <w:sz w:val="18"/>
              </w:rPr>
              <w:t>English</w:t>
            </w:r>
          </w:p>
        </w:tc>
      </w:tr>
      <w:tr>
        <w:trPr>
          <w:trHeight w:val="306" w:hRule="exact"/>
        </w:trPr>
        <w:tc>
          <w:tcPr>
            <w:tcW w:w="1995" w:type="dxa"/>
          </w:tcPr>
          <w:p>
            <w:pPr>
              <w:pStyle w:val="TableParagraph"/>
              <w:rPr>
                <w:sz w:val="18"/>
              </w:rPr>
            </w:pPr>
            <w:r>
              <w:rPr>
                <w:sz w:val="18"/>
              </w:rPr>
              <w:t>Results Found</w:t>
            </w:r>
          </w:p>
        </w:tc>
        <w:tc>
          <w:tcPr>
            <w:tcW w:w="6995" w:type="dxa"/>
          </w:tcPr>
          <w:p>
            <w:pPr>
              <w:pStyle w:val="TableParagraph"/>
              <w:rPr>
                <w:sz w:val="18"/>
              </w:rPr>
            </w:pPr>
            <w:r>
              <w:rPr>
                <w:w w:val="99"/>
                <w:sz w:val="18"/>
              </w:rPr>
              <w:t>1</w:t>
            </w:r>
          </w:p>
        </w:tc>
      </w:tr>
      <w:tr>
        <w:trPr>
          <w:trHeight w:val="306" w:hRule="exact"/>
        </w:trPr>
        <w:tc>
          <w:tcPr>
            <w:tcW w:w="1995" w:type="dxa"/>
          </w:tcPr>
          <w:p>
            <w:pPr>
              <w:pStyle w:val="TableParagraph"/>
              <w:rPr>
                <w:sz w:val="18"/>
              </w:rPr>
            </w:pPr>
            <w:r>
              <w:rPr>
                <w:sz w:val="18"/>
              </w:rPr>
              <w:t>Timestamp</w:t>
            </w:r>
          </w:p>
        </w:tc>
        <w:tc>
          <w:tcPr>
            <w:tcW w:w="6995" w:type="dxa"/>
          </w:tcPr>
          <w:p>
            <w:pPr>
              <w:pStyle w:val="TableParagraph"/>
              <w:rPr>
                <w:sz w:val="18"/>
              </w:rPr>
            </w:pPr>
            <w:r>
              <w:rPr>
                <w:sz w:val="18"/>
              </w:rPr>
              <w:t>29 November 2018 16:05</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137"/>
        <w:ind w:left="120" w:right="0" w:firstLine="0"/>
        <w:jc w:val="left"/>
        <w:rPr>
          <w:b/>
          <w:sz w:val="18"/>
        </w:rPr>
      </w:pPr>
      <w:r>
        <w:rPr>
          <w:b/>
          <w:color w:val="808080"/>
          <w:sz w:val="18"/>
        </w:rPr>
        <w:t>Page 1 of 1 © 2018 Factiva, Inc. All rights reserved.</w:t>
      </w:r>
    </w:p>
    <w:sectPr>
      <w:type w:val="continuous"/>
      <w:pgSz w:w="11910" w:h="16840"/>
      <w:pgMar w:top="74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20"/>
      <w:outlineLvl w:val="1"/>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1"/>
      <w:ind w:left="4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julia.mengewein@dowjon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 Jones</dc:creator>
  <dcterms:created xsi:type="dcterms:W3CDTF">2018-12-17T10:01:55Z</dcterms:created>
  <dcterms:modified xsi:type="dcterms:W3CDTF">2018-12-17T10:01:55Z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Dow Jones</vt:lpwstr>
  </property>
  <property fmtid="{D5CDD505-2E9C-101B-9397-08002B2CF9AE}" pid="4" name="LastSaved">
    <vt:filetime>2018-12-17T00:00:00Z</vt:filetime>
  </property>
</Properties>
</file>