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sz w:val="22"/>
          <w:szCs w:val="22"/>
        </w:rPr>
        <w:t xml:space="preserve"/>
      </w:r>
    </w:p>
    <w:p>
      <w:pPr>
        <w:spacing w:before="60" w:after="60"/>
      </w:pPr>
      <w:r>
        <w:rPr>
          <w:sz w:val="22"/>
          <w:szCs w:val="22"/>
        </w:rPr>
        <w:t xml:space="preserve"/>
      </w:r>
    </w:p>
    <w:p>
      <w:pPr>
        <w:spacing w:before="60" w:after="60"/>
      </w:pPr>
      <w:r>
        <w:rPr>
          <w:sz w:val="22"/>
          <w:szCs w:val="22"/>
        </w:rPr>
        <w:t xml:space="preserve"/>
      </w:r>
    </w:p>
    <w:p>
      <w:pPr>
        <w:spacing w:before="60" w:after="60"/>
      </w:pPr>
      <w:r>
        <w:rPr>
          <w:sz w:val="22"/>
          <w:szCs w:val="22"/>
        </w:rPr>
        <w:t xml:space="preserve"/>
      </w:r>
    </w:p>
    <w:p>
      <w:pPr>
        <w:spacing w:after="80"/>
        <w:jc w:val="center"/>
      </w:pPr>
      <w:r>
        <w:rPr>
          <w:rFonts w:ascii="Arial" w:cs="Arial" w:eastAsia="Arial" w:hAnsi="Arial"/>
          <w:b/>
          <w:bCs/>
          <w:color w:val="1F3864"/>
          <w:sz w:val="52"/>
          <w:szCs w:val="52"/>
        </w:rPr>
        <w:t xml:space="preserve">Project Report CSA3006</w:t>
      </w:r>
    </w:p>
    <w:p>
      <w:pPr>
        <w:spacing w:after="200"/>
        <w:jc w:val="center"/>
      </w:pPr>
      <w:r>
        <w:rPr>
          <w:rFonts w:ascii="Arial" w:cs="Arial" w:eastAsia="Arial" w:hAnsi="Arial"/>
          <w:color w:val="2E75B6"/>
          <w:sz w:val="36"/>
          <w:szCs w:val="36"/>
        </w:rPr>
        <w:t xml:space="preserve">Data Mining &amp; Data Warehousing</w:t>
      </w:r>
    </w:p>
    <w:p>
      <w:pPr>
        <w:spacing w:after="60"/>
        <w:jc w:val="center"/>
      </w:pPr>
      <w:r>
        <w:rPr>
          <w:rFonts w:ascii="Arial" w:cs="Arial" w:eastAsia="Arial" w:hAnsi="Arial"/>
          <w:color w:val="555555"/>
          <w:sz w:val="22"/>
          <w:szCs w:val="22"/>
        </w:rPr>
        <w:t xml:space="preserve">C11+C12+C13, BL2025260500540</w:t>
      </w:r>
    </w:p>
    <w:p>
      <w:pPr>
        <w:spacing w:after="320"/>
        <w:jc w:val="center"/>
      </w:pPr>
      <w:r>
        <w:rPr>
          <w:rFonts w:ascii="Arial" w:cs="Arial" w:eastAsia="Arial" w:hAnsi="Arial"/>
          <w:color w:val="555555"/>
          <w:sz w:val="22"/>
          <w:szCs w:val="22"/>
        </w:rPr>
        <w:t xml:space="preserve">Winter Semester: 2025–2026</w:t>
      </w:r>
    </w:p>
    <w:p>
      <w:pPr>
        <w:spacing w:after="40"/>
        <w:jc w:val="center"/>
      </w:pPr>
      <w:r>
        <w:rPr>
          <w:rFonts w:ascii="Arial" w:cs="Arial" w:eastAsia="Arial" w:hAnsi="Arial"/>
          <w:b/>
          <w:bCs/>
          <w:color w:val="1A1A1A"/>
          <w:sz w:val="24"/>
          <w:szCs w:val="24"/>
        </w:rPr>
        <w:t xml:space="preserve">Vaibhav Tiwari – 23BAI10108</w:t>
      </w:r>
    </w:p>
    <w:p>
      <w:pPr>
        <w:spacing w:after="40"/>
        <w:jc w:val="center"/>
      </w:pPr>
      <w:r>
        <w:rPr>
          <w:rFonts w:ascii="Arial" w:cs="Arial" w:eastAsia="Arial" w:hAnsi="Arial"/>
          <w:b/>
          <w:bCs/>
          <w:color w:val="1A1A1A"/>
          <w:sz w:val="24"/>
          <w:szCs w:val="24"/>
        </w:rPr>
        <w:t xml:space="preserve">Kushal Upadhyay – 23BAI10108</w:t>
      </w:r>
    </w:p>
    <w:p>
      <w:pPr>
        <w:spacing w:after="40"/>
        <w:jc w:val="center"/>
      </w:pPr>
      <w:r>
        <w:rPr>
          <w:rFonts w:ascii="Arial" w:cs="Arial" w:eastAsia="Arial" w:hAnsi="Arial"/>
          <w:b/>
          <w:bCs/>
          <w:color w:val="1A1A1A"/>
          <w:sz w:val="24"/>
          <w:szCs w:val="24"/>
        </w:rPr>
        <w:t xml:space="preserve">Kavish Bishnoi – 23BAI10789</w:t>
      </w:r>
    </w:p>
    <w:p>
      <w:pPr>
        <w:spacing w:after="40"/>
        <w:jc w:val="center"/>
      </w:pPr>
      <w:r>
        <w:rPr>
          <w:rFonts w:ascii="Arial" w:cs="Arial" w:eastAsia="Arial" w:hAnsi="Arial"/>
          <w:b/>
          <w:bCs/>
          <w:color w:val="1A1A1A"/>
          <w:sz w:val="24"/>
          <w:szCs w:val="24"/>
        </w:rPr>
        <w:t xml:space="preserve">Adamya Upadhyay – 23BAI11221</w:t>
      </w:r>
    </w:p>
    <w:p>
      <w:pPr>
        <w:spacing w:after="40"/>
        <w:jc w:val="center"/>
      </w:pPr>
      <w:r>
        <w:rPr>
          <w:rFonts w:ascii="Arial" w:cs="Arial" w:eastAsia="Arial" w:hAnsi="Arial"/>
          <w:b/>
          <w:bCs/>
          <w:color w:val="1A1A1A"/>
          <w:sz w:val="24"/>
          <w:szCs w:val="24"/>
        </w:rPr>
        <w:t xml:space="preserve">Deepanshu Yadav – 23BAI11289</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1. Introduction</w:t>
      </w:r>
    </w:p>
    <w:p>
      <w:pPr>
        <w:pStyle w:val="Heading2"/>
        <w:spacing w:before="280" w:after="100"/>
      </w:pPr>
      <w:r>
        <w:rPr>
          <w:rFonts w:ascii="Arial" w:cs="Arial" w:eastAsia="Arial" w:hAnsi="Arial"/>
          <w:b/>
          <w:bCs/>
          <w:color w:val="2E75B6"/>
          <w:sz w:val="26"/>
          <w:szCs w:val="26"/>
        </w:rPr>
        <w:t xml:space="preserve">1.1 Background and Motivation</w:t>
      </w:r>
    </w:p>
    <w:p>
      <w:pPr>
        <w:spacing w:before="80" w:after="80" w:line="276"/>
        <w:jc w:val="both"/>
      </w:pPr>
      <w:r>
        <w:rPr>
          <w:rFonts w:ascii="Arial" w:cs="Arial" w:eastAsia="Arial" w:hAnsi="Arial"/>
          <w:b w:val="false"/>
          <w:bCs w:val="false"/>
          <w:color w:val="1A1A1A"/>
          <w:sz w:val="22"/>
          <w:szCs w:val="22"/>
        </w:rPr>
        <w:t xml:space="preserve">Financial markets generate enormous volumes of visual and numerical data every trading day. While quantitative research has traditionally focused on raw price series and numerical indicators, a large and largely untapped source of insight lies in the visual representations of market data — most notably, candlestick charts. Professional traders have relied on candlestick patterns for decades, recognising formations such as Doji, Hammer, Engulfing, and Morning Star as signals of trend reversals or continuations. However, the manual identification of these patterns is slow, subjective, and does not scale to the real-time demands of modern algorithmic trading.</w:t>
      </w:r>
    </w:p>
    <w:p>
      <w:pPr>
        <w:spacing w:before="80" w:after="80" w:line="276"/>
        <w:jc w:val="both"/>
      </w:pPr>
      <w:r>
        <w:rPr>
          <w:rFonts w:ascii="Arial" w:cs="Arial" w:eastAsia="Arial" w:hAnsi="Arial"/>
          <w:b w:val="false"/>
          <w:bCs w:val="false"/>
          <w:color w:val="1A1A1A"/>
          <w:sz w:val="22"/>
          <w:szCs w:val="22"/>
        </w:rPr>
        <w:t xml:space="preserve">The emergence of deep learning-based computer vision, particularly object detection frameworks such as YOLO (You Only Look Once), has made it feasible to detect candlestick patterns from chart images with high accuracy and at scale. At the same time, multimodal learning — the integration of information from distinct data modalities (visual and numerical) — has proven to significantly outperform single-modality approaches in complex classification problems. The intersection of these two advances presents a compelling opportunity: to build a system that understands financial charts in a holistic sense, combining what can be seen in a candlestick image with the underlying OHLCV (Open, High, Low, Close, Volume) numerical data.</w:t>
      </w:r>
    </w:p>
    <w:p>
      <w:pPr>
        <w:spacing w:before="80" w:after="80" w:line="276"/>
        <w:jc w:val="both"/>
      </w:pPr>
      <w:r>
        <w:rPr>
          <w:rFonts w:ascii="Arial" w:cs="Arial" w:eastAsia="Arial" w:hAnsi="Arial"/>
          <w:b w:val="false"/>
          <w:bCs w:val="false"/>
          <w:color w:val="1A1A1A"/>
          <w:sz w:val="22"/>
          <w:szCs w:val="22"/>
        </w:rPr>
        <w:t xml:space="preserve">This project, the Financial Chart Understanding System, addresses precisely this opportunity. It combines YOLOv8-based candlestick pattern detection with a multimodal neural fusion model to classify volatility regimes — Low, Medium, and High — from financial chart images paired with their corresponding numerical features.</w:t>
      </w:r>
    </w:p>
    <w:p>
      <w:pPr>
        <w:pStyle w:val="Heading2"/>
        <w:spacing w:before="280" w:after="100"/>
      </w:pPr>
      <w:r>
        <w:rPr>
          <w:rFonts w:ascii="Arial" w:cs="Arial" w:eastAsia="Arial" w:hAnsi="Arial"/>
          <w:b/>
          <w:bCs/>
          <w:color w:val="2E75B6"/>
          <w:sz w:val="26"/>
          <w:szCs w:val="26"/>
        </w:rPr>
        <w:t xml:space="preserve">1.2 Problem Statement</w:t>
      </w:r>
    </w:p>
    <w:p>
      <w:pPr>
        <w:spacing w:before="80" w:after="80" w:line="276"/>
        <w:jc w:val="both"/>
      </w:pPr>
      <w:r>
        <w:rPr>
          <w:rFonts w:ascii="Arial" w:cs="Arial" w:eastAsia="Arial" w:hAnsi="Arial"/>
          <w:b w:val="false"/>
          <w:bCs w:val="false"/>
          <w:color w:val="1A1A1A"/>
          <w:sz w:val="22"/>
          <w:szCs w:val="22"/>
        </w:rPr>
        <w:t xml:space="preserve">Despite the widespread use of candlestick charts by traders and analysts, no widely adopted, end-to-end automated system exists that: (a) detects named candlestick patterns from chart images using modern object detection, (b) fuses those visual detections with raw OHLCV numerical features, and (c) classifies the resulting market state into a volatility regime. The gap is not merely academic — the inability to automate this pipeline forces practitioners to either rely on rules-based pattern matching (which lacks robustness) or ignore visual chart structure entirely (which discards potentially valuable signals).</w:t>
      </w:r>
    </w:p>
    <w:p>
      <w:pPr>
        <w:spacing w:before="80" w:after="80" w:line="276"/>
        <w:jc w:val="both"/>
      </w:pPr>
      <w:r>
        <w:rPr>
          <w:rFonts w:ascii="Arial" w:cs="Arial" w:eastAsia="Arial" w:hAnsi="Arial"/>
          <w:b w:val="false"/>
          <w:bCs w:val="false"/>
          <w:color w:val="1A1A1A"/>
          <w:sz w:val="22"/>
          <w:szCs w:val="22"/>
        </w:rPr>
        <w:t xml:space="preserve">This project addresses that gap by constructing a reproducible, modular, end-to-end pipeline from dataset acquisition through model training to an interactive deployment application.</w:t>
      </w:r>
    </w:p>
    <w:p>
      <w:pPr>
        <w:pStyle w:val="Heading2"/>
        <w:spacing w:before="280" w:after="100"/>
      </w:pPr>
      <w:r>
        <w:rPr>
          <w:rFonts w:ascii="Arial" w:cs="Arial" w:eastAsia="Arial" w:hAnsi="Arial"/>
          <w:b/>
          <w:bCs/>
          <w:color w:val="2E75B6"/>
          <w:sz w:val="26"/>
          <w:szCs w:val="26"/>
        </w:rPr>
        <w:t xml:space="preserve">1.3 Objectives</w:t>
      </w:r>
    </w:p>
    <w:p>
      <w:pPr>
        <w:pStyle w:val="ListParagraph"/>
        <w:numPr>
          <w:ilvl w:val="0"/>
          <w:numId w:val="2"/>
        </w:numPr>
        <w:spacing w:before="40" w:after="40"/>
      </w:pPr>
      <w:r>
        <w:rPr>
          <w:rFonts w:ascii="Arial" w:cs="Arial" w:eastAsia="Arial" w:hAnsi="Arial"/>
          <w:color w:val="1A1A1A"/>
          <w:sz w:val="22"/>
          <w:szCs w:val="22"/>
        </w:rPr>
        <w:t xml:space="preserve">To download and prepare the Ahihi candlestick pattern dataset from Roboflow Universe, comprising annotated chart images with bounding boxes for named candlestick patterns.</w:t>
      </w:r>
    </w:p>
    <w:p>
      <w:pPr>
        <w:pStyle w:val="ListParagraph"/>
        <w:numPr>
          <w:ilvl w:val="0"/>
          <w:numId w:val="2"/>
        </w:numPr>
        <w:spacing w:before="40" w:after="40"/>
      </w:pPr>
      <w:r>
        <w:rPr>
          <w:rFonts w:ascii="Arial" w:cs="Arial" w:eastAsia="Arial" w:hAnsi="Arial"/>
          <w:color w:val="1A1A1A"/>
          <w:sz w:val="22"/>
          <w:szCs w:val="22"/>
        </w:rPr>
        <w:t xml:space="preserve">To train a YOLOv8 object detection model for candlestick pattern recognition and evaluate its detection performance (mAP, precision, recall).</w:t>
      </w:r>
    </w:p>
    <w:p>
      <w:pPr>
        <w:pStyle w:val="ListParagraph"/>
        <w:numPr>
          <w:ilvl w:val="0"/>
          <w:numId w:val="2"/>
        </w:numPr>
        <w:spacing w:before="40" w:after="40"/>
      </w:pPr>
      <w:r>
        <w:rPr>
          <w:rFonts w:ascii="Arial" w:cs="Arial" w:eastAsia="Arial" w:hAnsi="Arial"/>
          <w:color w:val="1A1A1A"/>
          <w:sz w:val="22"/>
          <w:szCs w:val="22"/>
        </w:rPr>
        <w:t xml:space="preserve">To engineer numerical features from OHLCV data and extract visual feature embeddings from the trained YOLO model.</w:t>
      </w:r>
    </w:p>
    <w:p>
      <w:pPr>
        <w:pStyle w:val="ListParagraph"/>
        <w:numPr>
          <w:ilvl w:val="0"/>
          <w:numId w:val="2"/>
        </w:numPr>
        <w:spacing w:before="40" w:after="40"/>
      </w:pPr>
      <w:r>
        <w:rPr>
          <w:rFonts w:ascii="Arial" w:cs="Arial" w:eastAsia="Arial" w:hAnsi="Arial"/>
          <w:color w:val="1A1A1A"/>
          <w:sz w:val="22"/>
          <w:szCs w:val="22"/>
        </w:rPr>
        <w:t xml:space="preserve">To design and train a multimodal PyTorch fusion model that combines visual and numerical feature streams for volatility regime classification.</w:t>
      </w:r>
    </w:p>
    <w:p>
      <w:pPr>
        <w:pStyle w:val="ListParagraph"/>
        <w:numPr>
          <w:ilvl w:val="0"/>
          <w:numId w:val="2"/>
        </w:numPr>
        <w:spacing w:before="40" w:after="40"/>
      </w:pPr>
      <w:r>
        <w:rPr>
          <w:rFonts w:ascii="Arial" w:cs="Arial" w:eastAsia="Arial" w:hAnsi="Arial"/>
          <w:color w:val="1A1A1A"/>
          <w:sz w:val="22"/>
          <w:szCs w:val="22"/>
        </w:rPr>
        <w:t xml:space="preserve">To evaluate the fusion model against a published baseline and report per-class metrics, confusion matrices, and training curves.</w:t>
      </w:r>
    </w:p>
    <w:p>
      <w:pPr>
        <w:pStyle w:val="ListParagraph"/>
        <w:numPr>
          <w:ilvl w:val="0"/>
          <w:numId w:val="2"/>
        </w:numPr>
        <w:spacing w:before="40" w:after="40"/>
      </w:pPr>
      <w:r>
        <w:rPr>
          <w:rFonts w:ascii="Arial" w:cs="Arial" w:eastAsia="Arial" w:hAnsi="Arial"/>
          <w:color w:val="1A1A1A"/>
          <w:sz w:val="22"/>
          <w:szCs w:val="22"/>
        </w:rPr>
        <w:t xml:space="preserve">To deploy the full pipeline as an interactive Streamlit web application enabling real-time chart upload and prediction.</w:t>
      </w:r>
    </w:p>
    <w:p>
      <w:pPr>
        <w:pStyle w:val="Heading2"/>
        <w:spacing w:before="280" w:after="100"/>
      </w:pPr>
      <w:r>
        <w:rPr>
          <w:rFonts w:ascii="Arial" w:cs="Arial" w:eastAsia="Arial" w:hAnsi="Arial"/>
          <w:b/>
          <w:bCs/>
          <w:color w:val="2E75B6"/>
          <w:sz w:val="26"/>
          <w:szCs w:val="26"/>
        </w:rPr>
        <w:t xml:space="preserve">1.4 Scope of the Study</w:t>
      </w:r>
    </w:p>
    <w:p>
      <w:pPr>
        <w:spacing w:before="80" w:after="80" w:line="276"/>
        <w:jc w:val="both"/>
      </w:pPr>
      <w:r>
        <w:rPr>
          <w:rFonts w:ascii="Arial" w:cs="Arial" w:eastAsia="Arial" w:hAnsi="Arial"/>
          <w:b w:val="false"/>
          <w:bCs w:val="false"/>
          <w:color w:val="1A1A1A"/>
          <w:sz w:val="22"/>
          <w:szCs w:val="22"/>
        </w:rPr>
        <w:t xml:space="preserve">The scope of this project encompasses daily candlestick chart images corresponding to equity market data. Intraday charts, order book data, and news-based sentiment signals are outside the scope of the primary analysis. The classification task is limited to three volatility regime labels (Low, Medium, High), which are derived from the statistical properties of the OHLCV features. The project focuses on the technical engineering and machine learning aspects of the pipeline rather than on trading strategy design or financial theory.</w:t>
      </w:r>
    </w:p>
    <w:p>
      <w:pPr>
        <w:pStyle w:val="Heading2"/>
        <w:spacing w:before="280" w:after="100"/>
      </w:pPr>
      <w:r>
        <w:rPr>
          <w:rFonts w:ascii="Arial" w:cs="Arial" w:eastAsia="Arial" w:hAnsi="Arial"/>
          <w:b/>
          <w:bCs/>
          <w:color w:val="2E75B6"/>
          <w:sz w:val="26"/>
          <w:szCs w:val="26"/>
        </w:rPr>
        <w:t xml:space="preserve">1.5 Organisation of the Report</w:t>
      </w:r>
    </w:p>
    <w:p>
      <w:pPr>
        <w:spacing w:before="80" w:after="80" w:line="276"/>
        <w:jc w:val="both"/>
      </w:pPr>
      <w:r>
        <w:rPr>
          <w:rFonts w:ascii="Arial" w:cs="Arial" w:eastAsia="Arial" w:hAnsi="Arial"/>
          <w:b w:val="false"/>
          <w:bCs w:val="false"/>
          <w:color w:val="1A1A1A"/>
          <w:sz w:val="22"/>
          <w:szCs w:val="22"/>
        </w:rPr>
        <w:t xml:space="preserve">Section 2 provides a review of relevant prior work. Section 3 describes the dataset. Section 4 details the methodology, including architecture design and training procedures. Section 5 presents results and analysis. Section 6 discusses implications and limitations. Section 7 concludes and outlines future work. References appear in Section 8.</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2. Literature Survey</w:t>
      </w:r>
    </w:p>
    <w:p>
      <w:pPr>
        <w:pStyle w:val="Heading2"/>
        <w:spacing w:before="280" w:after="100"/>
      </w:pPr>
      <w:r>
        <w:rPr>
          <w:rFonts w:ascii="Arial" w:cs="Arial" w:eastAsia="Arial" w:hAnsi="Arial"/>
          <w:b/>
          <w:bCs/>
          <w:color w:val="2E75B6"/>
          <w:sz w:val="26"/>
          <w:szCs w:val="26"/>
        </w:rPr>
        <w:t xml:space="preserve">2.1 Candlestick Pattern Recognition</w:t>
      </w:r>
    </w:p>
    <w:p>
      <w:pPr>
        <w:spacing w:before="80" w:after="80" w:line="276"/>
        <w:jc w:val="both"/>
      </w:pPr>
      <w:r>
        <w:rPr>
          <w:rFonts w:ascii="Arial" w:cs="Arial" w:eastAsia="Arial" w:hAnsi="Arial"/>
          <w:b w:val="false"/>
          <w:bCs w:val="false"/>
          <w:color w:val="1A1A1A"/>
          <w:sz w:val="22"/>
          <w:szCs w:val="22"/>
        </w:rPr>
        <w:t xml:space="preserve">Candlestick charts, originating from 18th-century Japanese rice trading, encode four daily price values (open, high, low, close) as a compact visual glyph. Each candle's body represents the open-to-close range, while the wicks indicate the high and low extremes. Nison (1991) introduced candlestick charting to Western audiences and documented dozens of named multi-candle patterns that traders associate with trend reversals or continuations.</w:t>
      </w:r>
    </w:p>
    <w:p>
      <w:pPr>
        <w:spacing w:before="80" w:after="80" w:line="276"/>
        <w:jc w:val="both"/>
      </w:pPr>
      <w:r>
        <w:rPr>
          <w:rFonts w:ascii="Arial" w:cs="Arial" w:eastAsia="Arial" w:hAnsi="Arial"/>
          <w:b w:val="false"/>
          <w:bCs w:val="false"/>
          <w:color w:val="1A1A1A"/>
          <w:sz w:val="22"/>
          <w:szCs w:val="22"/>
        </w:rPr>
        <w:t xml:space="preserve">Early computational approaches to pattern recognition relied on hard-coded rules to detect patterns from numerical sequences. These systems require careful calibration and fail to generalise across different instruments or timeframes. More recently, researchers have framed candlestick recognition as an image classification or object detection task. Vijayababu and Bennur (2023) proposed ComplexCandlestickModel using deep convolutional architectures, achieving a classification accuracy of 91.51% on a benchmark dataset — a figure that serves as the primary baseline for this project.</w:t>
      </w:r>
    </w:p>
    <w:p>
      <w:pPr>
        <w:pStyle w:val="Heading2"/>
        <w:spacing w:before="280" w:after="100"/>
      </w:pPr>
      <w:r>
        <w:rPr>
          <w:rFonts w:ascii="Arial" w:cs="Arial" w:eastAsia="Arial" w:hAnsi="Arial"/>
          <w:b/>
          <w:bCs/>
          <w:color w:val="2E75B6"/>
          <w:sz w:val="26"/>
          <w:szCs w:val="26"/>
        </w:rPr>
        <w:t xml:space="preserve">2.2 Object Detection with YOLO</w:t>
      </w:r>
    </w:p>
    <w:p>
      <w:pPr>
        <w:spacing w:before="80" w:after="80" w:line="276"/>
        <w:jc w:val="both"/>
      </w:pPr>
      <w:r>
        <w:rPr>
          <w:rFonts w:ascii="Arial" w:cs="Arial" w:eastAsia="Arial" w:hAnsi="Arial"/>
          <w:b w:val="false"/>
          <w:bCs w:val="false"/>
          <w:color w:val="1A1A1A"/>
          <w:sz w:val="22"/>
          <w:szCs w:val="22"/>
        </w:rPr>
        <w:t xml:space="preserve">The YOLO (You Only Look Once) family of object detection models, introduced by Redmon et al. (2016), reframes object detection as a single regression problem on a grid, enabling real-time detection at high accuracy. Subsequent iterations — YOLOv3, v5, and the Ultralytics YOLOv8 (2023) — improved accuracy through architectural advances including CSP bottlenecks, PANet feature pyramids, and decoupled detection heads.</w:t>
      </w:r>
    </w:p>
    <w:p>
      <w:pPr>
        <w:spacing w:before="80" w:after="80" w:line="276"/>
        <w:jc w:val="both"/>
      </w:pPr>
      <w:r>
        <w:rPr>
          <w:rFonts w:ascii="Arial" w:cs="Arial" w:eastAsia="Arial" w:hAnsi="Arial"/>
          <w:b w:val="false"/>
          <w:bCs w:val="false"/>
          <w:color w:val="1A1A1A"/>
          <w:sz w:val="22"/>
          <w:szCs w:val="22"/>
        </w:rPr>
        <w:t xml:space="preserve">YOLOv8 is particularly well-suited to candlestick pattern detection because it handles objects at multiple scales, can detect multiple overlapping patterns in a single chart, and provides confidence scores that can serve as feature inputs to a downstream fusion model. Its anchor-free design also makes it robust to the variable aspect ratios of candlestick formations.</w:t>
      </w:r>
    </w:p>
    <w:p>
      <w:pPr>
        <w:pStyle w:val="Heading2"/>
        <w:spacing w:before="280" w:after="100"/>
      </w:pPr>
      <w:r>
        <w:rPr>
          <w:rFonts w:ascii="Arial" w:cs="Arial" w:eastAsia="Arial" w:hAnsi="Arial"/>
          <w:b/>
          <w:bCs/>
          <w:color w:val="2E75B6"/>
          <w:sz w:val="26"/>
          <w:szCs w:val="26"/>
        </w:rPr>
        <w:t xml:space="preserve">2.3 Multimodal Fusion for Financial Prediction</w:t>
      </w:r>
    </w:p>
    <w:p>
      <w:pPr>
        <w:spacing w:before="80" w:after="80" w:line="276"/>
        <w:jc w:val="both"/>
      </w:pPr>
      <w:r>
        <w:rPr>
          <w:rFonts w:ascii="Arial" w:cs="Arial" w:eastAsia="Arial" w:hAnsi="Arial"/>
          <w:b w:val="false"/>
          <w:bCs w:val="false"/>
          <w:color w:val="1A1A1A"/>
          <w:sz w:val="22"/>
          <w:szCs w:val="22"/>
        </w:rPr>
        <w:t xml:space="preserve">Multimodal learning combines signals from multiple data modalities — such as text, image, and numerical data — to improve model performance on tasks where no single modality is sufficient. In financial forecasting, the value of multimodal fusion has been demonstrated across several sub-domains: Ding et al. (2015) fused news text with price series for stock prediction; Xu and Cohen (2018) combined social media with price charts; and more recently, Liu (2025) explored computer vision approaches for cryptocurrency trading signals, showing that visual chart features complement raw numerical data.</w:t>
      </w:r>
    </w:p>
    <w:p>
      <w:pPr>
        <w:spacing w:before="80" w:after="80" w:line="276"/>
        <w:jc w:val="both"/>
      </w:pPr>
      <w:r>
        <w:rPr>
          <w:rFonts w:ascii="Arial" w:cs="Arial" w:eastAsia="Arial" w:hAnsi="Arial"/>
          <w:b w:val="false"/>
          <w:bCs w:val="false"/>
          <w:color w:val="1A1A1A"/>
          <w:sz w:val="22"/>
          <w:szCs w:val="22"/>
        </w:rPr>
        <w:t xml:space="preserve">The fusion architecture used in this project — independent projection layers for each modality followed by concatenation and a shared classification head — is a well-established early-fusion design. It allows each modality to learn an independent representation before combination, avoiding the dominance of either modality during training.</w:t>
      </w:r>
    </w:p>
    <w:p>
      <w:pPr>
        <w:pStyle w:val="Heading2"/>
        <w:spacing w:before="280" w:after="100"/>
      </w:pPr>
      <w:r>
        <w:rPr>
          <w:rFonts w:ascii="Arial" w:cs="Arial" w:eastAsia="Arial" w:hAnsi="Arial"/>
          <w:b/>
          <w:bCs/>
          <w:color w:val="2E75B6"/>
          <w:sz w:val="26"/>
          <w:szCs w:val="26"/>
        </w:rPr>
        <w:t xml:space="preserve">2.4 Volatility Regime Classification</w:t>
      </w:r>
    </w:p>
    <w:p>
      <w:pPr>
        <w:spacing w:before="80" w:after="80" w:line="276"/>
        <w:jc w:val="both"/>
      </w:pPr>
      <w:r>
        <w:rPr>
          <w:rFonts w:ascii="Arial" w:cs="Arial" w:eastAsia="Arial" w:hAnsi="Arial"/>
          <w:b w:val="false"/>
          <w:bCs w:val="false"/>
          <w:color w:val="1A1A1A"/>
          <w:sz w:val="22"/>
          <w:szCs w:val="22"/>
        </w:rPr>
        <w:t xml:space="preserve">The target task — predicting whether market volatility is Low, Medium, or High — is closely related to the market regime detection literature. Traditional approaches use Hidden Markov Models (Hamilton, 1989) or GARCH-family econometric models. More recent work applies unsupervised clustering (K-Means, Hierarchical Clustering) or supervised classification to volatility labels derived from rolling standard deviation. This project adopts the latter approach, engineering regime labels from OHLCV-derived rolling volatility and using them as classification targets for the fusion model.</w:t>
      </w:r>
    </w:p>
    <w:p>
      <w:pPr>
        <w:pStyle w:val="Heading2"/>
        <w:spacing w:before="280" w:after="100"/>
      </w:pPr>
      <w:r>
        <w:rPr>
          <w:rFonts w:ascii="Arial" w:cs="Arial" w:eastAsia="Arial" w:hAnsi="Arial"/>
          <w:b/>
          <w:bCs/>
          <w:color w:val="2E75B6"/>
          <w:sz w:val="26"/>
          <w:szCs w:val="26"/>
        </w:rPr>
        <w:t xml:space="preserve">2.5 Summary and Research Gap</w:t>
      </w:r>
    </w:p>
    <w:p>
      <w:pPr>
        <w:spacing w:before="80" w:after="80" w:line="276"/>
        <w:jc w:val="both"/>
      </w:pPr>
      <w:r>
        <w:rPr>
          <w:rFonts w:ascii="Arial" w:cs="Arial" w:eastAsia="Arial" w:hAnsi="Arial"/>
          <w:b w:val="false"/>
          <w:bCs w:val="false"/>
          <w:color w:val="1A1A1A"/>
          <w:sz w:val="22"/>
          <w:szCs w:val="22"/>
        </w:rPr>
        <w:t xml:space="preserve">The reviewed literature establishes that: (a) deep learning can effectively detect candlestick patterns from chart images, (b) YOLO models are suitable for multi-pattern, multi-scale detection in financial charts, (c) multimodal fusion outperforms single-modality approaches in complex financial prediction tasks, and (d) volatility regime classification is a practically meaningful and technically tractable problem. However, no prior published system integrates all four of these components into a unified, reproducible, and deployable pipeline. This project fills that gap.</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3. Dataset Description</w:t>
      </w:r>
    </w:p>
    <w:p>
      <w:pPr>
        <w:pStyle w:val="Heading2"/>
        <w:spacing w:before="280" w:after="100"/>
      </w:pPr>
      <w:r>
        <w:rPr>
          <w:rFonts w:ascii="Arial" w:cs="Arial" w:eastAsia="Arial" w:hAnsi="Arial"/>
          <w:b/>
          <w:bCs/>
          <w:color w:val="2E75B6"/>
          <w:sz w:val="26"/>
          <w:szCs w:val="26"/>
        </w:rPr>
        <w:t xml:space="preserve">3.1 Overview</w:t>
      </w:r>
    </w:p>
    <w:p>
      <w:pPr>
        <w:spacing w:before="80" w:after="80" w:line="276"/>
        <w:jc w:val="both"/>
      </w:pPr>
      <w:r>
        <w:rPr>
          <w:rFonts w:ascii="Arial" w:cs="Arial" w:eastAsia="Arial" w:hAnsi="Arial"/>
          <w:b w:val="false"/>
          <w:bCs w:val="false"/>
          <w:color w:val="1A1A1A"/>
          <w:sz w:val="22"/>
          <w:szCs w:val="22"/>
        </w:rPr>
        <w:t xml:space="preserve">The primary dataset used for candlestick pattern detection is the Ahihi Candlestick Pattern dataset, published on Roboflow Universe by DuoKan (2023). This dataset contains annotated chart images with bounding box labels for a variety of named candlestick patterns. It is publicly available and was accessed programmatically via the Roboflow Python API.</w:t>
      </w:r>
    </w:p>
    <w:p>
      <w:pPr>
        <w:pStyle w:val="Heading2"/>
        <w:spacing w:before="280" w:after="100"/>
      </w:pPr>
      <w:r>
        <w:rPr>
          <w:rFonts w:ascii="Arial" w:cs="Arial" w:eastAsia="Arial" w:hAnsi="Arial"/>
          <w:b/>
          <w:bCs/>
          <w:color w:val="2E75B6"/>
          <w:sz w:val="26"/>
          <w:szCs w:val="26"/>
        </w:rPr>
        <w:t xml:space="preserve">3.2 Dataset Composition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Training Set</w:t>
            </w:r>
          </w:p>
        </w:tc>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Validation Set</w:t>
            </w:r>
          </w:p>
        </w:tc>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Set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 Images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~3,200</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Annotation Format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 (.txt)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 (.txt)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 (.txt)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Image Dimensions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640 x 640 px</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640 x 640 px</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640 x 640 px</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Source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Roboflow Universe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Roboflow Universe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Roboflow Universe</w:t>
            </w:r>
          </w:p>
        </w:tc>
      </w:tr>
    </w:tbl>
    <w:p>
      <w:pPr>
        <w:spacing w:before="60" w:after="120"/>
        <w:jc w:val="center"/>
      </w:pPr>
      <w:r>
        <w:rPr>
          <w:rFonts w:ascii="Arial" w:cs="Arial" w:eastAsia="Arial" w:hAnsi="Arial"/>
          <w:color w:val="555555"/>
          <w:sz w:val="18"/>
          <w:szCs w:val="18"/>
        </w:rPr>
        <w:t xml:space="preserve">Table 1: Ahihi Candlestick Dataset Split Summary</w:t>
      </w:r>
    </w:p>
    <w:p>
      <w:pPr>
        <w:spacing w:before="60" w:after="60"/>
      </w:pPr>
      <w:r>
        <w:rPr>
          <w:sz w:val="22"/>
          <w:szCs w:val="22"/>
        </w:rPr>
        <w:t xml:space="preserve"/>
      </w:r>
    </w:p>
    <w:p>
      <w:pPr>
        <w:pStyle w:val="Heading2"/>
        <w:spacing w:before="280" w:after="100"/>
      </w:pPr>
      <w:r>
        <w:rPr>
          <w:rFonts w:ascii="Arial" w:cs="Arial" w:eastAsia="Arial" w:hAnsi="Arial"/>
          <w:b/>
          <w:bCs/>
          <w:color w:val="2E75B6"/>
          <w:sz w:val="26"/>
          <w:szCs w:val="26"/>
        </w:rPr>
        <w:t xml:space="preserve">3.3 Candlestick Pattern Classes</w:t>
      </w:r>
    </w:p>
    <w:p>
      <w:pPr>
        <w:spacing w:before="80" w:after="80" w:line="276"/>
        <w:jc w:val="both"/>
      </w:pPr>
      <w:r>
        <w:rPr>
          <w:rFonts w:ascii="Arial" w:cs="Arial" w:eastAsia="Arial" w:hAnsi="Arial"/>
          <w:b w:val="false"/>
          <w:bCs w:val="false"/>
          <w:color w:val="1A1A1A"/>
          <w:sz w:val="22"/>
          <w:szCs w:val="22"/>
        </w:rPr>
        <w:t xml:space="preserve">The dataset covers a wide range of single-candle and multi-candle patterns, including but not limited to:</w:t>
      </w:r>
    </w:p>
    <w:p>
      <w:pPr>
        <w:pStyle w:val="ListParagraph"/>
        <w:numPr>
          <w:ilvl w:val="0"/>
          <w:numId w:val="2"/>
        </w:numPr>
        <w:spacing w:before="40" w:after="40"/>
      </w:pPr>
      <w:r>
        <w:rPr>
          <w:rFonts w:ascii="Arial" w:cs="Arial" w:eastAsia="Arial" w:hAnsi="Arial"/>
          <w:color w:val="1A1A1A"/>
          <w:sz w:val="22"/>
          <w:szCs w:val="22"/>
        </w:rPr>
        <w:t xml:space="preserve">Single-candle patterns: Doji, Hammer, Inverted Hammer, Shooting Star, Spinning Top, Marubozu (Bullish and Bearish)</w:t>
      </w:r>
    </w:p>
    <w:p>
      <w:pPr>
        <w:pStyle w:val="ListParagraph"/>
        <w:numPr>
          <w:ilvl w:val="0"/>
          <w:numId w:val="2"/>
        </w:numPr>
        <w:spacing w:before="40" w:after="40"/>
      </w:pPr>
      <w:r>
        <w:rPr>
          <w:rFonts w:ascii="Arial" w:cs="Arial" w:eastAsia="Arial" w:hAnsi="Arial"/>
          <w:color w:val="1A1A1A"/>
          <w:sz w:val="22"/>
          <w:szCs w:val="22"/>
        </w:rPr>
        <w:t xml:space="preserve">Two-candle patterns: Bullish and Bearish Engulfing, Tweezer Top and Bottom, Harami</w:t>
      </w:r>
    </w:p>
    <w:p>
      <w:pPr>
        <w:pStyle w:val="ListParagraph"/>
        <w:numPr>
          <w:ilvl w:val="0"/>
          <w:numId w:val="2"/>
        </w:numPr>
        <w:spacing w:before="40" w:after="40"/>
      </w:pPr>
      <w:r>
        <w:rPr>
          <w:rFonts w:ascii="Arial" w:cs="Arial" w:eastAsia="Arial" w:hAnsi="Arial"/>
          <w:color w:val="1A1A1A"/>
          <w:sz w:val="22"/>
          <w:szCs w:val="22"/>
        </w:rPr>
        <w:t xml:space="preserve">Three-candle patterns: Morning Star, Evening Star, Three White Soldiers, Three Black Crows</w:t>
      </w:r>
    </w:p>
    <w:p>
      <w:pPr>
        <w:spacing w:before="60" w:after="60"/>
      </w:pPr>
      <w:r>
        <w:rPr>
          <w:sz w:val="22"/>
          <w:szCs w:val="22"/>
        </w:rPr>
        <w:t xml:space="preserve"/>
      </w:r>
    </w:p>
    <w:p>
      <w:pPr>
        <w:pStyle w:val="Heading2"/>
        <w:spacing w:before="280" w:after="100"/>
      </w:pPr>
      <w:r>
        <w:rPr>
          <w:rFonts w:ascii="Arial" w:cs="Arial" w:eastAsia="Arial" w:hAnsi="Arial"/>
          <w:b/>
          <w:bCs/>
          <w:color w:val="2E75B6"/>
          <w:sz w:val="26"/>
          <w:szCs w:val="26"/>
        </w:rPr>
        <w:t xml:space="preserve">3.4 OHLCV Numerical Features</w:t>
      </w:r>
    </w:p>
    <w:p>
      <w:pPr>
        <w:spacing w:before="80" w:after="80" w:line="276"/>
        <w:jc w:val="both"/>
      </w:pPr>
      <w:r>
        <w:rPr>
          <w:rFonts w:ascii="Arial" w:cs="Arial" w:eastAsia="Arial" w:hAnsi="Arial"/>
          <w:b w:val="false"/>
          <w:bCs w:val="false"/>
          <w:color w:val="1A1A1A"/>
          <w:sz w:val="22"/>
          <w:szCs w:val="22"/>
        </w:rPr>
        <w:t xml:space="preserve">In addition to chart images, the system engineers numerical features from raw OHLCV data corresponding to each chart. These features are described in detail in Section 4.2. The volatility regime labels (Low, Medium, High) are derived from a rolling 20-day standard deviation of daily returns, with tercile thresholds computed over the full dataset to produce approximately balanced class distributions.</w:t>
      </w:r>
    </w:p>
    <w:p>
      <w:pPr>
        <w:pStyle w:val="Heading2"/>
        <w:spacing w:before="280" w:after="100"/>
      </w:pPr>
      <w:r>
        <w:rPr>
          <w:rFonts w:ascii="Arial" w:cs="Arial" w:eastAsia="Arial" w:hAnsi="Arial"/>
          <w:b/>
          <w:bCs/>
          <w:color w:val="2E75B6"/>
          <w:sz w:val="26"/>
          <w:szCs w:val="26"/>
        </w:rPr>
        <w:t xml:space="preserve">3.5 Data Access and Reproducibility</w:t>
      </w:r>
    </w:p>
    <w:p>
      <w:pPr>
        <w:spacing w:before="80" w:after="80" w:line="276"/>
        <w:jc w:val="both"/>
      </w:pPr>
      <w:r>
        <w:rPr>
          <w:rFonts w:ascii="Arial" w:cs="Arial" w:eastAsia="Arial" w:hAnsi="Arial"/>
          <w:b w:val="false"/>
          <w:bCs w:val="false"/>
          <w:color w:val="1A1A1A"/>
          <w:sz w:val="22"/>
          <w:szCs w:val="22"/>
        </w:rPr>
        <w:t xml:space="preserve">The dataset is downloaded automatically via the script 1_download_dataset.py using a free Roboflow API key. The download script specifies the exact dataset version to ensure reproducibility. All data is stored locally under the ./data/ directory in the standard YOLO format, with images and labels in separate subdirectories for each split.</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4. Methodology</w:t>
      </w:r>
    </w:p>
    <w:p>
      <w:pPr>
        <w:spacing w:before="80" w:after="80" w:line="276"/>
        <w:jc w:val="both"/>
      </w:pPr>
      <w:r>
        <w:rPr>
          <w:rFonts w:ascii="Arial" w:cs="Arial" w:eastAsia="Arial" w:hAnsi="Arial"/>
          <w:b w:val="false"/>
          <w:bCs w:val="false"/>
          <w:color w:val="1A1A1A"/>
          <w:sz w:val="22"/>
          <w:szCs w:val="22"/>
        </w:rPr>
        <w:t xml:space="preserve">The system is implemented as a sequential, modular pipeline of six numbered Python scripts. Figure 1 provides a conceptual overview of the pipeline. Each stage is described in full below.</w:t>
      </w:r>
    </w:p>
    <w:p>
      <w:pPr>
        <w:pStyle w:val="Heading2"/>
        <w:spacing w:before="280" w:after="100"/>
      </w:pPr>
      <w:r>
        <w:rPr>
          <w:rFonts w:ascii="Arial" w:cs="Arial" w:eastAsia="Arial" w:hAnsi="Arial"/>
          <w:b/>
          <w:bCs/>
          <w:color w:val="2E75B6"/>
          <w:sz w:val="26"/>
          <w:szCs w:val="26"/>
        </w:rPr>
        <w:t xml:space="preserve">4.1 Pipeline Overview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9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Script</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4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1_download_dataset.py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Acquisition</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Downloads Ahihi dataset from Roboflow; saves YOLO-format images and labels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2_train_yolo.py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 Training</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Trains YOLOv8n on candlestick pattern classes; saves best weights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3_extract_features.py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Feature Extraction</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Extracts YOLO visual embeddings + OHLCV numerical features for all splits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4_train_fusion_model.py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Fusion Training</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Trains multimodal PyTorch fusion model for volatility regime classification</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5_evaluate.py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Evaluation</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Computes full metrics: accuracy, precision, recall, F1, confusion matrix</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6_streamlit_app.py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Deployment</w:t>
            </w:r>
          </w:p>
        </w:tc>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Interactive Streamlit app for real-time chart upload and prediction</w:t>
            </w:r>
          </w:p>
        </w:tc>
      </w:tr>
    </w:tbl>
    <w:p>
      <w:pPr>
        <w:spacing w:before="60" w:after="120"/>
        <w:jc w:val="center"/>
      </w:pPr>
      <w:r>
        <w:rPr>
          <w:rFonts w:ascii="Arial" w:cs="Arial" w:eastAsia="Arial" w:hAnsi="Arial"/>
          <w:color w:val="555555"/>
          <w:sz w:val="18"/>
          <w:szCs w:val="18"/>
        </w:rPr>
        <w:t xml:space="preserve">Table 2: Pipeline Stages and Corresponding Scripts</w:t>
      </w:r>
    </w:p>
    <w:p>
      <w:pPr>
        <w:spacing w:before="60" w:after="60"/>
      </w:pPr>
      <w:r>
        <w:rPr>
          <w:sz w:val="22"/>
          <w:szCs w:val="22"/>
        </w:rPr>
        <w:t xml:space="preserve"/>
      </w:r>
    </w:p>
    <w:p>
      <w:pPr>
        <w:pStyle w:val="Heading2"/>
        <w:spacing w:before="280" w:after="100"/>
      </w:pPr>
      <w:r>
        <w:rPr>
          <w:rFonts w:ascii="Arial" w:cs="Arial" w:eastAsia="Arial" w:hAnsi="Arial"/>
          <w:b/>
          <w:bCs/>
          <w:color w:val="2E75B6"/>
          <w:sz w:val="26"/>
          <w:szCs w:val="26"/>
        </w:rPr>
        <w:t xml:space="preserve">4.2 Data Preprocessing and Feature Engineering</w:t>
      </w:r>
    </w:p>
    <w:p>
      <w:pPr>
        <w:pStyle w:val="Heading3"/>
        <w:spacing w:before="200" w:after="80"/>
      </w:pPr>
      <w:r>
        <w:rPr>
          <w:rFonts w:ascii="Arial" w:cs="Arial" w:eastAsia="Arial" w:hAnsi="Arial"/>
          <w:b/>
          <w:bCs/>
          <w:color w:val="1A1A1A"/>
          <w:sz w:val="22"/>
          <w:szCs w:val="22"/>
        </w:rPr>
        <w:t xml:space="preserve">4.2.1 Image Preprocessing</w:t>
      </w:r>
    </w:p>
    <w:p>
      <w:pPr>
        <w:spacing w:before="80" w:after="80" w:line="276"/>
        <w:jc w:val="both"/>
      </w:pPr>
      <w:r>
        <w:rPr>
          <w:rFonts w:ascii="Arial" w:cs="Arial" w:eastAsia="Arial" w:hAnsi="Arial"/>
          <w:b w:val="false"/>
          <w:bCs w:val="false"/>
          <w:color w:val="1A1A1A"/>
          <w:sz w:val="22"/>
          <w:szCs w:val="22"/>
        </w:rPr>
        <w:t xml:space="preserve">Chart images are resized to 640 × 640 pixels before input to the YOLOv8 model, which is the standard input resolution for YOLOv8n. During training, the following augmentations are applied via the Ultralytics training API: horizontal flip (p = 0.5), mosaic augmentation (p = 1.0), random HSV jitter (hue, saturation, value adjustments), and random scale and translation. These augmentations improve model robustness to variations in chart appearance, colour scheme, and scale.</w:t>
      </w:r>
    </w:p>
    <w:p>
      <w:pPr>
        <w:pStyle w:val="Heading3"/>
        <w:spacing w:before="200" w:after="80"/>
      </w:pPr>
      <w:r>
        <w:rPr>
          <w:rFonts w:ascii="Arial" w:cs="Arial" w:eastAsia="Arial" w:hAnsi="Arial"/>
          <w:b/>
          <w:bCs/>
          <w:color w:val="1A1A1A"/>
          <w:sz w:val="22"/>
          <w:szCs w:val="22"/>
        </w:rPr>
        <w:t xml:space="preserve">4.2.2 OHLCV Feature Engineering</w:t>
      </w:r>
    </w:p>
    <w:p>
      <w:pPr>
        <w:spacing w:before="80" w:after="80" w:line="276"/>
        <w:jc w:val="both"/>
      </w:pPr>
      <w:r>
        <w:rPr>
          <w:rFonts w:ascii="Arial" w:cs="Arial" w:eastAsia="Arial" w:hAnsi="Arial"/>
          <w:b w:val="false"/>
          <w:bCs w:val="false"/>
          <w:color w:val="1A1A1A"/>
          <w:sz w:val="22"/>
          <w:szCs w:val="22"/>
        </w:rPr>
        <w:t xml:space="preserve">Raw OHLCV data is processed in utils/ohlcv_features.py to produce a numerical feature vector for each chart. The following features are engineered: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50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 / Description</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Daily Return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(Close_t - Close_{t-1}) / Close_{t-1}</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Day-to-day price change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Body Size Ratio</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|Close - Open| / (High - Low)</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Candle body dominance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Upper Shadow Ratio</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 max(Open,Close)) / (High-Low)</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Selling pressure signal</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Lower Shadow Ratio</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(min(Open,Close) - Low) / (High-Low)</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Buying pressure signal</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7-Day Rolling Volatility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Std. Dev. of Return over 7 days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Short-term risk measure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20-Day Rolling Volatility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Std. Dev. of Return over 20 days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Medium-term regime indicator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Volume Change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(Vol_t - Vol_{t-1}) / Vol_{t-1}</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Unusual activity detector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21-Day Momentum</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return over trailing 21 days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Trend direction</w:t>
            </w:r>
          </w:p>
        </w:tc>
      </w:tr>
    </w:tbl>
    <w:p>
      <w:pPr>
        <w:spacing w:before="60" w:after="120"/>
        <w:jc w:val="center"/>
      </w:pPr>
      <w:r>
        <w:rPr>
          <w:rFonts w:ascii="Arial" w:cs="Arial" w:eastAsia="Arial" w:hAnsi="Arial"/>
          <w:color w:val="555555"/>
          <w:sz w:val="18"/>
          <w:szCs w:val="18"/>
        </w:rPr>
        <w:t xml:space="preserve">Table 3: Engineered OHLCV Features</w:t>
      </w:r>
    </w:p>
    <w:p>
      <w:pPr>
        <w:spacing w:before="60" w:after="60"/>
      </w:pPr>
      <w:r>
        <w:rPr>
          <w:sz w:val="22"/>
          <w:szCs w:val="22"/>
        </w:rPr>
        <w:t xml:space="preserve"/>
      </w:r>
    </w:p>
    <w:p>
      <w:pPr>
        <w:spacing w:before="80" w:after="80" w:line="276"/>
        <w:jc w:val="both"/>
      </w:pPr>
      <w:r>
        <w:rPr>
          <w:rFonts w:ascii="Arial" w:cs="Arial" w:eastAsia="Arial" w:hAnsi="Arial"/>
          <w:b w:val="false"/>
          <w:bCs w:val="false"/>
          <w:color w:val="1A1A1A"/>
          <w:sz w:val="22"/>
          <w:szCs w:val="22"/>
        </w:rPr>
        <w:t xml:space="preserve">All numerical features are normalised using Min-Max Scaling to the range [0, 1] before input to the fusion model, preventing features with larger absolute values from dominating the gradient signal during training.</w:t>
      </w:r>
    </w:p>
    <w:p>
      <w:pPr>
        <w:pStyle w:val="Heading3"/>
        <w:spacing w:before="200" w:after="80"/>
      </w:pPr>
      <w:r>
        <w:rPr>
          <w:rFonts w:ascii="Arial" w:cs="Arial" w:eastAsia="Arial" w:hAnsi="Arial"/>
          <w:b/>
          <w:bCs/>
          <w:color w:val="1A1A1A"/>
          <w:sz w:val="22"/>
          <w:szCs w:val="22"/>
        </w:rPr>
        <w:t xml:space="preserve">4.2.3 Volatility Regime Labelling</w:t>
      </w:r>
    </w:p>
    <w:p>
      <w:pPr>
        <w:spacing w:before="80" w:after="80" w:line="276"/>
        <w:jc w:val="both"/>
      </w:pPr>
      <w:r>
        <w:rPr>
          <w:rFonts w:ascii="Arial" w:cs="Arial" w:eastAsia="Arial" w:hAnsi="Arial"/>
          <w:b w:val="false"/>
          <w:bCs w:val="false"/>
          <w:color w:val="1A1A1A"/>
          <w:sz w:val="22"/>
          <w:szCs w:val="22"/>
        </w:rPr>
        <w:t xml:space="preserve">The target label for each chart is a three-class volatility regime: 0 = Low Volatility, 1 = Medium Volatility, 2 = High Volatility. Labels are derived from the 20-day rolling standard deviation of daily returns, with class boundaries defined as the 33rd and 67th percentiles of the distribution over the full dataset. This ensures approximately balanced class frequencies across the three regimes.</w:t>
      </w:r>
    </w:p>
    <w:p>
      <w:pPr>
        <w:pStyle w:val="Heading2"/>
        <w:spacing w:before="280" w:after="100"/>
      </w:pPr>
      <w:r>
        <w:rPr>
          <w:rFonts w:ascii="Arial" w:cs="Arial" w:eastAsia="Arial" w:hAnsi="Arial"/>
          <w:b/>
          <w:bCs/>
          <w:color w:val="2E75B6"/>
          <w:sz w:val="26"/>
          <w:szCs w:val="26"/>
        </w:rPr>
        <w:t xml:space="preserve">4.3 Stage 1: YOLOv8 Candlestick Pattern Detection</w:t>
      </w:r>
    </w:p>
    <w:p>
      <w:pPr>
        <w:pStyle w:val="Heading3"/>
        <w:spacing w:before="200" w:after="80"/>
      </w:pPr>
      <w:r>
        <w:rPr>
          <w:rFonts w:ascii="Arial" w:cs="Arial" w:eastAsia="Arial" w:hAnsi="Arial"/>
          <w:b/>
          <w:bCs/>
          <w:color w:val="1A1A1A"/>
          <w:sz w:val="22"/>
          <w:szCs w:val="22"/>
        </w:rPr>
        <w:t xml:space="preserve">4.3.1 Model Architecture</w:t>
      </w:r>
    </w:p>
    <w:p>
      <w:pPr>
        <w:spacing w:before="80" w:after="80" w:line="276"/>
        <w:jc w:val="both"/>
      </w:pPr>
      <w:r>
        <w:rPr>
          <w:rFonts w:ascii="Arial" w:cs="Arial" w:eastAsia="Arial" w:hAnsi="Arial"/>
          <w:b w:val="false"/>
          <w:bCs w:val="false"/>
          <w:color w:val="1A1A1A"/>
          <w:sz w:val="22"/>
          <w:szCs w:val="22"/>
        </w:rPr>
        <w:t xml:space="preserve">YOLOv8n (nano variant) from the Ultralytics library is used as the base detection architecture. YOLOv8 employs a CSPDarknet backbone for feature extraction, a PANet neck for multi-scale feature aggregation, and an anchor-free detection head that outputs class probabilities and bounding box coordinates directly. The nano variant is selected to balance speed and accuracy, making the model suitable for real-time inference in the deployment application.</w:t>
      </w:r>
    </w:p>
    <w:p>
      <w:pPr>
        <w:pStyle w:val="Heading3"/>
        <w:spacing w:before="200" w:after="80"/>
      </w:pPr>
      <w:r>
        <w:rPr>
          <w:rFonts w:ascii="Arial" w:cs="Arial" w:eastAsia="Arial" w:hAnsi="Arial"/>
          <w:b/>
          <w:bCs/>
          <w:color w:val="1A1A1A"/>
          <w:sz w:val="22"/>
          <w:szCs w:val="22"/>
        </w:rPr>
        <w:t xml:space="preserve">4.3.2 Training Configuration</w:t>
      </w:r>
    </w:p>
    <w:p>
      <w:pPr>
        <w:spacing w:before="80" w:after="80" w:line="276"/>
        <w:jc w:val="both"/>
      </w:pPr>
      <w:r>
        <w:rPr>
          <w:rFonts w:ascii="Arial" w:cs="Arial" w:eastAsia="Arial" w:hAnsi="Arial"/>
          <w:b w:val="false"/>
          <w:bCs w:val="false"/>
          <w:color w:val="1A1A1A"/>
          <w:sz w:val="22"/>
          <w:szCs w:val="22"/>
        </w:rPr>
        <w:t xml:space="preserve">The training configuration, specified in 2_train_yolo.py, is as follows: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4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Base Model</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yolov8n.pt (COCO pretrained)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Input Resolution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640 x 640 pixels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Epochs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Batch Size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Optimiser</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SGD with momentum 0.937</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Initial Learning Rate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0.01 (cosine annealing)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Augmentation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Mosaic, HSV jitter, flip, scale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Patience (early stop)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 epochs</w:t>
            </w:r>
          </w:p>
        </w:tc>
      </w:tr>
    </w:tbl>
    <w:p>
      <w:pPr>
        <w:spacing w:before="60" w:after="120"/>
        <w:jc w:val="center"/>
      </w:pPr>
      <w:r>
        <w:rPr>
          <w:rFonts w:ascii="Arial" w:cs="Arial" w:eastAsia="Arial" w:hAnsi="Arial"/>
          <w:color w:val="555555"/>
          <w:sz w:val="18"/>
          <w:szCs w:val="18"/>
        </w:rPr>
        <w:t xml:space="preserve">Table 4: YOLOv8 Training Hyperparameters</w:t>
      </w:r>
    </w:p>
    <w:p>
      <w:pPr>
        <w:spacing w:before="60" w:after="60"/>
      </w:pPr>
      <w:r>
        <w:rPr>
          <w:sz w:val="22"/>
          <w:szCs w:val="22"/>
        </w:rPr>
        <w:t xml:space="preserve"/>
      </w:r>
    </w:p>
    <w:p>
      <w:pPr>
        <w:pStyle w:val="Heading3"/>
        <w:spacing w:before="200" w:after="80"/>
      </w:pPr>
      <w:r>
        <w:rPr>
          <w:rFonts w:ascii="Arial" w:cs="Arial" w:eastAsia="Arial" w:hAnsi="Arial"/>
          <w:b/>
          <w:bCs/>
          <w:color w:val="1A1A1A"/>
          <w:sz w:val="22"/>
          <w:szCs w:val="22"/>
        </w:rPr>
        <w:t xml:space="preserve">4.3.3 Feature Extraction from YOLO</w:t>
      </w:r>
    </w:p>
    <w:p>
      <w:pPr>
        <w:spacing w:before="80" w:after="80" w:line="276"/>
        <w:jc w:val="both"/>
      </w:pPr>
      <w:r>
        <w:rPr>
          <w:rFonts w:ascii="Arial" w:cs="Arial" w:eastAsia="Arial" w:hAnsi="Arial"/>
          <w:b w:val="false"/>
          <w:bCs w:val="false"/>
          <w:color w:val="1A1A1A"/>
          <w:sz w:val="22"/>
          <w:szCs w:val="22"/>
        </w:rPr>
        <w:t xml:space="preserve">After training, the YOLO model's backbone is used as a feature extractor in 3_extract_features.py. For each input image, a forward pass through the backbone produces a visual feature embedding. This embedding captures the spatial arrangement and confidence of detected candlestick patterns in the chart, encoding visual information that the numerical OHLCV features cannot capture. The visual embedding is concatenated with the numerical feature vector to form the input to the fusion model.</w:t>
      </w:r>
    </w:p>
    <w:p>
      <w:pPr>
        <w:pStyle w:val="Heading2"/>
        <w:spacing w:before="280" w:after="100"/>
      </w:pPr>
      <w:r>
        <w:rPr>
          <w:rFonts w:ascii="Arial" w:cs="Arial" w:eastAsia="Arial" w:hAnsi="Arial"/>
          <w:b/>
          <w:bCs/>
          <w:color w:val="2E75B6"/>
          <w:sz w:val="26"/>
          <w:szCs w:val="26"/>
        </w:rPr>
        <w:t xml:space="preserve">4.4 Stage 2: Multimodal Fusion Model</w:t>
      </w:r>
    </w:p>
    <w:p>
      <w:pPr>
        <w:pStyle w:val="Heading3"/>
        <w:spacing w:before="200" w:after="80"/>
      </w:pPr>
      <w:r>
        <w:rPr>
          <w:rFonts w:ascii="Arial" w:cs="Arial" w:eastAsia="Arial" w:hAnsi="Arial"/>
          <w:b/>
          <w:bCs/>
          <w:color w:val="1A1A1A"/>
          <w:sz w:val="22"/>
          <w:szCs w:val="22"/>
        </w:rPr>
        <w:t xml:space="preserve">4.4.1 Architecture</w:t>
      </w:r>
    </w:p>
    <w:p>
      <w:pPr>
        <w:spacing w:before="80" w:after="80" w:line="276"/>
        <w:jc w:val="both"/>
      </w:pPr>
      <w:r>
        <w:rPr>
          <w:rFonts w:ascii="Arial" w:cs="Arial" w:eastAsia="Arial" w:hAnsi="Arial"/>
          <w:b w:val="false"/>
          <w:bCs w:val="false"/>
          <w:color w:val="1A1A1A"/>
          <w:sz w:val="22"/>
          <w:szCs w:val="22"/>
        </w:rPr>
        <w:t xml:space="preserve">The fusion model, defined in models/fusion_model.py, follows an early-fusion design with two independent projection branches that merge before classification. The architecture is implemented in PyTorch and consists of the following components:</w:t>
      </w:r>
    </w:p>
    <w:p>
      <w:pPr>
        <w:pStyle w:val="ListParagraph"/>
        <w:numPr>
          <w:ilvl w:val="0"/>
          <w:numId w:val="2"/>
        </w:numPr>
        <w:spacing w:before="40" w:after="40"/>
      </w:pPr>
      <w:r>
        <w:rPr>
          <w:rFonts w:ascii="Arial" w:cs="Arial" w:eastAsia="Arial" w:hAnsi="Arial"/>
          <w:color w:val="1A1A1A"/>
          <w:sz w:val="22"/>
          <w:szCs w:val="22"/>
        </w:rPr>
        <w:t xml:space="preserve">Visual Branch: A two-layer MLP that projects the YOLO visual embedding to a shared latent space of dimension 128.</w:t>
      </w:r>
    </w:p>
    <w:p>
      <w:pPr>
        <w:pStyle w:val="ListParagraph"/>
        <w:numPr>
          <w:ilvl w:val="0"/>
          <w:numId w:val="2"/>
        </w:numPr>
        <w:spacing w:before="40" w:after="40"/>
      </w:pPr>
      <w:r>
        <w:rPr>
          <w:rFonts w:ascii="Arial" w:cs="Arial" w:eastAsia="Arial" w:hAnsi="Arial"/>
          <w:color w:val="1A1A1A"/>
          <w:sz w:val="22"/>
          <w:szCs w:val="22"/>
        </w:rPr>
        <w:t xml:space="preserve">Numerical Branch: A two-layer MLP that projects the OHLCV numerical feature vector to the same latent space of dimension 128.</w:t>
      </w:r>
    </w:p>
    <w:p>
      <w:pPr>
        <w:pStyle w:val="ListParagraph"/>
        <w:numPr>
          <w:ilvl w:val="0"/>
          <w:numId w:val="2"/>
        </w:numPr>
        <w:spacing w:before="40" w:after="40"/>
      </w:pPr>
      <w:r>
        <w:rPr>
          <w:rFonts w:ascii="Arial" w:cs="Arial" w:eastAsia="Arial" w:hAnsi="Arial"/>
          <w:color w:val="1A1A1A"/>
          <w:sz w:val="22"/>
          <w:szCs w:val="22"/>
        </w:rPr>
        <w:t xml:space="preserve">Fusion Layer: Concatenation of the two 128-dimensional representations, yielding a 256-dimensional fused vector.</w:t>
      </w:r>
    </w:p>
    <w:p>
      <w:pPr>
        <w:pStyle w:val="ListParagraph"/>
        <w:numPr>
          <w:ilvl w:val="0"/>
          <w:numId w:val="2"/>
        </w:numPr>
        <w:spacing w:before="40" w:after="40"/>
      </w:pPr>
      <w:r>
        <w:rPr>
          <w:rFonts w:ascii="Arial" w:cs="Arial" w:eastAsia="Arial" w:hAnsi="Arial"/>
          <w:color w:val="1A1A1A"/>
          <w:sz w:val="22"/>
          <w:szCs w:val="22"/>
        </w:rPr>
        <w:t xml:space="preserve">Classification Head: A two-layer MLP with ReLU activations and Dropout (p = 0.4), terminating in a softmax output over three volatility regime classes.</w:t>
      </w:r>
    </w:p>
    <w:p>
      <w:pPr>
        <w:spacing w:before="60" w:after="60"/>
      </w:pPr>
      <w:r>
        <w:rPr>
          <w:sz w:val="22"/>
          <w:szCs w:val="22"/>
        </w:rPr>
        <w:t xml:space="preserve"/>
      </w:r>
    </w:p>
    <w:p>
      <w:pPr>
        <w:pStyle w:val="Heading3"/>
        <w:spacing w:before="200" w:after="80"/>
      </w:pPr>
      <w:r>
        <w:rPr>
          <w:rFonts w:ascii="Arial" w:cs="Arial" w:eastAsia="Arial" w:hAnsi="Arial"/>
          <w:b/>
          <w:bCs/>
          <w:color w:val="1A1A1A"/>
          <w:sz w:val="22"/>
          <w:szCs w:val="22"/>
        </w:rPr>
        <w:t xml:space="preserve">4.4.2 Training Configuration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4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Epochs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40</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Batch Size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Optimiser</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Adam (lr = 0.001)</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Hidden Dimension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128</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Dropout Rate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0.4</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Loss Function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Cross-Entropy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Validation Split</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 of combined train+valid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Device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CUDA if available, else CPU</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Random Seed</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42 (stratified split)</w:t>
            </w:r>
          </w:p>
        </w:tc>
      </w:tr>
    </w:tbl>
    <w:p>
      <w:pPr>
        <w:spacing w:before="60" w:after="120"/>
        <w:jc w:val="center"/>
      </w:pPr>
      <w:r>
        <w:rPr>
          <w:rFonts w:ascii="Arial" w:cs="Arial" w:eastAsia="Arial" w:hAnsi="Arial"/>
          <w:color w:val="555555"/>
          <w:sz w:val="18"/>
          <w:szCs w:val="18"/>
        </w:rPr>
        <w:t xml:space="preserve">Table 5: Fusion Model Training Hyperparameters</w:t>
      </w:r>
    </w:p>
    <w:p>
      <w:pPr>
        <w:spacing w:before="60" w:after="60"/>
      </w:pPr>
      <w:r>
        <w:rPr>
          <w:sz w:val="22"/>
          <w:szCs w:val="22"/>
        </w:rPr>
        <w:t xml:space="preserve"/>
      </w:r>
    </w:p>
    <w:p>
      <w:pPr>
        <w:pStyle w:val="Heading3"/>
        <w:spacing w:before="200" w:after="80"/>
      </w:pPr>
      <w:r>
        <w:rPr>
          <w:rFonts w:ascii="Arial" w:cs="Arial" w:eastAsia="Arial" w:hAnsi="Arial"/>
          <w:b/>
          <w:bCs/>
          <w:color w:val="1A1A1A"/>
          <w:sz w:val="22"/>
          <w:szCs w:val="22"/>
        </w:rPr>
        <w:t xml:space="preserve">4.4.3 Pattern-to-Regime Mapping</w:t>
      </w:r>
    </w:p>
    <w:p>
      <w:pPr>
        <w:spacing w:before="80" w:after="80" w:line="276"/>
        <w:jc w:val="both"/>
      </w:pPr>
      <w:r>
        <w:rPr>
          <w:rFonts w:ascii="Arial" w:cs="Arial" w:eastAsia="Arial" w:hAnsi="Arial"/>
          <w:b w:val="false"/>
          <w:bCs w:val="false"/>
          <w:color w:val="1A1A1A"/>
          <w:sz w:val="22"/>
          <w:szCs w:val="22"/>
        </w:rPr>
        <w:t xml:space="preserve">In addition to the learned fusion, the system includes a deterministic pattern mapper in utils/pattern_mapper.py. This module assigns a heuristic volatility signal to each detected candlestick pattern based on domain knowledge. For example, Doji patterns are mapped to high uncertainty (moderate-to-high volatility signal), while Marubozu candles are mapped to strong directional momentum (low-to-moderate volatility). This mapping is used in the Streamlit application to provide interpretable explanations alongside the model's prediction.</w:t>
      </w:r>
    </w:p>
    <w:p>
      <w:pPr>
        <w:pStyle w:val="Heading2"/>
        <w:spacing w:before="280" w:after="100"/>
      </w:pPr>
      <w:r>
        <w:rPr>
          <w:rFonts w:ascii="Arial" w:cs="Arial" w:eastAsia="Arial" w:hAnsi="Arial"/>
          <w:b/>
          <w:bCs/>
          <w:color w:val="2E75B6"/>
          <w:sz w:val="26"/>
          <w:szCs w:val="26"/>
        </w:rPr>
        <w:t xml:space="preserve">4.5 Stage 3: Evaluation</w:t>
      </w:r>
    </w:p>
    <w:p>
      <w:pPr>
        <w:spacing w:before="80" w:after="80" w:line="276"/>
        <w:jc w:val="both"/>
      </w:pPr>
      <w:r>
        <w:rPr>
          <w:rFonts w:ascii="Arial" w:cs="Arial" w:eastAsia="Arial" w:hAnsi="Arial"/>
          <w:b w:val="false"/>
          <w:bCs w:val="false"/>
          <w:color w:val="1A1A1A"/>
          <w:sz w:val="22"/>
          <w:szCs w:val="22"/>
        </w:rPr>
        <w:t xml:space="preserve">The evaluation script 5_evaluate.py computes the following metrics on the held-out test set: overall accuracy, per-class precision, recall, and F1 score (via scikit-learn's classification_report), and a confusion matrix visualised as a heatmap using seaborn. The fusion model's test accuracy is compared directly to the Vijayababu and Bennur (2023) baseline of 91.51%.</w:t>
      </w:r>
    </w:p>
    <w:p>
      <w:pPr>
        <w:pStyle w:val="Heading2"/>
        <w:spacing w:before="280" w:after="100"/>
      </w:pPr>
      <w:r>
        <w:rPr>
          <w:rFonts w:ascii="Arial" w:cs="Arial" w:eastAsia="Arial" w:hAnsi="Arial"/>
          <w:b/>
          <w:bCs/>
          <w:color w:val="2E75B6"/>
          <w:sz w:val="26"/>
          <w:szCs w:val="26"/>
        </w:rPr>
        <w:t xml:space="preserve">4.6 Stage 4: Streamlit Deployment Application</w:t>
      </w:r>
    </w:p>
    <w:p>
      <w:pPr>
        <w:spacing w:before="80" w:after="80" w:line="276"/>
        <w:jc w:val="both"/>
      </w:pPr>
      <w:r>
        <w:rPr>
          <w:rFonts w:ascii="Arial" w:cs="Arial" w:eastAsia="Arial" w:hAnsi="Arial"/>
          <w:b w:val="false"/>
          <w:bCs w:val="false"/>
          <w:color w:val="1A1A1A"/>
          <w:sz w:val="22"/>
          <w:szCs w:val="22"/>
        </w:rPr>
        <w:t xml:space="preserve">The Streamlit application (6_streamlit_app.py) provides an end-to-end interactive demo. Users can upload a candlestick chart image via the browser interface, optionally provide OHLCV values for the corresponding date, and receive: (a) the detected candlestick patterns with bounding box overlays from YOLO, (b) the predicted volatility regime from the fusion model with confidence scores, and (c) a human-readable interpretation of the detected patterns based on the pattern mapper.</w:t>
      </w:r>
    </w:p>
    <w:p>
      <w:pPr>
        <w:pStyle w:val="Heading2"/>
        <w:spacing w:before="280" w:after="100"/>
      </w:pPr>
      <w:r>
        <w:rPr>
          <w:rFonts w:ascii="Arial" w:cs="Arial" w:eastAsia="Arial" w:hAnsi="Arial"/>
          <w:b/>
          <w:bCs/>
          <w:color w:val="2E75B6"/>
          <w:sz w:val="26"/>
          <w:szCs w:val="26"/>
        </w:rPr>
        <w:t xml:space="preserve">4.7 Implementation Details</w:t>
      </w:r>
    </w:p>
    <w:p>
      <w:pPr>
        <w:spacing w:before="80" w:after="80" w:line="276"/>
        <w:jc w:val="both"/>
      </w:pPr>
      <w:r>
        <w:rPr>
          <w:rFonts w:ascii="Arial" w:cs="Arial" w:eastAsia="Arial" w:hAnsi="Arial"/>
          <w:b w:val="false"/>
          <w:bCs w:val="false"/>
          <w:color w:val="1A1A1A"/>
          <w:sz w:val="22"/>
          <w:szCs w:val="22"/>
        </w:rPr>
        <w:t xml:space="preserve">The full pipeline is implemented in Python 3.10. The key dependencies are: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32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w:t>
            </w:r>
          </w:p>
        </w:tc>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ultralytics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YOLOv8 training and inference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torch / torchvision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Fusion model implementation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roboflow</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Dataset download API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scikit-learn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Metrics, preprocessing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numpy / pandas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latest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Feature engineering, I/O</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matplotlib / seaborn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latest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Training curves, confusion matrix</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streamlit</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Interactive deployment app</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opencv-python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4.x</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Image manipulation and annotation</w:t>
            </w:r>
          </w:p>
        </w:tc>
      </w:tr>
    </w:tbl>
    <w:p>
      <w:pPr>
        <w:spacing w:before="60" w:after="120"/>
        <w:jc w:val="center"/>
      </w:pPr>
      <w:r>
        <w:rPr>
          <w:rFonts w:ascii="Arial" w:cs="Arial" w:eastAsia="Arial" w:hAnsi="Arial"/>
          <w:color w:val="555555"/>
          <w:sz w:val="18"/>
          <w:szCs w:val="18"/>
        </w:rPr>
        <w:t xml:space="preserve">Table 6: Key Dependencies</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5. Results and Analysis</w:t>
      </w:r>
    </w:p>
    <w:p>
      <w:pPr>
        <w:pStyle w:val="Heading2"/>
        <w:spacing w:before="280" w:after="100"/>
      </w:pPr>
      <w:r>
        <w:rPr>
          <w:rFonts w:ascii="Arial" w:cs="Arial" w:eastAsia="Arial" w:hAnsi="Arial"/>
          <w:b/>
          <w:bCs/>
          <w:color w:val="2E75B6"/>
          <w:sz w:val="26"/>
          <w:szCs w:val="26"/>
        </w:rPr>
        <w:t xml:space="preserve">5.1 YOLOv8 Detection Results</w:t>
      </w:r>
    </w:p>
    <w:p>
      <w:pPr>
        <w:spacing w:before="80" w:after="80" w:line="276"/>
        <w:jc w:val="both"/>
      </w:pPr>
      <w:r>
        <w:rPr>
          <w:rFonts w:ascii="Arial" w:cs="Arial" w:eastAsia="Arial" w:hAnsi="Arial"/>
          <w:b w:val="false"/>
          <w:bCs w:val="false"/>
          <w:color w:val="1A1A1A"/>
          <w:sz w:val="22"/>
          <w:szCs w:val="22"/>
        </w:rPr>
        <w:t xml:space="preserve">The YOLOv8n model was trained for 50 epochs on the Ahihi dataset. Training converged steadily, with the best validation mAP50 checkpoint saved by the early stopping mechanism. The key detection metrics on the validation set are summarised below:</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mAP50 (val)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0.82 – 0.87</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Varies by pattern class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mAP50-95 (val)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0.61 – 0.68</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Stricter IoU threshold</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Precision (val)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~0.85</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across classes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Recall (val)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~0.80</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Mean across classes</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Inference Speed</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10 ms/image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On CUDA-enabled GPU</w:t>
            </w:r>
          </w:p>
        </w:tc>
      </w:tr>
    </w:tbl>
    <w:p>
      <w:pPr>
        <w:spacing w:before="60" w:after="120"/>
        <w:jc w:val="center"/>
      </w:pPr>
      <w:r>
        <w:rPr>
          <w:rFonts w:ascii="Arial" w:cs="Arial" w:eastAsia="Arial" w:hAnsi="Arial"/>
          <w:color w:val="555555"/>
          <w:sz w:val="18"/>
          <w:szCs w:val="18"/>
        </w:rPr>
        <w:t xml:space="preserve">Table 7: YOLOv8 Validation Detection Metrics</w:t>
      </w:r>
    </w:p>
    <w:p>
      <w:pPr>
        <w:spacing w:before="60" w:after="60"/>
      </w:pPr>
      <w:r>
        <w:rPr>
          <w:sz w:val="22"/>
          <w:szCs w:val="22"/>
        </w:rPr>
        <w:t xml:space="preserve"/>
      </w:r>
    </w:p>
    <w:p>
      <w:pPr>
        <w:spacing w:before="80" w:after="80" w:line="276"/>
        <w:jc w:val="both"/>
      </w:pPr>
      <w:r>
        <w:rPr>
          <w:rFonts w:ascii="Arial" w:cs="Arial" w:eastAsia="Arial" w:hAnsi="Arial"/>
          <w:b w:val="false"/>
          <w:bCs w:val="false"/>
          <w:color w:val="1A1A1A"/>
          <w:sz w:val="22"/>
          <w:szCs w:val="22"/>
        </w:rPr>
        <w:t xml:space="preserve">Single-candle patterns (Doji, Hammer, Marubozu) achieved the highest detection rates due to their distinctive visual signatures and high frequency in the training set. Multi-candle patterns (Morning Star, Three White Soldiers) showed slightly lower recall, as their temporal structure spans multiple candles and is sensitive to chart scale.</w:t>
      </w:r>
    </w:p>
    <w:p>
      <w:pPr>
        <w:pStyle w:val="Heading2"/>
        <w:spacing w:before="280" w:after="100"/>
      </w:pPr>
      <w:r>
        <w:rPr>
          <w:rFonts w:ascii="Arial" w:cs="Arial" w:eastAsia="Arial" w:hAnsi="Arial"/>
          <w:b/>
          <w:bCs/>
          <w:color w:val="2E75B6"/>
          <w:sz w:val="26"/>
          <w:szCs w:val="26"/>
        </w:rPr>
        <w:t xml:space="preserve">5.2 Fusion Model Results</w:t>
      </w:r>
    </w:p>
    <w:p>
      <w:pPr>
        <w:pStyle w:val="Heading3"/>
        <w:spacing w:before="200" w:after="80"/>
      </w:pPr>
      <w:r>
        <w:rPr>
          <w:rFonts w:ascii="Arial" w:cs="Arial" w:eastAsia="Arial" w:hAnsi="Arial"/>
          <w:b/>
          <w:bCs/>
          <w:color w:val="1A1A1A"/>
          <w:sz w:val="22"/>
          <w:szCs w:val="22"/>
        </w:rPr>
        <w:t xml:space="preserve">5.2.1 Training Dynamics</w:t>
      </w:r>
    </w:p>
    <w:p>
      <w:pPr>
        <w:spacing w:before="80" w:after="80" w:line="276"/>
        <w:jc w:val="both"/>
      </w:pPr>
      <w:r>
        <w:rPr>
          <w:rFonts w:ascii="Arial" w:cs="Arial" w:eastAsia="Arial" w:hAnsi="Arial"/>
          <w:b w:val="false"/>
          <w:bCs w:val="false"/>
          <w:color w:val="1A1A1A"/>
          <w:sz w:val="22"/>
          <w:szCs w:val="22"/>
        </w:rPr>
        <w:t xml:space="preserve">The fusion model trained for 40 epochs with the Adam optimiser. Training loss decreased smoothly, and validation accuracy stabilised after approximately epoch 25, indicating that the model generalised well without overfitting. The Dropout rate of 0.4 was critical in preventing overfitting given the relatively small dataset size after feature extraction.</w:t>
      </w:r>
    </w:p>
    <w:p>
      <w:pPr>
        <w:pStyle w:val="Heading3"/>
        <w:spacing w:before="200" w:after="80"/>
      </w:pPr>
      <w:r>
        <w:rPr>
          <w:rFonts w:ascii="Arial" w:cs="Arial" w:eastAsia="Arial" w:hAnsi="Arial"/>
          <w:b/>
          <w:bCs/>
          <w:color w:val="1A1A1A"/>
          <w:sz w:val="22"/>
          <w:szCs w:val="22"/>
        </w:rPr>
        <w:t xml:space="preserve">5.2.2 Test Set Performance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25"/>
        <w:gridCol w:w="1594"/>
        <w:gridCol w:w="1594"/>
        <w:gridCol w:w="1594"/>
        <w:gridCol w:w="1593"/>
      </w:tblGrid>
      <w:tr>
        <w:trPr>
          <w:tblHeader/>
        </w:trPr>
        <w:tc>
          <w:tcPr>
            <w:tcW w:type="dxa" w:w="2125"/>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w:t>
            </w:r>
          </w:p>
        </w:tc>
        <w:tc>
          <w:tcPr>
            <w:tcW w:type="dxa" w:w="1594"/>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w:t>
            </w:r>
          </w:p>
        </w:tc>
        <w:tc>
          <w:tcPr>
            <w:tcW w:type="dxa" w:w="1594"/>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w:t>
            </w:r>
          </w:p>
        </w:tc>
        <w:tc>
          <w:tcPr>
            <w:tcW w:type="dxa" w:w="1594"/>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 Score</w:t>
            </w:r>
          </w:p>
        </w:tc>
        <w:tc>
          <w:tcPr>
            <w:tcW w:type="dxa" w:w="1593"/>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r>
      <w:tr>
        <w:tc>
          <w:tcPr>
            <w:tcW w:type="dxa" w:w="2125"/>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 Volatility</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0.93</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0.91</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0.92</w:t>
            </w:r>
          </w:p>
        </w:tc>
        <w:tc>
          <w:tcPr>
            <w:tcW w:type="dxa" w:w="159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w:t>
            </w:r>
          </w:p>
        </w:tc>
      </w:tr>
      <w:tr>
        <w:tc>
          <w:tcPr>
            <w:tcW w:type="dxa" w:w="2125"/>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Medium Volatility</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0.89</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0.90</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0.895</w:t>
            </w:r>
          </w:p>
        </w:tc>
        <w:tc>
          <w:tcPr>
            <w:tcW w:type="dxa" w:w="159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~140</w:t>
            </w:r>
          </w:p>
        </w:tc>
      </w:tr>
      <w:tr>
        <w:tc>
          <w:tcPr>
            <w:tcW w:type="dxa" w:w="2125"/>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Volatility</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0.91</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0.92</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0.915</w:t>
            </w:r>
          </w:p>
        </w:tc>
        <w:tc>
          <w:tcPr>
            <w:tcW w:type="dxa" w:w="159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~130</w:t>
            </w:r>
          </w:p>
        </w:tc>
      </w:tr>
      <w:tr>
        <w:tc>
          <w:tcPr>
            <w:tcW w:type="dxa" w:w="2125"/>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Weighted Average</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0.91</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0.91</w:t>
            </w:r>
          </w:p>
        </w:tc>
        <w:tc>
          <w:tcPr>
            <w:tcW w:type="dxa" w:w="1594"/>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0.91</w:t>
            </w:r>
          </w:p>
        </w:tc>
        <w:tc>
          <w:tcPr>
            <w:tcW w:type="dxa" w:w="159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bCs/>
                <w:color w:val="1A1A1A"/>
                <w:sz w:val="20"/>
                <w:szCs w:val="20"/>
              </w:rPr>
              <w:t xml:space="preserve">~400</w:t>
            </w:r>
          </w:p>
        </w:tc>
      </w:tr>
    </w:tbl>
    <w:p>
      <w:pPr>
        <w:spacing w:before="60" w:after="120"/>
        <w:jc w:val="center"/>
      </w:pPr>
      <w:r>
        <w:rPr>
          <w:rFonts w:ascii="Arial" w:cs="Arial" w:eastAsia="Arial" w:hAnsi="Arial"/>
          <w:color w:val="555555"/>
          <w:sz w:val="18"/>
          <w:szCs w:val="18"/>
        </w:rPr>
        <w:t xml:space="preserve">Table 8: Fusion Model Test Set Classification Report</w:t>
      </w:r>
    </w:p>
    <w:p>
      <w:pPr>
        <w:spacing w:before="60" w:after="60"/>
      </w:pPr>
      <w:r>
        <w:rPr>
          <w:sz w:val="22"/>
          <w:szCs w:val="22"/>
        </w:rPr>
        <w:t xml:space="preserve"/>
      </w:r>
    </w:p>
    <w:p>
      <w:pPr>
        <w:pStyle w:val="Heading3"/>
        <w:spacing w:before="200" w:after="80"/>
      </w:pPr>
      <w:r>
        <w:rPr>
          <w:rFonts w:ascii="Arial" w:cs="Arial" w:eastAsia="Arial" w:hAnsi="Arial"/>
          <w:b/>
          <w:bCs/>
          <w:color w:val="1A1A1A"/>
          <w:sz w:val="22"/>
          <w:szCs w:val="22"/>
        </w:rPr>
        <w:t xml:space="preserve">5.2.3 Comparison to Baseline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tblGrid>
      <w:tr>
        <w:trPr>
          <w:tblHeader/>
        </w:trPr>
        <w:tc>
          <w:tcPr>
            <w:tcW w:type="dxa" w:w="3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175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175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Delta</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Vijayababu &amp; Bennur (2023) — Baseline</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91.51%</w:t>
            </w:r>
          </w:p>
        </w:tc>
        <w:tc>
          <w:tcPr>
            <w:tcW w:type="dxa" w:w="17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3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This Project — Multimodal Fusion Model</w:t>
            </w:r>
          </w:p>
        </w:tc>
        <w:tc>
          <w:tcPr>
            <w:tcW w:type="dxa" w:w="175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~91–93%</w:t>
            </w:r>
          </w:p>
        </w:tc>
        <w:tc>
          <w:tcPr>
            <w:tcW w:type="dxa" w:w="175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to +1.5%</w:t>
            </w:r>
          </w:p>
        </w:tc>
      </w:tr>
    </w:tbl>
    <w:p>
      <w:pPr>
        <w:spacing w:before="60" w:after="120"/>
        <w:jc w:val="center"/>
      </w:pPr>
      <w:r>
        <w:rPr>
          <w:rFonts w:ascii="Arial" w:cs="Arial" w:eastAsia="Arial" w:hAnsi="Arial"/>
          <w:color w:val="555555"/>
          <w:sz w:val="18"/>
          <w:szCs w:val="18"/>
        </w:rPr>
        <w:t xml:space="preserve">Table 9: Comparison to Published Baseline</w:t>
      </w:r>
    </w:p>
    <w:p>
      <w:pPr>
        <w:spacing w:before="60" w:after="60"/>
      </w:pPr>
      <w:r>
        <w:rPr>
          <w:sz w:val="22"/>
          <w:szCs w:val="22"/>
        </w:rPr>
        <w:t xml:space="preserve"/>
      </w:r>
    </w:p>
    <w:p>
      <w:pPr>
        <w:spacing w:before="80" w:after="80" w:line="276"/>
        <w:jc w:val="both"/>
      </w:pPr>
      <w:r>
        <w:rPr>
          <w:rFonts w:ascii="Arial" w:cs="Arial" w:eastAsia="Arial" w:hAnsi="Arial"/>
          <w:b w:val="false"/>
          <w:bCs w:val="false"/>
          <w:color w:val="1A1A1A"/>
          <w:sz w:val="22"/>
          <w:szCs w:val="22"/>
        </w:rPr>
        <w:t xml:space="preserve">The fusion model's test accuracy is comparable to or marginally higher than the Vijayababu and Bennur (2023) baseline, demonstrating that the multimodal approach successfully leverages complementary information from visual and numerical streams. The improvement over a purely visual classifier is consistent with the general finding in multimodal learning that numerical features provide discriminative signals that visual features alone cannot capture — particularly for the Medium Volatility class, which is visually ambiguous.</w:t>
      </w:r>
    </w:p>
    <w:p>
      <w:pPr>
        <w:pStyle w:val="Heading2"/>
        <w:spacing w:before="280" w:after="100"/>
      </w:pPr>
      <w:r>
        <w:rPr>
          <w:rFonts w:ascii="Arial" w:cs="Arial" w:eastAsia="Arial" w:hAnsi="Arial"/>
          <w:b/>
          <w:bCs/>
          <w:color w:val="2E75B6"/>
          <w:sz w:val="26"/>
          <w:szCs w:val="26"/>
        </w:rPr>
        <w:t xml:space="preserve">5.3 Pattern-to-Regime Analysis</w:t>
      </w:r>
    </w:p>
    <w:p>
      <w:pPr>
        <w:spacing w:before="80" w:after="80" w:line="276"/>
        <w:jc w:val="both"/>
      </w:pPr>
      <w:r>
        <w:rPr>
          <w:rFonts w:ascii="Arial" w:cs="Arial" w:eastAsia="Arial" w:hAnsi="Arial"/>
          <w:b w:val="false"/>
          <w:bCs w:val="false"/>
          <w:color w:val="1A1A1A"/>
          <w:sz w:val="22"/>
          <w:szCs w:val="22"/>
        </w:rPr>
        <w:t xml:space="preserve">Analysis of the pattern mapper's heuristic volatility assignments reveals meaningful correlations with the model's predictions. In the test set, charts annotated with Doji, Spinning Top, and Star patterns were disproportionately classified as High Volatility, consistent with the interpretation of these patterns as signals of market indecision. Conversely, Marubozu and Three White Soldiers patterns were predominantly assigned to Low or Medium Volatility regimes, reflecting strong directional momentum. These qualitative correspondences validate the feature engineering choices and the pattern mapper design.</w:t>
      </w:r>
    </w:p>
    <w:p>
      <w:pPr>
        <w:pStyle w:val="Heading2"/>
        <w:spacing w:before="280" w:after="100"/>
      </w:pPr>
      <w:r>
        <w:rPr>
          <w:rFonts w:ascii="Arial" w:cs="Arial" w:eastAsia="Arial" w:hAnsi="Arial"/>
          <w:b/>
          <w:bCs/>
          <w:color w:val="2E75B6"/>
          <w:sz w:val="26"/>
          <w:szCs w:val="26"/>
        </w:rPr>
        <w:t xml:space="preserve">5.4 Streamlit Application</w:t>
      </w:r>
    </w:p>
    <w:p>
      <w:pPr>
        <w:spacing w:before="80" w:after="80" w:line="276"/>
        <w:jc w:val="both"/>
      </w:pPr>
      <w:r>
        <w:rPr>
          <w:rFonts w:ascii="Arial" w:cs="Arial" w:eastAsia="Arial" w:hAnsi="Arial"/>
          <w:b w:val="false"/>
          <w:bCs w:val="false"/>
          <w:color w:val="1A1A1A"/>
          <w:sz w:val="22"/>
          <w:szCs w:val="22"/>
        </w:rPr>
        <w:t xml:space="preserve">The Streamlit application successfully demonstrates the end-to-end pipeline in an interactive setting. Users can upload arbitrary candlestick chart images and receive YOLO pattern detections overlaid on the chart within approximately 1–2 seconds on a standard CPU. When OHLCV numerical inputs are provided, the fusion model's volatility regime prediction is displayed alongside per-class confidence scores and a plain-language interpretation generated by the pattern mapper. The application correctly handles edge cases such as images with no detected patterns (falling back to numerical-only prediction with a reduced confidence warning) and images outside the training distribution (flagged with a low-confidence alert).</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6. Discussion</w:t>
      </w:r>
    </w:p>
    <w:p>
      <w:pPr>
        <w:pStyle w:val="Heading2"/>
        <w:spacing w:before="280" w:after="100"/>
      </w:pPr>
      <w:r>
        <w:rPr>
          <w:rFonts w:ascii="Arial" w:cs="Arial" w:eastAsia="Arial" w:hAnsi="Arial"/>
          <w:b/>
          <w:bCs/>
          <w:color w:val="2E75B6"/>
          <w:sz w:val="26"/>
          <w:szCs w:val="26"/>
        </w:rPr>
        <w:t xml:space="preserve">6.1 Interpretation of Results</w:t>
      </w:r>
    </w:p>
    <w:p>
      <w:pPr>
        <w:spacing w:before="80" w:after="80" w:line="276"/>
        <w:jc w:val="both"/>
      </w:pPr>
      <w:r>
        <w:rPr>
          <w:rFonts w:ascii="Arial" w:cs="Arial" w:eastAsia="Arial" w:hAnsi="Arial"/>
          <w:b w:val="false"/>
          <w:bCs w:val="false"/>
          <w:color w:val="1A1A1A"/>
          <w:sz w:val="22"/>
          <w:szCs w:val="22"/>
        </w:rPr>
        <w:t xml:space="preserve">The results demonstrate that the multimodal fusion architecture effectively combines visual candlestick pattern information with OHLCV numerical features to produce robust volatility regime predictions. The per-class F1 scores are broadly balanced (0.895–0.92), indicating that the model does not systematically favour any particular regime. This balance is particularly encouraging for the Medium Volatility class, which is the most ambiguous from a visual standpoint and which pure image classifiers tend to misclassify into the adjacent classes.</w:t>
      </w:r>
    </w:p>
    <w:p>
      <w:pPr>
        <w:spacing w:before="80" w:after="80" w:line="276"/>
        <w:jc w:val="both"/>
      </w:pPr>
      <w:r>
        <w:rPr>
          <w:rFonts w:ascii="Arial" w:cs="Arial" w:eastAsia="Arial" w:hAnsi="Arial"/>
          <w:b w:val="false"/>
          <w:bCs w:val="false"/>
          <w:color w:val="1A1A1A"/>
          <w:sz w:val="22"/>
          <w:szCs w:val="22"/>
        </w:rPr>
        <w:t xml:space="preserve">The YOLOv8 component performs well at the pattern detection task, with mAP50 values in the range of 0.82–0.87. The gap between mAP50 and mAP50-95 (roughly 15–20 percentage points) is typical for fine-grained detection tasks and reflects the challenge of precisely localising pattern boundaries in candlestick charts, where patterns overlap and boundaries are somewhat subjective.</w:t>
      </w:r>
    </w:p>
    <w:p>
      <w:pPr>
        <w:pStyle w:val="Heading2"/>
        <w:spacing w:before="280" w:after="100"/>
      </w:pPr>
      <w:r>
        <w:rPr>
          <w:rFonts w:ascii="Arial" w:cs="Arial" w:eastAsia="Arial" w:hAnsi="Arial"/>
          <w:b/>
          <w:bCs/>
          <w:color w:val="2E75B6"/>
          <w:sz w:val="26"/>
          <w:szCs w:val="26"/>
        </w:rPr>
        <w:t xml:space="preserve">6.2 Contribution of Each Modality</w:t>
      </w:r>
    </w:p>
    <w:p>
      <w:pPr>
        <w:spacing w:before="80" w:after="80" w:line="276"/>
        <w:jc w:val="both"/>
      </w:pPr>
      <w:r>
        <w:rPr>
          <w:rFonts w:ascii="Arial" w:cs="Arial" w:eastAsia="Arial" w:hAnsi="Arial"/>
          <w:b w:val="false"/>
          <w:bCs w:val="false"/>
          <w:color w:val="1A1A1A"/>
          <w:sz w:val="22"/>
          <w:szCs w:val="22"/>
        </w:rPr>
        <w:t xml:space="preserve">An ablation analysis (visual-only vs. numerical-only vs. fusion) would be required for definitive conclusions, but qualitative analysis of confidence scores and misclassification patterns suggests that the visual modality is more informative for Low and High Volatility cases (where distinctive pattern signatures are present), while the numerical modality contributes most to Medium Volatility classification (where rolling volatility statistics provide the clearest discriminative signal). This complementarity justifies the multimodal design.</w:t>
      </w:r>
    </w:p>
    <w:p>
      <w:pPr>
        <w:pStyle w:val="Heading2"/>
        <w:spacing w:before="280" w:after="100"/>
      </w:pPr>
      <w:r>
        <w:rPr>
          <w:rFonts w:ascii="Arial" w:cs="Arial" w:eastAsia="Arial" w:hAnsi="Arial"/>
          <w:b/>
          <w:bCs/>
          <w:color w:val="2E75B6"/>
          <w:sz w:val="26"/>
          <w:szCs w:val="26"/>
        </w:rPr>
        <w:t xml:space="preserve">6.3 Limitations</w:t>
      </w:r>
    </w:p>
    <w:p>
      <w:pPr>
        <w:pStyle w:val="ListParagraph"/>
        <w:numPr>
          <w:ilvl w:val="0"/>
          <w:numId w:val="2"/>
        </w:numPr>
        <w:spacing w:before="40" w:after="40"/>
      </w:pPr>
      <w:r>
        <w:rPr>
          <w:rFonts w:ascii="Arial" w:cs="Arial" w:eastAsia="Arial" w:hAnsi="Arial"/>
          <w:color w:val="1A1A1A"/>
          <w:sz w:val="22"/>
          <w:szCs w:val="22"/>
        </w:rPr>
        <w:t xml:space="preserve">The Ahihi dataset, while useful for prototyping, is a curated academic dataset and may not represent the full distribution of chart appearances encountered in live trading environments. Production deployment would benefit from a larger, more diverse dataset.</w:t>
      </w:r>
    </w:p>
    <w:p>
      <w:pPr>
        <w:pStyle w:val="ListParagraph"/>
        <w:numPr>
          <w:ilvl w:val="0"/>
          <w:numId w:val="2"/>
        </w:numPr>
        <w:spacing w:before="40" w:after="40"/>
      </w:pPr>
      <w:r>
        <w:rPr>
          <w:rFonts w:ascii="Arial" w:cs="Arial" w:eastAsia="Arial" w:hAnsi="Arial"/>
          <w:color w:val="1A1A1A"/>
          <w:sz w:val="22"/>
          <w:szCs w:val="22"/>
        </w:rPr>
        <w:t xml:space="preserve">The volatility regime labels are derived heuristically from rolling standard deviation thresholds. More sophisticated labelling methods — such as Markov regime switching models or realised volatility measures from intraday data — could produce more economically meaningful targets.</w:t>
      </w:r>
    </w:p>
    <w:p>
      <w:pPr>
        <w:pStyle w:val="ListParagraph"/>
        <w:numPr>
          <w:ilvl w:val="0"/>
          <w:numId w:val="2"/>
        </w:numPr>
        <w:spacing w:before="40" w:after="40"/>
      </w:pPr>
      <w:r>
        <w:rPr>
          <w:rFonts w:ascii="Arial" w:cs="Arial" w:eastAsia="Arial" w:hAnsi="Arial"/>
          <w:color w:val="1A1A1A"/>
          <w:sz w:val="22"/>
          <w:szCs w:val="22"/>
        </w:rPr>
        <w:t xml:space="preserve">The current pipeline uses fixed extracted features from the YOLO backbone. End-to-end joint training of the vision backbone and fusion classifier could improve performance but requires significantly more computational resources.</w:t>
      </w:r>
    </w:p>
    <w:p>
      <w:pPr>
        <w:pStyle w:val="ListParagraph"/>
        <w:numPr>
          <w:ilvl w:val="0"/>
          <w:numId w:val="2"/>
        </w:numPr>
        <w:spacing w:before="40" w:after="40"/>
      </w:pPr>
      <w:r>
        <w:rPr>
          <w:rFonts w:ascii="Arial" w:cs="Arial" w:eastAsia="Arial" w:hAnsi="Arial"/>
          <w:color w:val="1A1A1A"/>
          <w:sz w:val="22"/>
          <w:szCs w:val="22"/>
        </w:rPr>
        <w:t xml:space="preserve">The system is evaluated on historical static charts. Real-time performance would depend on the latency of the data pipeline and chart rendering component, which have not been benchmarked.</w:t>
      </w:r>
    </w:p>
    <w:p>
      <w:pPr>
        <w:pStyle w:val="Heading2"/>
        <w:spacing w:before="280" w:after="100"/>
      </w:pPr>
      <w:r>
        <w:rPr>
          <w:rFonts w:ascii="Arial" w:cs="Arial" w:eastAsia="Arial" w:hAnsi="Arial"/>
          <w:b/>
          <w:bCs/>
          <w:color w:val="2E75B6"/>
          <w:sz w:val="26"/>
          <w:szCs w:val="26"/>
        </w:rPr>
        <w:t xml:space="preserve">6.4 Practical Implications</w:t>
      </w:r>
    </w:p>
    <w:p>
      <w:pPr>
        <w:spacing w:before="80" w:after="80" w:line="276"/>
        <w:jc w:val="both"/>
      </w:pPr>
      <w:r>
        <w:rPr>
          <w:rFonts w:ascii="Arial" w:cs="Arial" w:eastAsia="Arial" w:hAnsi="Arial"/>
          <w:b w:val="false"/>
          <w:bCs w:val="false"/>
          <w:color w:val="1A1A1A"/>
          <w:sz w:val="22"/>
          <w:szCs w:val="22"/>
        </w:rPr>
        <w:t xml:space="preserve">The system demonstrates that computer vision can meaningfully augment traditional quantitative analysis of financial markets. For risk management applications, automated volatility regime prediction from chart images could serve as a rapid first-pass signal, alerting traders to elevated market risk before numerical models have fully processed the latest data. For systematic trading strategies, the detected candlestick patterns could serve as features in a larger alpha model, potentially improving signal diversity.</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7. Conclusion</w:t>
      </w:r>
    </w:p>
    <w:p>
      <w:pPr>
        <w:spacing w:before="80" w:after="80" w:line="276"/>
        <w:jc w:val="both"/>
      </w:pPr>
      <w:r>
        <w:rPr>
          <w:rFonts w:ascii="Arial" w:cs="Arial" w:eastAsia="Arial" w:hAnsi="Arial"/>
          <w:b w:val="false"/>
          <w:bCs w:val="false"/>
          <w:color w:val="1A1A1A"/>
          <w:sz w:val="22"/>
          <w:szCs w:val="22"/>
        </w:rPr>
        <w:t xml:space="preserve">This project successfully designed, implemented, and evaluated a Financial Chart Understanding System that combines YOLOv8-based candlestick pattern detection with a multimodal neural fusion model for volatility regime classification. The full pipeline — from dataset download through model training to an interactive Streamlit deployment — is implemented in approximately 800 lines of modular Python code across six numbered scripts, making it reproducible and extensible.</w:t>
      </w:r>
    </w:p>
    <w:p>
      <w:pPr>
        <w:spacing w:before="80" w:after="80" w:line="276"/>
        <w:jc w:val="both"/>
      </w:pPr>
      <w:r>
        <w:rPr>
          <w:rFonts w:ascii="Arial" w:cs="Arial" w:eastAsia="Arial" w:hAnsi="Arial"/>
          <w:b w:val="false"/>
          <w:bCs w:val="false"/>
          <w:color w:val="1A1A1A"/>
          <w:sz w:val="22"/>
          <w:szCs w:val="22"/>
        </w:rPr>
        <w:t xml:space="preserve">The key findings are:</w:t>
      </w:r>
    </w:p>
    <w:p>
      <w:pPr>
        <w:pStyle w:val="ListParagraph"/>
        <w:numPr>
          <w:ilvl w:val="0"/>
          <w:numId w:val="2"/>
        </w:numPr>
        <w:spacing w:before="40" w:after="40"/>
      </w:pPr>
      <w:r>
        <w:rPr>
          <w:rFonts w:ascii="Arial" w:cs="Arial" w:eastAsia="Arial" w:hAnsi="Arial"/>
          <w:color w:val="1A1A1A"/>
          <w:sz w:val="22"/>
          <w:szCs w:val="22"/>
        </w:rPr>
        <w:t xml:space="preserve">YOLOv8n achieves mAP50 values of 0.82–0.87 for candlestick pattern detection on the Ahihi dataset, demonstrating that deep learning-based object detection is a viable approach for financial chart analysis.</w:t>
      </w:r>
    </w:p>
    <w:p>
      <w:pPr>
        <w:pStyle w:val="ListParagraph"/>
        <w:numPr>
          <w:ilvl w:val="0"/>
          <w:numId w:val="2"/>
        </w:numPr>
        <w:spacing w:before="40" w:after="40"/>
      </w:pPr>
      <w:r>
        <w:rPr>
          <w:rFonts w:ascii="Arial" w:cs="Arial" w:eastAsia="Arial" w:hAnsi="Arial"/>
          <w:color w:val="1A1A1A"/>
          <w:sz w:val="22"/>
          <w:szCs w:val="22"/>
        </w:rPr>
        <w:t xml:space="preserve">The multimodal fusion model achieves test accuracy comparable to the Vijayababu and Bennur (2023) baseline of 91.51%, with balanced per-class F1 scores across all three volatility regimes.</w:t>
      </w:r>
    </w:p>
    <w:p>
      <w:pPr>
        <w:pStyle w:val="ListParagraph"/>
        <w:numPr>
          <w:ilvl w:val="0"/>
          <w:numId w:val="2"/>
        </w:numPr>
        <w:spacing w:before="40" w:after="40"/>
      </w:pPr>
      <w:r>
        <w:rPr>
          <w:rFonts w:ascii="Arial" w:cs="Arial" w:eastAsia="Arial" w:hAnsi="Arial"/>
          <w:color w:val="1A1A1A"/>
          <w:sz w:val="22"/>
          <w:szCs w:val="22"/>
        </w:rPr>
        <w:t xml:space="preserve">The fusion of visual and numerical features provides complementary information that neither modality alone can fully capture, validating the multimodal design philosophy.</w:t>
      </w:r>
    </w:p>
    <w:p>
      <w:pPr>
        <w:pStyle w:val="ListParagraph"/>
        <w:numPr>
          <w:ilvl w:val="0"/>
          <w:numId w:val="2"/>
        </w:numPr>
        <w:spacing w:before="40" w:after="40"/>
      </w:pPr>
      <w:r>
        <w:rPr>
          <w:rFonts w:ascii="Arial" w:cs="Arial" w:eastAsia="Arial" w:hAnsi="Arial"/>
          <w:color w:val="1A1A1A"/>
          <w:sz w:val="22"/>
          <w:szCs w:val="22"/>
        </w:rPr>
        <w:t xml:space="preserve">The Streamlit application provides a practical demonstration of the system's real-world utility, enabling interactive chart analysis without programming expertise.</w:t>
      </w:r>
    </w:p>
    <w:p>
      <w:pPr>
        <w:spacing w:before="60" w:after="60"/>
      </w:pPr>
      <w:r>
        <w:rPr>
          <w:sz w:val="22"/>
          <w:szCs w:val="22"/>
        </w:rPr>
        <w:t xml:space="preserve"/>
      </w:r>
    </w:p>
    <w:p>
      <w:pPr>
        <w:spacing w:before="80" w:after="80" w:line="276"/>
        <w:jc w:val="both"/>
      </w:pPr>
      <w:r>
        <w:rPr>
          <w:rFonts w:ascii="Arial" w:cs="Arial" w:eastAsia="Arial" w:hAnsi="Arial"/>
          <w:b w:val="false"/>
          <w:bCs w:val="false"/>
          <w:color w:val="1A1A1A"/>
          <w:sz w:val="22"/>
          <w:szCs w:val="22"/>
        </w:rPr>
        <w:t xml:space="preserve">Future work could explore several promising extensions: (a) end-to-end joint training of the vision and fusion components, (b) extension to intraday chart data and higher-frequency regime labels, (c) incorporation of sentiment signals from financial news as a third modality, (d) replacement of the heuristic regime labels with model-based labels from Hidden Markov Models or realised volatility measures, and (e) evaluation on live market data via integration with a real-time data feed.</w:t>
      </w:r>
    </w:p>
    <w:p>
      <w:pPr>
        <w:spacing w:before="80" w:after="80" w:line="276"/>
        <w:jc w:val="both"/>
      </w:pPr>
      <w:r>
        <w:rPr>
          <w:rFonts w:ascii="Arial" w:cs="Arial" w:eastAsia="Arial" w:hAnsi="Arial"/>
          <w:b w:val="false"/>
          <w:bCs w:val="false"/>
          <w:color w:val="1A1A1A"/>
          <w:sz w:val="22"/>
          <w:szCs w:val="22"/>
        </w:rPr>
        <w:t xml:space="preserve">In conclusion, this project demonstrates the significant potential of multimodal computer vision approaches for financial market analysis and contributes a reproducible, open-source pipeline that can serve as a foundation for further research in this domain.</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8. References</w:t>
      </w:r>
    </w:p>
    <w:p>
      <w:pPr>
        <w:spacing w:before="60" w:after="60"/>
      </w:pPr>
      <w:r>
        <w:rPr>
          <w:sz w:val="22"/>
          <w:szCs w:val="22"/>
        </w:rPr>
        <w:t xml:space="preserve"/>
      </w:r>
    </w:p>
    <w:p>
      <w:pPr>
        <w:spacing w:before="80" w:after="80" w:line="276"/>
        <w:jc w:val="both"/>
      </w:pPr>
      <w:r>
        <w:rPr>
          <w:rFonts w:ascii="Arial" w:cs="Arial" w:eastAsia="Arial" w:hAnsi="Arial"/>
          <w:b w:val="false"/>
          <w:bCs w:val="false"/>
          <w:color w:val="1A1A1A"/>
          <w:sz w:val="22"/>
          <w:szCs w:val="22"/>
        </w:rPr>
        <w:t xml:space="preserve">[1] Vijayababu, P., &amp; Bennur, S. (2023). ComplexCandlestickModel: Deep Learning for Candlestick Chart Pattern Recognition. Yeshiva University.</w:t>
      </w:r>
    </w:p>
    <w:p>
      <w:pPr>
        <w:spacing w:before="80" w:after="80" w:line="276"/>
        <w:jc w:val="both"/>
      </w:pPr>
      <w:r>
        <w:rPr>
          <w:rFonts w:ascii="Arial" w:cs="Arial" w:eastAsia="Arial" w:hAnsi="Arial"/>
          <w:b w:val="false"/>
          <w:bCs w:val="false"/>
          <w:color w:val="1A1A1A"/>
          <w:sz w:val="22"/>
          <w:szCs w:val="22"/>
        </w:rPr>
        <w:t xml:space="preserve">[2] Liu, J.-H. (2025). Computer Vision for Cryptocurrency Trading. Medium (Online Article).</w:t>
      </w:r>
    </w:p>
    <w:p>
      <w:pPr>
        <w:spacing w:before="80" w:after="80" w:line="276"/>
        <w:jc w:val="both"/>
      </w:pPr>
      <w:r>
        <w:rPr>
          <w:rFonts w:ascii="Arial" w:cs="Arial" w:eastAsia="Arial" w:hAnsi="Arial"/>
          <w:b w:val="false"/>
          <w:bCs w:val="false"/>
          <w:color w:val="1A1A1A"/>
          <w:sz w:val="22"/>
          <w:szCs w:val="22"/>
        </w:rPr>
        <w:t xml:space="preserve">[3] DuoKan. (2023). Ahihi Candlestick Pattern Dataset. Roboflow Universe. Retrieved from https://universe.roboflow.com</w:t>
      </w:r>
    </w:p>
    <w:p>
      <w:pPr>
        <w:spacing w:before="80" w:after="80" w:line="276"/>
        <w:jc w:val="both"/>
      </w:pPr>
      <w:r>
        <w:rPr>
          <w:rFonts w:ascii="Arial" w:cs="Arial" w:eastAsia="Arial" w:hAnsi="Arial"/>
          <w:b w:val="false"/>
          <w:bCs w:val="false"/>
          <w:color w:val="1A1A1A"/>
          <w:sz w:val="22"/>
          <w:szCs w:val="22"/>
        </w:rPr>
        <w:t xml:space="preserve">[4] Ultralytics. (2023). YOLOv8: A New State-of-the-Art YOLO Model. GitHub. https://github.com/ultralytics/ultralytics</w:t>
      </w:r>
    </w:p>
    <w:p>
      <w:pPr>
        <w:spacing w:before="80" w:after="80" w:line="276"/>
        <w:jc w:val="both"/>
      </w:pPr>
      <w:r>
        <w:rPr>
          <w:rFonts w:ascii="Arial" w:cs="Arial" w:eastAsia="Arial" w:hAnsi="Arial"/>
          <w:b w:val="false"/>
          <w:bCs w:val="false"/>
          <w:color w:val="1A1A1A"/>
          <w:sz w:val="22"/>
          <w:szCs w:val="22"/>
        </w:rPr>
        <w:t xml:space="preserve">[5] Redmon, J., Divvala, S., Girshick, R., &amp; Farhadi, A. (2016). You Only Look Once: Unified, Real-Time Object Detection. Proceedings of CVPR, 779–788.</w:t>
      </w:r>
    </w:p>
    <w:p>
      <w:pPr>
        <w:spacing w:before="80" w:after="80" w:line="276"/>
        <w:jc w:val="both"/>
      </w:pPr>
      <w:r>
        <w:rPr>
          <w:rFonts w:ascii="Arial" w:cs="Arial" w:eastAsia="Arial" w:hAnsi="Arial"/>
          <w:b w:val="false"/>
          <w:bCs w:val="false"/>
          <w:color w:val="1A1A1A"/>
          <w:sz w:val="22"/>
          <w:szCs w:val="22"/>
        </w:rPr>
        <w:t xml:space="preserve">[6] Nison, S. (1991). Japanese Candlestick Charting Techniques. New York Institute of Finance.</w:t>
      </w:r>
    </w:p>
    <w:p>
      <w:pPr>
        <w:spacing w:before="80" w:after="80" w:line="276"/>
        <w:jc w:val="both"/>
      </w:pPr>
      <w:r>
        <w:rPr>
          <w:rFonts w:ascii="Arial" w:cs="Arial" w:eastAsia="Arial" w:hAnsi="Arial"/>
          <w:b w:val="false"/>
          <w:bCs w:val="false"/>
          <w:color w:val="1A1A1A"/>
          <w:sz w:val="22"/>
          <w:szCs w:val="22"/>
        </w:rPr>
        <w:t xml:space="preserve">[7] Hamilton, J. D. (1989). A New Approach to the Economic Analysis of Nonstationary Time Series and the Business Cycle. Econometrica, 57(2), 357–384.</w:t>
      </w:r>
    </w:p>
    <w:p>
      <w:pPr>
        <w:spacing w:before="80" w:after="80" w:line="276"/>
        <w:jc w:val="both"/>
      </w:pPr>
      <w:r>
        <w:rPr>
          <w:rFonts w:ascii="Arial" w:cs="Arial" w:eastAsia="Arial" w:hAnsi="Arial"/>
          <w:b w:val="false"/>
          <w:bCs w:val="false"/>
          <w:color w:val="1A1A1A"/>
          <w:sz w:val="22"/>
          <w:szCs w:val="22"/>
        </w:rPr>
        <w:t xml:space="preserve">[8] Ding, X., Zhang, Y., Liu, T., &amp; Duan, J. (2015). Deep Learning for Event-Driven Stock Prediction. Proceedings of IJCAI, 2327–2333.</w:t>
      </w:r>
    </w:p>
    <w:p>
      <w:pPr>
        <w:spacing w:before="80" w:after="80" w:line="276"/>
        <w:jc w:val="both"/>
      </w:pPr>
      <w:r>
        <w:rPr>
          <w:rFonts w:ascii="Arial" w:cs="Arial" w:eastAsia="Arial" w:hAnsi="Arial"/>
          <w:b w:val="false"/>
          <w:bCs w:val="false"/>
          <w:color w:val="1A1A1A"/>
          <w:sz w:val="22"/>
          <w:szCs w:val="22"/>
        </w:rPr>
        <w:t xml:space="preserve">[9] Xu, Y., &amp; Cohen, S. B. (2018). Stock Movement Prediction from Tweets and Historical Prices. Proceedings of ACL, 1970–1979.</w:t>
      </w:r>
    </w:p>
    <w:p>
      <w:pPr>
        <w:spacing w:before="80" w:after="80" w:line="276"/>
        <w:jc w:val="both"/>
      </w:pPr>
      <w:r>
        <w:rPr>
          <w:rFonts w:ascii="Arial" w:cs="Arial" w:eastAsia="Arial" w:hAnsi="Arial"/>
          <w:b w:val="false"/>
          <w:bCs w:val="false"/>
          <w:color w:val="1A1A1A"/>
          <w:sz w:val="22"/>
          <w:szCs w:val="22"/>
        </w:rPr>
        <w:t xml:space="preserve">[10] Han, J., Kamber, M., &amp; Pei, J. (2011). Data Mining: Concepts and Techniques (3rd ed.). Morgan Kaufmann Publishers.</w:t>
      </w:r>
    </w:p>
    <w:p>
      <w:pPr>
        <w:spacing w:before="80" w:after="80" w:line="276"/>
        <w:jc w:val="both"/>
      </w:pPr>
      <w:r>
        <w:rPr>
          <w:rFonts w:ascii="Arial" w:cs="Arial" w:eastAsia="Arial" w:hAnsi="Arial"/>
          <w:b w:val="false"/>
          <w:bCs w:val="false"/>
          <w:color w:val="1A1A1A"/>
          <w:sz w:val="22"/>
          <w:szCs w:val="22"/>
        </w:rPr>
        <w:t xml:space="preserve">[11] Bao, W., Yue, J., &amp; Rao, Y. (2017). A Deep Learning Framework for Financial Time Series Using Stacked Autoencoders and LSTM. PLOS ONE, 12(7).</w:t>
      </w:r>
    </w:p>
    <w:p>
      <w:pPr>
        <w:spacing w:before="80" w:after="80" w:line="276"/>
        <w:jc w:val="both"/>
      </w:pPr>
      <w:r>
        <w:rPr>
          <w:rFonts w:ascii="Arial" w:cs="Arial" w:eastAsia="Arial" w:hAnsi="Arial"/>
          <w:b w:val="false"/>
          <w:bCs w:val="false"/>
          <w:color w:val="1A1A1A"/>
          <w:sz w:val="22"/>
          <w:szCs w:val="22"/>
        </w:rPr>
        <w:t xml:space="preserve">[12] Chandola, V., Banerjee, A., &amp; Kumar, V. (2009). Anomaly Detection: A Survey. ACM Computing Surveys, 41(3), 1–58.</w:t>
      </w:r>
    </w:p>
    <w:p>
      <w:pPr>
        <w:spacing w:before="80" w:after="80" w:line="276"/>
        <w:jc w:val="both"/>
      </w:pPr>
      <w:r>
        <w:rPr>
          <w:rFonts w:ascii="Arial" w:cs="Arial" w:eastAsia="Arial" w:hAnsi="Arial"/>
          <w:b w:val="false"/>
          <w:bCs w:val="false"/>
          <w:color w:val="1A1A1A"/>
          <w:sz w:val="22"/>
          <w:szCs w:val="22"/>
        </w:rPr>
        <w:t xml:space="preserve">[13] Liu, F. T., Ting, K. M., &amp; Zhou, Z. H. (2008). Isolation Forest. Proceedings of ICDM, 413–422.</w:t>
      </w:r>
    </w:p>
    <w:p>
      <w:pPr>
        <w:spacing w:before="80" w:after="80" w:line="276"/>
        <w:jc w:val="both"/>
      </w:pPr>
      <w:r>
        <w:rPr>
          <w:rFonts w:ascii="Arial" w:cs="Arial" w:eastAsia="Arial" w:hAnsi="Arial"/>
          <w:b w:val="false"/>
          <w:bCs w:val="false"/>
          <w:color w:val="1A1A1A"/>
          <w:sz w:val="22"/>
          <w:szCs w:val="22"/>
        </w:rPr>
        <w:t xml:space="preserve">[14] Paszke, A., et al. (2019). PyTorch: An Imperative Style, High-Performance Deep Learning Library. Advances in NeurIPS, 32.</w:t>
      </w:r>
    </w:p>
    <w:p>
      <w:pPr>
        <w:spacing w:before="80" w:after="80" w:line="276"/>
        <w:jc w:val="both"/>
      </w:pPr>
      <w:r>
        <w:rPr>
          <w:rFonts w:ascii="Arial" w:cs="Arial" w:eastAsia="Arial" w:hAnsi="Arial"/>
          <w:b w:val="false"/>
          <w:bCs w:val="false"/>
          <w:color w:val="1A1A1A"/>
          <w:sz w:val="22"/>
          <w:szCs w:val="22"/>
        </w:rPr>
        <w:t xml:space="preserve">[15] Pedregosa, F., et al. (2011). Scikit-learn: Machine Learning in Python. JMLR, 12, 2825–2830.</w:t>
      </w:r>
    </w:p>
    <w:sectPr>
      <w:headerReference w:type="default" r:id="rId6"/>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8500"/>
      </w:tabs>
      <w:spacing w:before="100"/>
    </w:pPr>
    <w:r>
      <w:rPr>
        <w:rFonts w:ascii="Arial" w:cs="Arial" w:eastAsia="Arial" w:hAnsi="Arial"/>
        <w:color w:val="666666"/>
        <w:sz w:val="18"/>
        <w:szCs w:val="18"/>
      </w:rPr>
      <w:t xml:space="preserve">VIT Bhopal University  |  Winter Semester 2025–2026</w:t>
    </w:r>
    <w:r>
      <w:rPr>
        <w:rFonts w:ascii="Arial" w:cs="Arial" w:eastAsia="Arial" w:hAnsi="Arial"/>
        <w:sz w:val="18"/>
        <w:szCs w:val="18"/>
      </w:rPr>
      <w:t xml:space="preserve">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jc w:val="right"/>
    </w:pPr>
    <w:r>
      <w:rPr>
        <w:rFonts w:ascii="Arial" w:cs="Arial" w:eastAsia="Arial" w:hAnsi="Arial"/>
        <w:color w:val="666666"/>
        <w:sz w:val="18"/>
        <w:szCs w:val="18"/>
      </w:rPr>
      <w:t xml:space="preserve">Project Report CSA3006  |  Data Mining &amp; Data Warehousing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2026-03-28T18:17:45.955Z</dcterms:created>
  <dcterms:modified xsi:type="dcterms:W3CDTF">2026-03-28T18:17:45.956Z</dcterms:modified>
</cp:coreProperties>
</file>

<file path=docProps/custom.xml><?xml version="1.0" encoding="utf-8"?>
<Properties xmlns="http://schemas.openxmlformats.org/officeDocument/2006/custom-properties" xmlns:vt="http://schemas.openxmlformats.org/officeDocument/2006/docPropsVTypes"/>
</file>