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Card Fees and Charges Policy (v2)</w:t>
      </w:r>
    </w:p>
    <w:p>
      <w:pPr>
        <w:pStyle w:val="Heading2"/>
      </w:pPr>
      <w:r>
        <w:t>1. Purpose and Supersession</w:t>
      </w:r>
    </w:p>
    <w:p>
      <w:r>
        <w:t>This policy supersedes the Card Fees and Charges Policy v1 with effect from 1 March 2024.</w:t>
      </w:r>
    </w:p>
    <w:p>
      <w:pPr>
        <w:pStyle w:val="Heading2"/>
      </w:pPr>
      <w:r>
        <w:t>4. Fees and Charges</w:t>
      </w:r>
    </w:p>
    <w:p>
      <w:pPr>
        <w:pStyle w:val="Heading3"/>
      </w:pPr>
      <w:r>
        <w:t>4.1 Annual Fee</w:t>
      </w:r>
    </w:p>
    <w:p>
      <w:pPr>
        <w:pStyle w:val="ListBullet"/>
      </w:pPr>
      <w:r>
        <w:t>Platinum Credit Card: ₹3,000 per year.</w:t>
      </w:r>
    </w:p>
    <w:p>
      <w:pPr>
        <w:pStyle w:val="ListBullet"/>
      </w:pPr>
      <w:r>
        <w:t>Gold Credit Card: ₹1,500 per year.</w:t>
      </w:r>
    </w:p>
    <w:p>
      <w:pPr>
        <w:pStyle w:val="Heading3"/>
      </w:pPr>
      <w:r>
        <w:t>4.2 Late Payment Fee</w:t>
      </w:r>
    </w:p>
    <w:p>
      <w:r>
        <w:t>A late payment fee is levied for each statement cycle in which the minimum amount due is not paid by the payment due date.</w:t>
      </w:r>
    </w:p>
    <w:p>
      <w:pPr>
        <w:pStyle w:val="ListBullet"/>
      </w:pPr>
      <w:r>
        <w:t>Platinum Credit Card: ₹750 per statement cycle.</w:t>
      </w:r>
    </w:p>
    <w:p>
      <w:pPr>
        <w:pStyle w:val="ListBullet"/>
      </w:pPr>
      <w:r>
        <w:t>Gold Credit Card: ₹500 per statement cycle.</w:t>
      </w:r>
    </w:p>
    <w:p>
      <w:pPr>
        <w:pStyle w:val="ListBullet"/>
      </w:pPr>
      <w:r>
        <w:t>Classic Credit Card: ₹500 per statement cycle.</w:t>
      </w:r>
    </w:p>
    <w:p>
      <w:pPr>
        <w:pStyle w:val="Heading3"/>
      </w:pPr>
      <w:r>
        <w:t>4.3 Foreign Currency Transactions</w:t>
      </w:r>
    </w:p>
    <w:p>
      <w:r>
        <w:t>A foreign currency mark-up of one and a half percent applies to foreign currency transactions on the Platinum Credit Card.</w:t>
      </w:r>
    </w:p>
    <w:p>
      <w:pPr>
        <w:pStyle w:val="Heading3"/>
      </w:pPr>
      <w:r>
        <w:t>4.4 Cash Advance</w:t>
      </w:r>
    </w:p>
    <w:p>
      <w:r>
        <w:t>A cash advance fee of 2.5% of the amount withdrawn applies to all credit cards.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 Fees and Charges Policy</dc:title>
  <dc:subject>policy</dc:subject>
  <dc:creator>Cards Policy Committee</dc:creator>
  <cp:keywords>card_fees_policy</cp:keywords>
  <dc:description>effective_from=2024-03-01; published=2024-02-15</dc:description>
  <cp:lastModifiedBy/>
  <cp:revision>1</cp:revision>
  <dcterms:created xsi:type="dcterms:W3CDTF">2020-01-01T00:00:00Z</dcterms:created>
  <dcterms:modified xsi:type="dcterms:W3CDTF">2020-01-01T00:00:00Z</dcterms:modified>
  <cp:category>card_fees</cp:category>
  <cp:version>v2</cp:version>
  <dc:identifier>card_fees_policy_v2</dc:identifier>
</cp:coreProperties>
</file>