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Dispute Resolution Policy (2024)</w:t>
      </w:r>
    </w:p>
    <w:p>
      <w:pPr>
        <w:pStyle w:val="Heading2"/>
      </w:pPr>
      <w:r>
        <w:t>5. Card Disputes</w:t>
      </w:r>
    </w:p>
    <w:p>
      <w:pPr>
        <w:pStyle w:val="Heading3"/>
      </w:pPr>
      <w:r>
        <w:t>5.1 Reporting window</w:t>
      </w:r>
    </w:p>
    <w:p>
      <w:r>
        <w:t>Customers must report a disputed transaction within 30 days of the statement date.</w:t>
      </w:r>
    </w:p>
    <w:p>
      <w:pPr>
        <w:pStyle w:val="Heading3"/>
      </w:pPr>
      <w:r>
        <w:t>5.2 Zero liability</w:t>
      </w:r>
    </w:p>
    <w:p>
      <w:r>
        <w:t>Customers bear zero liability for unauthorised transactions reported within 3 days.</w:t>
      </w:r>
    </w:p>
    <w:p>
      <w:pPr>
        <w:pStyle w:val="Heading3"/>
      </w:pPr>
      <w:r>
        <w:t>5.3 Provisional credit</w:t>
      </w:r>
    </w:p>
    <w:p>
      <w:r>
        <w:t>The bank provides a provisional credit within 10 working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Dispute Resolution Policy</dc:title>
  <dc:subject>policy</dc:subject>
  <dc:creator>Risk Committee</dc:creator>
  <cp:keywords>dispute_policy</cp:keywords>
  <dc:description>effective_from=2024-02-01; published=2024-01-20</dc:description>
  <cp:lastModifiedBy/>
  <cp:revision>1</cp:revision>
  <dcterms:created xsi:type="dcterms:W3CDTF">2020-01-01T00:00:00Z</dcterms:created>
  <dcterms:modified xsi:type="dcterms:W3CDTF">2020-01-01T00:00:00Z</dcterms:modified>
  <cp:category>fraud_disputes</cp:category>
  <cp:version>2024</cp:version>
  <dc:identifier>dispute_policy_2024</dc:identifier>
</cp:coreProperties>
</file>