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Board-approved KYC Policy (2024)</w:t>
      </w:r>
    </w:p>
    <w:p>
      <w:pPr>
        <w:pStyle w:val="Heading2"/>
      </w:pPr>
      <w:r>
        <w:t>5. Periodic Updation</w:t>
      </w:r>
    </w:p>
    <w:p>
      <w:r>
        <w:t>Periodic updation of KYC shall be carried out at the following frequency:</w:t>
      </w:r>
    </w:p>
    <w:p>
      <w:pPr>
        <w:pStyle w:val="ListBullet"/>
      </w:pPr>
      <w:r>
        <w:t>High-risk customers: at least once every two years.</w:t>
      </w:r>
    </w:p>
    <w:p>
      <w:pPr>
        <w:pStyle w:val="ListBullet"/>
      </w:pPr>
      <w:r>
        <w:t>Medium-risk customers: at least once every eight years.</w:t>
      </w:r>
    </w:p>
    <w:p>
      <w:pPr>
        <w:pStyle w:val="ListBullet"/>
      </w:pPr>
      <w:r>
        <w:t>Low-risk customers: at least once every ten years.</w:t>
      </w:r>
    </w:p>
    <w:p>
      <w:pPr>
        <w:pStyle w:val="Heading2"/>
      </w:pPr>
      <w:r>
        <w:t>6. Video KYC</w:t>
      </w:r>
    </w:p>
    <w:p>
      <w:r>
        <w:t>Customers may complete periodic updation of KYC through Video KYC instead of visiting a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Board-approved KYC Policy</dc:title>
  <dc:subject>board_policy</dc:subject>
  <dc:creator>Board of Directors</dc:creator>
  <cp:keywords>kyc_policy</cp:keywords>
  <dc:description>effective_from=2024-01-01; published=2023-12-15</dc:description>
  <cp:lastModifiedBy/>
  <cp:revision>1</cp:revision>
  <dcterms:created xsi:type="dcterms:W3CDTF">2020-01-01T00:00:00Z</dcterms:created>
  <dcterms:modified xsi:type="dcterms:W3CDTF">2020-01-01T00:00:00Z</dcterms:modified>
  <cp:category>kyc</cp:category>
  <cp:version>2024</cp:version>
  <dc:identifier>kyc_policy_2024</dc:identifier>
</cp:coreProperties>
</file>