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1" w:name="probability"/>
    <w:p>
      <w:pPr>
        <w:pStyle w:val="Heading1"/>
      </w:pPr>
      <w:r>
        <w:t xml:space="preserve">Probability</w:t>
      </w:r>
    </w:p>
    <w:p>
      <w:pPr>
        <w:pStyle w:val="FirstParagraph"/>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p>
      <w:pPr>
        <w:pStyle w:val="BodyText"/>
      </w:pPr>
      <w:r>
        <w:rPr>
          <w:bCs/>
          <w:b/>
        </w:rPr>
        <w:t xml:space="preserve">Learning Objectives</w:t>
      </w:r>
    </w:p>
    <w:p>
      <w:pPr>
        <w:numPr>
          <w:ilvl w:val="0"/>
          <w:numId w:val="1003"/>
        </w:numPr>
      </w:pPr>
      <w:r>
        <w:t xml:space="preserve">Define symmetrical outcomes</w:t>
      </w:r>
    </w:p>
    <w:p>
      <w:pPr>
        <w:numPr>
          <w:ilvl w:val="0"/>
          <w:numId w:val="1003"/>
        </w:numPr>
      </w:pPr>
      <w:r>
        <w:t xml:space="preserve">Distinguish between frequentist and subjective approaches</w:t>
      </w:r>
    </w:p>
    <w:p>
      <w:pPr>
        <w:numPr>
          <w:ilvl w:val="0"/>
          <w:numId w:val="1003"/>
        </w:numPr>
      </w:pPr>
      <w:r>
        <w:t xml:space="preserve">Determine whether the frequentist or subjective approach is better suited for a given situation</w:t>
      </w:r>
    </w:p>
    <w:p>
      <w:pPr>
        <w:pStyle w:val="FirstParagraph"/>
      </w:pPr>
      <w:r>
        <w:rPr>
          <w:bCs/>
          <w:b/>
        </w:rPr>
        <w:t xml:space="preserve">Introduction to Probability Standard</w:t>
      </w:r>
    </w:p>
    <w:p>
      <w:pPr>
        <w:pStyle w:val="BodyText"/>
      </w:pPr>
      <w:r>
        <w:rPr>
          <w:bCs/>
          <w:b/>
        </w:rPr>
        <w:t xml:space="preserve">Inferential statistics</w:t>
      </w:r>
      <w:r>
        <w:rPr>
          <w:rStyle w:val="FootnoteReference"/>
        </w:rPr>
        <w:footnoteReference w:id="33"/>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40"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4"/>
        </w:numPr>
      </w:pPr>
      <w:r>
        <w:t xml:space="preserve">symmetrical outcomes</w:t>
      </w:r>
    </w:p>
    <w:p>
      <w:pPr>
        <w:numPr>
          <w:ilvl w:val="0"/>
          <w:numId w:val="1004"/>
        </w:numPr>
      </w:pPr>
      <w:r>
        <w:t xml:space="preserve">relative frequencies</w:t>
      </w:r>
    </w:p>
    <w:p>
      <w:pPr>
        <w:numPr>
          <w:ilvl w:val="0"/>
          <w:numId w:val="1004"/>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5"/>
        </w:numPr>
      </w:pPr>
      <w:r>
        <w:t xml:space="preserve">yes</w:t>
      </w:r>
    </w:p>
    <w:p>
      <w:pPr>
        <w:numPr>
          <w:ilvl w:val="0"/>
          <w:numId w:val="1005"/>
        </w:numPr>
      </w:pPr>
      <w:r>
        <w:t xml:space="preserve">no</w:t>
      </w:r>
    </w:p>
    <w:bookmarkEnd w:id="40"/>
    <w:bookmarkEnd w:id="41"/>
    <w:bookmarkStart w:id="45"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42"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pct" w:w="4865"/>
        <w:tblLook w:firstRow="1" w:lastRow="0" w:firstColumn="0" w:lastColumn="0" w:noHBand="0" w:noVBand="0" w:val="0020"/>
      </w:tblPr>
      <w:tblGrid>
        <w:gridCol w:w="2354"/>
        <w:gridCol w:w="2354"/>
        <w:gridCol w:w="2996"/>
      </w:tblGrid>
      <w:tr>
        <w:trPr>
          <w:tblHeader w:val="true"/>
        </w:trPr>
        <w:tc>
          <w:tcPr/>
          <w:p>
            <w:pPr>
              <w:pStyle w:val="Compact"/>
              <w:jc w:val="left"/>
            </w:pPr>
            <w:r>
              <w:t xml:space="preserve">Outcome</w:t>
            </w:r>
          </w:p>
        </w:tc>
        <w:tc>
          <w:tcPr/>
          <w:p>
            <w:pPr>
              <w:pStyle w:val="Compact"/>
              <w:jc w:val="left"/>
            </w:pPr>
            <w:r>
              <w:t xml:space="preserve">First Flip</w:t>
            </w:r>
          </w:p>
        </w:tc>
        <w:tc>
          <w:tcPr/>
          <w:p>
            <w:pPr>
              <w:pStyle w:val="Compact"/>
              <w:jc w:val="left"/>
            </w:pPr>
            <w:r>
              <w:t xml:space="preserve">Second Flip</w:t>
            </w:r>
          </w:p>
        </w:tc>
      </w:tr>
      <w:tr>
        <w:tc>
          <w:tcPr/>
          <w:p>
            <w:pPr>
              <w:pStyle w:val="Compact"/>
              <w:jc w:val="left"/>
            </w:pPr>
            <w:r>
              <w:t xml:space="preserve">1</w:t>
            </w:r>
          </w:p>
        </w:tc>
        <w:tc>
          <w:tcPr/>
          <w:p>
            <w:pPr>
              <w:pStyle w:val="Compact"/>
              <w:jc w:val="left"/>
            </w:pPr>
            <w:r>
              <w:t xml:space="preserve">Heads</w:t>
            </w:r>
          </w:p>
        </w:tc>
        <w:tc>
          <w:tcPr/>
          <w:p>
            <w:pPr>
              <w:pStyle w:val="Compact"/>
              <w:jc w:val="left"/>
            </w:pPr>
            <w:r>
              <w:t xml:space="preserve">Heads</w:t>
            </w:r>
          </w:p>
        </w:tc>
      </w:tr>
      <w:tr>
        <w:tc>
          <w:tcPr/>
          <w:p>
            <w:pPr>
              <w:pStyle w:val="Compact"/>
              <w:jc w:val="left"/>
            </w:pPr>
            <w:r>
              <w:t xml:space="preserve">2</w:t>
            </w:r>
          </w:p>
        </w:tc>
        <w:tc>
          <w:tcPr/>
          <w:p>
            <w:pPr>
              <w:pStyle w:val="Compact"/>
              <w:jc w:val="left"/>
            </w:pPr>
            <w:r>
              <w:t xml:space="preserve">Heads</w:t>
            </w:r>
          </w:p>
        </w:tc>
        <w:tc>
          <w:tcPr/>
          <w:p>
            <w:pPr>
              <w:pStyle w:val="Compact"/>
              <w:jc w:val="left"/>
            </w:pPr>
            <w:r>
              <w:t xml:space="preserve">Tails</w:t>
            </w:r>
          </w:p>
        </w:tc>
      </w:tr>
      <w:tr>
        <w:tc>
          <w:tcPr/>
          <w:p>
            <w:pPr>
              <w:pStyle w:val="Compact"/>
              <w:jc w:val="left"/>
            </w:pPr>
            <w:r>
              <w:t xml:space="preserve">3</w:t>
            </w:r>
          </w:p>
        </w:tc>
        <w:tc>
          <w:tcPr/>
          <w:p>
            <w:pPr>
              <w:pStyle w:val="Compact"/>
              <w:jc w:val="left"/>
            </w:pPr>
            <w:r>
              <w:t xml:space="preserve">Tails</w:t>
            </w:r>
          </w:p>
        </w:tc>
        <w:tc>
          <w:tcPr/>
          <w:p>
            <w:pPr>
              <w:pStyle w:val="Compact"/>
              <w:jc w:val="left"/>
            </w:pPr>
            <w:r>
              <w:t xml:space="preserve">Heads</w:t>
            </w:r>
          </w:p>
        </w:tc>
      </w:tr>
      <w:tr>
        <w:tc>
          <w:tcPr/>
          <w:p>
            <w:pPr>
              <w:pStyle w:val="Compact"/>
              <w:jc w:val="left"/>
            </w:pPr>
            <w:r>
              <w:t xml:space="preserve">4</w:t>
            </w:r>
          </w:p>
        </w:tc>
        <w:tc>
          <w:tcPr/>
          <w:p>
            <w:pPr>
              <w:pStyle w:val="Compact"/>
              <w:jc w:val="left"/>
            </w:pPr>
            <w:r>
              <w:t xml:space="preserve">Tails</w:t>
            </w:r>
          </w:p>
        </w:tc>
        <w:tc>
          <w:tcPr/>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pct" w:w="4865"/>
        <w:tblLook w:firstRow="1" w:lastRow="0" w:firstColumn="0" w:lastColumn="0" w:noHBand="0" w:noVBand="0" w:val="0020"/>
      </w:tblPr>
      <w:tblGrid>
        <w:gridCol w:w="4602"/>
        <w:gridCol w:w="3103"/>
      </w:tblGrid>
      <w:tr>
        <w:trPr>
          <w:tblHeader w:val="true"/>
        </w:trPr>
        <w:tc>
          <w:tcPr/>
          <w:p>
            <w:pPr>
              <w:pStyle w:val="Compact"/>
              <w:jc w:val="left"/>
            </w:pPr>
            <w:r>
              <w:t xml:space="preserve">Number of Heads</w:t>
            </w:r>
          </w:p>
        </w:tc>
        <w:tc>
          <w:tcPr/>
          <w:p>
            <w:pPr>
              <w:pStyle w:val="Compact"/>
              <w:jc w:val="left"/>
            </w:pPr>
            <w:r>
              <w:t xml:space="preserve">Probability</w:t>
            </w:r>
          </w:p>
        </w:tc>
      </w:tr>
      <w:tr>
        <w:tc>
          <w:tcPr/>
          <w:p>
            <w:pPr>
              <w:pStyle w:val="Compact"/>
              <w:jc w:val="left"/>
            </w:pPr>
            <w:r>
              <w:t xml:space="preserve">0</w:t>
            </w:r>
          </w:p>
        </w:tc>
        <w:tc>
          <w:tcPr/>
          <w:p>
            <w:pPr>
              <w:pStyle w:val="Compact"/>
              <w:jc w:val="left"/>
            </w:pPr>
            <w:r>
              <w:t xml:space="preserve">1/4</w:t>
            </w:r>
          </w:p>
        </w:tc>
      </w:tr>
      <w:tr>
        <w:tc>
          <w:tcPr/>
          <w:p>
            <w:pPr>
              <w:pStyle w:val="Compact"/>
              <w:jc w:val="left"/>
            </w:pPr>
            <w:r>
              <w:t xml:space="preserve">1</w:t>
            </w:r>
          </w:p>
        </w:tc>
        <w:tc>
          <w:tcPr/>
          <w:p>
            <w:pPr>
              <w:pStyle w:val="Compact"/>
              <w:jc w:val="left"/>
            </w:pPr>
            <w:r>
              <w:t xml:space="preserve">1/2</w:t>
            </w:r>
          </w:p>
        </w:tc>
      </w:tr>
      <w:tr>
        <w:tc>
          <w:tcPr/>
          <w:p>
            <w:pPr>
              <w:pStyle w:val="Compact"/>
              <w:jc w:val="left"/>
            </w:pPr>
            <w:r>
              <w:t xml:space="preserve">2</w:t>
            </w:r>
          </w:p>
        </w:tc>
        <w:tc>
          <w:tcPr/>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42"/>
    <w:bookmarkStart w:id="43"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43"/>
    <w:bookmarkStart w:id="44"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44"/>
    <w:bookmarkEnd w:id="45"/>
    <w:bookmarkStart w:id="53"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46">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6"/>
        </w:numPr>
        <w:pStyle w:val="Compact"/>
      </w:pPr>
      <w:r>
        <w:t xml:space="preserve">item</w:t>
      </w:r>
    </w:p>
    <w:p>
      <w:pPr>
        <w:numPr>
          <w:ilvl w:val="0"/>
          <w:numId w:val="1006"/>
        </w:numPr>
        <w:pStyle w:val="Compact"/>
      </w:pPr>
      <w:r>
        <w:t xml:space="preserve">item</w:t>
      </w:r>
    </w:p>
    <w:p>
      <w:pPr>
        <w:numPr>
          <w:ilvl w:val="0"/>
          <w:numId w:val="1006"/>
        </w:numPr>
        <w:pStyle w:val="Compact"/>
      </w:pPr>
      <w:r>
        <w:t xml:space="preserve">item</w:t>
      </w:r>
    </w:p>
    <w:p>
      <w:r>
        <w:pict>
          <v:rect style="width:0;height:1.5pt" o:hralign="center" o:hrstd="t" o:hr="t"/>
        </w:pict>
      </w:r>
    </w:p>
    <w:bookmarkStart w:id="49"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47">
        <w:r>
          <w:rPr>
            <w:rStyle w:val="Hyperlink"/>
          </w:rPr>
          <w:t xml:space="preserve">link</w:t>
        </w:r>
      </w:hyperlink>
      <w:r>
        <w:t xml:space="preserve"> </w:t>
      </w:r>
      <w:r>
        <w:t xml:space="preserve">red curry tofu noodles</w:t>
      </w:r>
      <w:r>
        <w:t xml:space="preserve"> </w:t>
      </w:r>
      <w:hyperlink r:id="rId47">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48"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47">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48"/>
    <w:bookmarkEnd w:id="49"/>
    <w:bookmarkStart w:id="52"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7"/>
        </w:numPr>
        <w:pStyle w:val="Compact"/>
      </w:pPr>
      <w:r>
        <w:t xml:space="preserve">cool Thai super</w:t>
      </w:r>
    </w:p>
    <w:p>
      <w:pPr>
        <w:numPr>
          <w:ilvl w:val="0"/>
          <w:numId w:val="1007"/>
        </w:numPr>
        <w:pStyle w:val="Compact"/>
      </w:pPr>
      <w:r>
        <w:t xml:space="preserve">chili maple orange</w:t>
      </w:r>
    </w:p>
    <w:p>
      <w:pPr>
        <w:numPr>
          <w:ilvl w:val="0"/>
          <w:numId w:val="1007"/>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51"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50">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8"/>
        </w:numPr>
        <w:pStyle w:val="Compact"/>
      </w:pPr>
      <w:r>
        <w:t xml:space="preserve">Check</w:t>
      </w:r>
      <w:r>
        <w:t xml:space="preserve"> </w:t>
      </w:r>
      <w:r>
        <w:t xml:space="preserve">(</w:t>
      </w:r>
      <w:r>
        <w:rPr>
          <w:bCs/>
          <w:b/>
        </w:rPr>
        <w:t xml:space="preserve">fig:graph?</w:t>
      </w:r>
      <w:r>
        <w:t xml:space="preserve">)</w:t>
      </w:r>
      <w:r>
        <w:t xml:space="preserve">.</w:t>
      </w:r>
    </w:p>
    <w:p>
      <w:pPr>
        <w:numPr>
          <w:ilvl w:val="0"/>
          <w:numId w:val="1008"/>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8"/>
        </w:numPr>
        <w:pStyle w:val="Compact"/>
      </w:pPr>
      <w:r>
        <w:t xml:space="preserve">Check</w:t>
      </w:r>
      <w:r>
        <w:t xml:space="preserve"> </w:t>
      </w:r>
      <w:r>
        <w:t xml:space="preserve">(</w:t>
      </w:r>
      <w:r>
        <w:rPr>
          <w:bCs/>
          <w:b/>
        </w:rPr>
        <w:t xml:space="preserve">eq:equation?</w:t>
      </w:r>
      <w:r>
        <w:t xml:space="preserve">)</w:t>
      </w:r>
      <w:r>
        <w:t xml:space="preserve">.</w:t>
      </w:r>
    </w:p>
    <w:bookmarkEnd w:id="51"/>
    <w:bookmarkEnd w:id="52"/>
    <w:bookmarkEnd w:id="53"/>
    <w:bookmarkStart w:id="56" w:name="bibliography"/>
    <w:p>
      <w:pPr>
        <w:pStyle w:val="Heading1"/>
      </w:pPr>
      <w:r>
        <w:t xml:space="preserve">References</w:t>
      </w:r>
    </w:p>
    <w:bookmarkStart w:id="55" w:name="refs"/>
    <w:bookmarkStart w:id="54" w:name="ref-lantern"/>
    <w:p>
      <w:pPr>
        <w:pStyle w:val="Bibliography"/>
      </w:pPr>
      <w:r>
        <w:t xml:space="preserve">Diaz, Chris. 2021.</w:t>
      </w:r>
      <w:r>
        <w:t xml:space="preserve"> </w:t>
      </w:r>
      <w:r>
        <w:t xml:space="preserve">“Lantern.”</w:t>
      </w:r>
      <w:r>
        <w:t xml:space="preserve"> </w:t>
      </w:r>
      <w:r>
        <w:t xml:space="preserve">Northwestern University Libraries.</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The branch of statistics concerned with drawing conclusions about a</w:t>
      </w:r>
      <w:r>
        <w:t xml:space="preserve"> </w:t>
      </w:r>
      <w:hyperlink r:id="rId34">
        <w:r>
          <w:rPr>
            <w:rStyle w:val="Hyperlink"/>
            <w:u w:val="single"/>
          </w:rPr>
          <w:t xml:space="preserve">population</w:t>
        </w:r>
      </w:hyperlink>
      <w:r>
        <w:t xml:space="preserve"> </w:t>
      </w:r>
      <w:r>
        <w:t xml:space="preserve">from a</w:t>
      </w:r>
      <w:r>
        <w:t xml:space="preserve"> </w:t>
      </w:r>
      <w:hyperlink r:id="rId35">
        <w:r>
          <w:rPr>
            <w:rStyle w:val="Hyperlink"/>
            <w:u w:val="single"/>
          </w:rPr>
          <w:t xml:space="preserve">sample</w:t>
        </w:r>
      </w:hyperlink>
      <w:r>
        <w:t xml:space="preserve">. This is generally done through</w:t>
      </w:r>
      <w:r>
        <w:t xml:space="preserve"> </w:t>
      </w:r>
      <w:hyperlink r:id="rId36">
        <w:r>
          <w:rPr>
            <w:rStyle w:val="Hyperlink"/>
            <w:u w:val="single"/>
          </w:rPr>
          <w:t xml:space="preserve">random sampling</w:t>
        </w:r>
      </w:hyperlink>
      <w:r>
        <w:t xml:space="preserve">, followed by</w:t>
      </w:r>
      <w:r>
        <w:t xml:space="preserve"> </w:t>
      </w:r>
      <w:hyperlink r:id="rId37">
        <w:r>
          <w:rPr>
            <w:rStyle w:val="Hyperlink"/>
            <w:u w:val="single"/>
          </w:rPr>
          <w:t xml:space="preserve">inferences</w:t>
        </w:r>
      </w:hyperlink>
      <w:r>
        <w:t xml:space="preserve"> </w:t>
      </w:r>
      <w:r>
        <w:t xml:space="preserve">made about</w:t>
      </w:r>
      <w:r>
        <w:t xml:space="preserve"> </w:t>
      </w:r>
      <w:hyperlink r:id="rId38">
        <w:r>
          <w:rPr>
            <w:rStyle w:val="Hyperlink"/>
            <w:u w:val="single"/>
          </w:rPr>
          <w:t xml:space="preserve">central tendency</w:t>
        </w:r>
      </w:hyperlink>
      <w:r>
        <w:t xml:space="preserve">, or any of a number of other aspects of a</w:t>
      </w:r>
      <w:r>
        <w:t xml:space="preserve"> </w:t>
      </w:r>
      <w:hyperlink r:id="rId39">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url" TargetMode="External" /><Relationship Type="http://schemas.openxmlformats.org/officeDocument/2006/relationships/hyperlink" Id="rId50"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38" Target="https://onlinestatbook.com/2/glossary/center(distribution).html" TargetMode="External" /><Relationship Type="http://schemas.openxmlformats.org/officeDocument/2006/relationships/hyperlink" Id="rId39" Target="https://onlinestatbook.com/2/glossary/distribution.html" TargetMode="External" /><Relationship Type="http://schemas.openxmlformats.org/officeDocument/2006/relationships/hyperlink" Id="rId37" Target="https://onlinestatbook.com/2/glossary/inference.html" TargetMode="External" /><Relationship Type="http://schemas.openxmlformats.org/officeDocument/2006/relationships/hyperlink" Id="rId34" Target="https://onlinestatbook.com/2/glossary/population.html" TargetMode="External" /><Relationship Type="http://schemas.openxmlformats.org/officeDocument/2006/relationships/hyperlink" Id="rId36" Target="https://onlinestatbook.com/2/glossary/random_sampling.html" TargetMode="External" /><Relationship Type="http://schemas.openxmlformats.org/officeDocument/2006/relationships/hyperlink" Id="rId3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46"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47" Target="http://url" TargetMode="External" /><Relationship Type="http://schemas.openxmlformats.org/officeDocument/2006/relationships/hyperlink" Id="rId50"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38" Target="https://onlinestatbook.com/2/glossary/center(distribution).html" TargetMode="External" /><Relationship Type="http://schemas.openxmlformats.org/officeDocument/2006/relationships/hyperlink" Id="rId39" Target="https://onlinestatbook.com/2/glossary/distribution.html" TargetMode="External" /><Relationship Type="http://schemas.openxmlformats.org/officeDocument/2006/relationships/hyperlink" Id="rId37" Target="https://onlinestatbook.com/2/glossary/inference.html" TargetMode="External" /><Relationship Type="http://schemas.openxmlformats.org/officeDocument/2006/relationships/hyperlink" Id="rId34" Target="https://onlinestatbook.com/2/glossary/population.html" TargetMode="External" /><Relationship Type="http://schemas.openxmlformats.org/officeDocument/2006/relationships/hyperlink" Id="rId36" Target="https://onlinestatbook.com/2/glossary/random_sampling.html" TargetMode="External" /><Relationship Type="http://schemas.openxmlformats.org/officeDocument/2006/relationships/hyperlink" Id="rId3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46"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This description is indentedby three spaces. Must it be? What happens if I delete one or more of the spaces? I see also that the “any text or symbols go” here &lt; &gt; &lt; @ Just checking! 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statistical methods, probability, Probability, Is there any spell-check</cp:keywords>
  <dcterms:created xsi:type="dcterms:W3CDTF">2021-07-23T13:57:41Z</dcterms:created>
  <dcterms:modified xsi:type="dcterms:W3CDTF">2021-07-23T13:57:41Z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978-0-01-867530-9</vt:lpwstr>
  </property>
  <property fmtid="{D5CDD505-2E9C-101B-9397-08002B2CF9AE}" pid="10" name="isbn-p">
    <vt:lpwstr>978-0-00-867530-9</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http://www.github.com</vt:lpwstr>
  </property>
</Properties>
</file>