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2EDCE" w14:textId="5680E01C" w:rsidR="0011148C" w:rsidRDefault="00CE61E0" w:rsidP="00CE61E0">
      <w:pPr>
        <w:pStyle w:val="ListParagraph"/>
        <w:numPr>
          <w:ilvl w:val="0"/>
          <w:numId w:val="1"/>
        </w:numPr>
        <w:rPr>
          <w:b/>
          <w:bCs w:val="0"/>
          <w:u w:val="single"/>
        </w:rPr>
      </w:pPr>
      <w:r w:rsidRPr="00CE61E0">
        <w:rPr>
          <w:b/>
          <w:bCs w:val="0"/>
          <w:u w:val="single"/>
        </w:rPr>
        <w:t>Results:</w:t>
      </w:r>
    </w:p>
    <w:p w14:paraId="173ED2B7" w14:textId="2AC1D658" w:rsidR="009C793F" w:rsidRDefault="00CE61E0" w:rsidP="009C793F">
      <w:pPr>
        <w:ind w:left="360"/>
        <w:rPr>
          <w:sz w:val="22"/>
          <w:szCs w:val="22"/>
        </w:rPr>
      </w:pPr>
      <w:r>
        <w:t>The results from linear regression</w:t>
      </w:r>
      <w:r w:rsidR="009C793F">
        <w:t xml:space="preserve"> model (Flux ~ R</w:t>
      </w:r>
      <w:r w:rsidR="009C793F">
        <w:rPr>
          <w:vertAlign w:val="subscript"/>
        </w:rPr>
        <w:t>n</w:t>
      </w:r>
      <w:r w:rsidR="009C793F">
        <w:t xml:space="preserve"> + T + VPD + H + Season)</w:t>
      </w:r>
      <w:r>
        <w:t xml:space="preserve"> supported our hypothesis that the rate of fluxes is primarily determined by net radiation (R</w:t>
      </w:r>
      <w:r>
        <w:rPr>
          <w:vertAlign w:val="subscript"/>
        </w:rPr>
        <w:t>n</w:t>
      </w:r>
      <w:r>
        <w:t xml:space="preserve">), temperature (T), </w:t>
      </w:r>
      <w:r w:rsidR="004E72F6">
        <w:t xml:space="preserve">sensible heat (H), </w:t>
      </w:r>
      <w:r>
        <w:t>and Vapor pressure deficit (VPD) across seasons. We found that T had the largest impact (</w:t>
      </w:r>
      <w:r w:rsidR="004E72F6" w:rsidRPr="001F6714">
        <w:rPr>
          <w:sz w:val="22"/>
          <w:szCs w:val="22"/>
        </w:rPr>
        <w:t>β</w:t>
      </w:r>
      <w:r w:rsidR="004E72F6">
        <w:rPr>
          <w:sz w:val="22"/>
          <w:szCs w:val="22"/>
        </w:rPr>
        <w:t xml:space="preserve"> = 0.0007073 ± 0.0001492, p &lt; 0.0001), followed by R</w:t>
      </w:r>
      <w:r w:rsidR="004E72F6">
        <w:rPr>
          <w:sz w:val="22"/>
          <w:szCs w:val="22"/>
          <w:vertAlign w:val="subscript"/>
        </w:rPr>
        <w:t>n</w:t>
      </w:r>
      <w:r w:rsidR="004E72F6">
        <w:rPr>
          <w:sz w:val="22"/>
          <w:szCs w:val="22"/>
        </w:rPr>
        <w:t xml:space="preserve"> (</w:t>
      </w:r>
      <w:r w:rsidR="004E72F6" w:rsidRPr="001F6714">
        <w:rPr>
          <w:sz w:val="22"/>
          <w:szCs w:val="22"/>
        </w:rPr>
        <w:t>β</w:t>
      </w:r>
      <w:r w:rsidR="004E72F6">
        <w:rPr>
          <w:sz w:val="22"/>
          <w:szCs w:val="22"/>
        </w:rPr>
        <w:t xml:space="preserve"> = 0.000</w:t>
      </w:r>
      <w:r w:rsidR="004E72F6">
        <w:rPr>
          <w:sz w:val="22"/>
          <w:szCs w:val="22"/>
        </w:rPr>
        <w:t>5308</w:t>
      </w:r>
      <w:r w:rsidR="004E72F6">
        <w:rPr>
          <w:sz w:val="22"/>
          <w:szCs w:val="22"/>
        </w:rPr>
        <w:t xml:space="preserve"> ± 0.000</w:t>
      </w:r>
      <w:r w:rsidR="004E72F6">
        <w:rPr>
          <w:sz w:val="22"/>
          <w:szCs w:val="22"/>
        </w:rPr>
        <w:t>0084</w:t>
      </w:r>
      <w:r w:rsidR="004E72F6">
        <w:rPr>
          <w:sz w:val="22"/>
          <w:szCs w:val="22"/>
        </w:rPr>
        <w:t>, p &lt; 0.0001</w:t>
      </w:r>
      <w:r w:rsidR="004E72F6">
        <w:rPr>
          <w:sz w:val="22"/>
          <w:szCs w:val="22"/>
        </w:rPr>
        <w:t xml:space="preserve">) and VPD with the least positive effect </w:t>
      </w:r>
      <w:r w:rsidR="004E72F6">
        <w:rPr>
          <w:sz w:val="22"/>
          <w:szCs w:val="22"/>
        </w:rPr>
        <w:t>(</w:t>
      </w:r>
      <w:r w:rsidR="004E72F6" w:rsidRPr="001F6714">
        <w:rPr>
          <w:sz w:val="22"/>
          <w:szCs w:val="22"/>
        </w:rPr>
        <w:t>β</w:t>
      </w:r>
      <w:r w:rsidR="004E72F6">
        <w:rPr>
          <w:sz w:val="22"/>
          <w:szCs w:val="22"/>
        </w:rPr>
        <w:t xml:space="preserve"> = 0.000</w:t>
      </w:r>
      <w:r w:rsidR="004E72F6">
        <w:rPr>
          <w:sz w:val="22"/>
          <w:szCs w:val="22"/>
        </w:rPr>
        <w:t>01827</w:t>
      </w:r>
      <w:r w:rsidR="004E72F6">
        <w:rPr>
          <w:sz w:val="22"/>
          <w:szCs w:val="22"/>
        </w:rPr>
        <w:t xml:space="preserve"> ± 0.00000</w:t>
      </w:r>
      <w:r w:rsidR="004E72F6">
        <w:rPr>
          <w:sz w:val="22"/>
          <w:szCs w:val="22"/>
        </w:rPr>
        <w:t>19</w:t>
      </w:r>
      <w:r w:rsidR="004E72F6">
        <w:rPr>
          <w:sz w:val="22"/>
          <w:szCs w:val="22"/>
        </w:rPr>
        <w:t>, p &lt; 0.0001)</w:t>
      </w:r>
      <w:r w:rsidR="004E72F6">
        <w:rPr>
          <w:sz w:val="22"/>
          <w:szCs w:val="22"/>
        </w:rPr>
        <w:t xml:space="preserve"> on the fluxes. Interestingly, sensible heat flux (H) had a negative impact </w:t>
      </w:r>
      <w:r w:rsidR="004E72F6">
        <w:rPr>
          <w:sz w:val="22"/>
          <w:szCs w:val="22"/>
        </w:rPr>
        <w:t>(</w:t>
      </w:r>
      <w:r w:rsidR="004E72F6" w:rsidRPr="001F6714">
        <w:rPr>
          <w:sz w:val="22"/>
          <w:szCs w:val="22"/>
        </w:rPr>
        <w:t>β</w:t>
      </w:r>
      <w:r w:rsidR="004E72F6">
        <w:rPr>
          <w:sz w:val="22"/>
          <w:szCs w:val="22"/>
        </w:rPr>
        <w:t xml:space="preserve"> = </w:t>
      </w:r>
      <w:r w:rsidR="004E72F6">
        <w:rPr>
          <w:sz w:val="22"/>
          <w:szCs w:val="22"/>
        </w:rPr>
        <w:t>-</w:t>
      </w:r>
      <w:r w:rsidR="004E72F6">
        <w:rPr>
          <w:sz w:val="22"/>
          <w:szCs w:val="22"/>
        </w:rPr>
        <w:t>0.000</w:t>
      </w:r>
      <w:r w:rsidR="004E72F6">
        <w:rPr>
          <w:sz w:val="22"/>
          <w:szCs w:val="22"/>
        </w:rPr>
        <w:t>4075</w:t>
      </w:r>
      <w:r w:rsidR="004E72F6">
        <w:rPr>
          <w:sz w:val="22"/>
          <w:szCs w:val="22"/>
        </w:rPr>
        <w:t xml:space="preserve"> ± 0.0000</w:t>
      </w:r>
      <w:r w:rsidR="004E72F6">
        <w:rPr>
          <w:sz w:val="22"/>
          <w:szCs w:val="22"/>
        </w:rPr>
        <w:t>14</w:t>
      </w:r>
      <w:r w:rsidR="004E72F6">
        <w:rPr>
          <w:sz w:val="22"/>
          <w:szCs w:val="22"/>
        </w:rPr>
        <w:t>, p &lt; 0.0001)</w:t>
      </w:r>
      <w:r w:rsidR="004E72F6">
        <w:rPr>
          <w:sz w:val="22"/>
          <w:szCs w:val="22"/>
        </w:rPr>
        <w:t xml:space="preserve"> on the fluxes. On a seasonal scale, fluxes were higher </w:t>
      </w:r>
      <w:r w:rsidR="009C793F">
        <w:rPr>
          <w:sz w:val="22"/>
          <w:szCs w:val="22"/>
        </w:rPr>
        <w:t>(</w:t>
      </w:r>
      <w:r w:rsidR="009C793F" w:rsidRPr="001F6714">
        <w:rPr>
          <w:sz w:val="22"/>
          <w:szCs w:val="22"/>
        </w:rPr>
        <w:t>β</w:t>
      </w:r>
      <w:r w:rsidR="009C793F">
        <w:rPr>
          <w:sz w:val="22"/>
          <w:szCs w:val="22"/>
        </w:rPr>
        <w:t xml:space="preserve"> = </w:t>
      </w:r>
      <w:r w:rsidR="009C793F">
        <w:rPr>
          <w:sz w:val="22"/>
          <w:szCs w:val="22"/>
        </w:rPr>
        <w:t>0.0219</w:t>
      </w:r>
      <w:r w:rsidR="009C793F">
        <w:rPr>
          <w:sz w:val="22"/>
          <w:szCs w:val="22"/>
        </w:rPr>
        <w:t xml:space="preserve"> ± 0.00</w:t>
      </w:r>
      <w:r w:rsidR="009C793F">
        <w:rPr>
          <w:sz w:val="22"/>
          <w:szCs w:val="22"/>
        </w:rPr>
        <w:t>244</w:t>
      </w:r>
      <w:r w:rsidR="009C793F">
        <w:rPr>
          <w:sz w:val="22"/>
          <w:szCs w:val="22"/>
        </w:rPr>
        <w:t>, p &lt; 0.0001)</w:t>
      </w:r>
      <w:r w:rsidR="009C793F">
        <w:rPr>
          <w:sz w:val="22"/>
          <w:szCs w:val="22"/>
        </w:rPr>
        <w:t xml:space="preserve"> </w:t>
      </w:r>
      <w:r w:rsidR="004E72F6">
        <w:rPr>
          <w:sz w:val="22"/>
          <w:szCs w:val="22"/>
        </w:rPr>
        <w:t>on summer compared to that in winter</w:t>
      </w:r>
      <w:r w:rsidR="009C793F">
        <w:rPr>
          <w:sz w:val="22"/>
          <w:szCs w:val="22"/>
        </w:rPr>
        <w:t xml:space="preserve"> </w:t>
      </w:r>
      <w:r w:rsidR="009C793F">
        <w:rPr>
          <w:sz w:val="22"/>
          <w:szCs w:val="22"/>
        </w:rPr>
        <w:t>(</w:t>
      </w:r>
      <w:r w:rsidR="009C793F" w:rsidRPr="001F6714">
        <w:rPr>
          <w:sz w:val="22"/>
          <w:szCs w:val="22"/>
        </w:rPr>
        <w:t>β</w:t>
      </w:r>
      <w:r w:rsidR="009C793F">
        <w:rPr>
          <w:sz w:val="22"/>
          <w:szCs w:val="22"/>
        </w:rPr>
        <w:t xml:space="preserve"> = -0.</w:t>
      </w:r>
      <w:r w:rsidR="009C793F">
        <w:rPr>
          <w:sz w:val="22"/>
          <w:szCs w:val="22"/>
        </w:rPr>
        <w:t>0167</w:t>
      </w:r>
      <w:r w:rsidR="009C793F">
        <w:rPr>
          <w:sz w:val="22"/>
          <w:szCs w:val="22"/>
        </w:rPr>
        <w:t xml:space="preserve"> ± 0.00</w:t>
      </w:r>
      <w:r w:rsidR="009C793F">
        <w:rPr>
          <w:sz w:val="22"/>
          <w:szCs w:val="22"/>
        </w:rPr>
        <w:t>25</w:t>
      </w:r>
      <w:r w:rsidR="009C793F">
        <w:rPr>
          <w:sz w:val="22"/>
          <w:szCs w:val="22"/>
        </w:rPr>
        <w:t>, p &lt; 0.0001)</w:t>
      </w:r>
      <w:r w:rsidR="004E72F6">
        <w:rPr>
          <w:sz w:val="22"/>
          <w:szCs w:val="22"/>
        </w:rPr>
        <w:t>.</w:t>
      </w:r>
      <w:r w:rsidR="009C793F">
        <w:rPr>
          <w:sz w:val="22"/>
          <w:szCs w:val="22"/>
        </w:rPr>
        <w:t xml:space="preserve"> However, the model only explained about 60% of the overall variability in the fluxes.</w:t>
      </w:r>
    </w:p>
    <w:p w14:paraId="265D1670" w14:textId="23B27F48" w:rsidR="009C793F" w:rsidRDefault="009C793F" w:rsidP="009C793F">
      <w:pPr>
        <w:ind w:left="360"/>
      </w:pPr>
      <w:r>
        <w:rPr>
          <w:sz w:val="22"/>
          <w:szCs w:val="22"/>
        </w:rPr>
        <w:t xml:space="preserve">Exploratory data analyses showed a presence of non-linear trends towards higher end of the data values. Thus, to capture both linear and non-linear relationships among interrelated predictors and the response variable, a </w:t>
      </w:r>
      <w:r w:rsidR="00903228">
        <w:rPr>
          <w:sz w:val="22"/>
          <w:szCs w:val="22"/>
        </w:rPr>
        <w:t>Generalized Additive Model (GAM)</w:t>
      </w:r>
      <w:r>
        <w:rPr>
          <w:sz w:val="22"/>
          <w:szCs w:val="22"/>
        </w:rPr>
        <w:t xml:space="preserve"> approach was used. The </w:t>
      </w:r>
      <w:r w:rsidR="00FD47B1">
        <w:rPr>
          <w:sz w:val="22"/>
          <w:szCs w:val="22"/>
        </w:rPr>
        <w:t xml:space="preserve">tensor smooth (te) </w:t>
      </w:r>
      <w:r>
        <w:rPr>
          <w:sz w:val="22"/>
          <w:szCs w:val="22"/>
        </w:rPr>
        <w:t xml:space="preserve">basis function </w:t>
      </w:r>
      <w:r w:rsidR="00FD47B1">
        <w:rPr>
          <w:sz w:val="22"/>
          <w:szCs w:val="22"/>
        </w:rPr>
        <w:t xml:space="preserve">was </w:t>
      </w:r>
      <w:r>
        <w:rPr>
          <w:sz w:val="22"/>
          <w:szCs w:val="22"/>
        </w:rPr>
        <w:t xml:space="preserve">used </w:t>
      </w:r>
      <w:r>
        <w:t>(Flux ~ Season</w:t>
      </w:r>
      <w:r>
        <w:t xml:space="preserve"> + </w:t>
      </w:r>
      <w:r w:rsidR="00FD47B1">
        <w:t>te(</w:t>
      </w:r>
      <w:r>
        <w:t>T</w:t>
      </w:r>
      <w:r w:rsidR="00FD47B1">
        <w:t xml:space="preserve">, </w:t>
      </w:r>
      <w:r>
        <w:t>VPD</w:t>
      </w:r>
      <w:r w:rsidR="00FD47B1">
        <w:t xml:space="preserve">, </w:t>
      </w:r>
      <w:r w:rsidR="00FD47B1">
        <w:t>R</w:t>
      </w:r>
      <w:r w:rsidR="00FD47B1">
        <w:rPr>
          <w:vertAlign w:val="subscript"/>
        </w:rPr>
        <w:t>n</w:t>
      </w:r>
      <w:r w:rsidR="00FD47B1">
        <w:t>,</w:t>
      </w:r>
      <w:r w:rsidR="00FD47B1">
        <w:t xml:space="preserve"> </w:t>
      </w:r>
      <w:r>
        <w:t>H</w:t>
      </w:r>
      <w:r w:rsidR="00FD47B1">
        <w:t>, d = c(1,1,2</w:t>
      </w:r>
      <w:r>
        <w:t>)</w:t>
      </w:r>
      <w:r w:rsidR="00FD47B1">
        <w:t>)) to model the multidimensional interactions of variables that are not on the same scale</w:t>
      </w:r>
      <w:r w:rsidR="00FA3F11">
        <w:t xml:space="preserve">. Similar to the results obtained in linear regression analyses, summer season had the largest </w:t>
      </w:r>
      <w:r w:rsidR="00FA3F11">
        <w:rPr>
          <w:sz w:val="22"/>
          <w:szCs w:val="22"/>
        </w:rPr>
        <w:t>(</w:t>
      </w:r>
      <w:r w:rsidR="00FA3F11" w:rsidRPr="001F6714">
        <w:rPr>
          <w:sz w:val="22"/>
          <w:szCs w:val="22"/>
        </w:rPr>
        <w:t>β</w:t>
      </w:r>
      <w:r w:rsidR="00FA3F11">
        <w:rPr>
          <w:sz w:val="22"/>
          <w:szCs w:val="22"/>
        </w:rPr>
        <w:t xml:space="preserve"> = </w:t>
      </w:r>
      <w:r w:rsidR="00FA3F11">
        <w:rPr>
          <w:sz w:val="22"/>
          <w:szCs w:val="22"/>
        </w:rPr>
        <w:t>0.0088</w:t>
      </w:r>
      <w:r w:rsidR="00FA3F11">
        <w:rPr>
          <w:sz w:val="22"/>
          <w:szCs w:val="22"/>
        </w:rPr>
        <w:t xml:space="preserve"> ± 0.002</w:t>
      </w:r>
      <w:r w:rsidR="00FA3F11">
        <w:rPr>
          <w:sz w:val="22"/>
          <w:szCs w:val="22"/>
        </w:rPr>
        <w:t>1</w:t>
      </w:r>
      <w:r w:rsidR="00FA3F11">
        <w:rPr>
          <w:sz w:val="22"/>
          <w:szCs w:val="22"/>
        </w:rPr>
        <w:t>, p &lt; 0.0001)</w:t>
      </w:r>
      <w:r w:rsidR="00FA3F11">
        <w:t xml:space="preserve"> and winter had the lowest </w:t>
      </w:r>
      <w:r w:rsidR="00FA3F11">
        <w:rPr>
          <w:sz w:val="22"/>
          <w:szCs w:val="22"/>
        </w:rPr>
        <w:t>(</w:t>
      </w:r>
      <w:r w:rsidR="00FA3F11" w:rsidRPr="001F6714">
        <w:rPr>
          <w:sz w:val="22"/>
          <w:szCs w:val="22"/>
        </w:rPr>
        <w:t>β</w:t>
      </w:r>
      <w:r w:rsidR="00FA3F11">
        <w:rPr>
          <w:sz w:val="22"/>
          <w:szCs w:val="22"/>
        </w:rPr>
        <w:t xml:space="preserve"> = -0.01</w:t>
      </w:r>
      <w:r w:rsidR="00FA3F11">
        <w:rPr>
          <w:sz w:val="22"/>
          <w:szCs w:val="22"/>
        </w:rPr>
        <w:t>1</w:t>
      </w:r>
      <w:r w:rsidR="00FA3F11">
        <w:rPr>
          <w:sz w:val="22"/>
          <w:szCs w:val="22"/>
        </w:rPr>
        <w:t>7 ± 0.002</w:t>
      </w:r>
      <w:r w:rsidR="00FA3F11">
        <w:rPr>
          <w:sz w:val="22"/>
          <w:szCs w:val="22"/>
        </w:rPr>
        <w:t>2</w:t>
      </w:r>
      <w:r w:rsidR="00FA3F11">
        <w:rPr>
          <w:sz w:val="22"/>
          <w:szCs w:val="22"/>
        </w:rPr>
        <w:t>, p &lt; 0.0001)</w:t>
      </w:r>
      <w:r w:rsidR="00FA3F11">
        <w:t xml:space="preserve"> impact</w:t>
      </w:r>
      <w:r w:rsidR="00FD47B1">
        <w:t xml:space="preserve"> </w:t>
      </w:r>
      <w:r w:rsidR="00FA3F11">
        <w:t>on fluxes. The</w:t>
      </w:r>
      <w:r w:rsidR="00006DA7">
        <w:t xml:space="preserve"> smooth terms were significant (p &lt; 0.0001) with the model capturing approximately 78% of the variability in the dataset.</w:t>
      </w:r>
    </w:p>
    <w:p w14:paraId="049EFBC7" w14:textId="2F5C4EC8" w:rsidR="00006DA7" w:rsidRDefault="00006DA7" w:rsidP="009C793F">
      <w:pPr>
        <w:ind w:left="360"/>
        <w:rPr>
          <w:sz w:val="22"/>
          <w:szCs w:val="22"/>
        </w:rPr>
      </w:pPr>
      <w:r>
        <w:rPr>
          <w:sz w:val="22"/>
          <w:szCs w:val="22"/>
        </w:rPr>
        <w:t>Furthermore, Akaike’s Information Criteria (AIC) model selection approach revealed that the tensor smooth model with cubic spline regression was the best fit model, given the data (Table 1).</w:t>
      </w:r>
      <w:r w:rsidR="00D946D5">
        <w:rPr>
          <w:sz w:val="22"/>
          <w:szCs w:val="22"/>
        </w:rPr>
        <w:t xml:space="preserve"> To test the model’s predictive performance, the dataset was split into training and testing datasets (80:20) and the model was allowed to predict on the testing data</w:t>
      </w:r>
      <w:r w:rsidR="00903228">
        <w:rPr>
          <w:sz w:val="22"/>
          <w:szCs w:val="22"/>
        </w:rPr>
        <w:t xml:space="preserve"> (data unseen by the model). The Root Mean Squared Error (RMSE) was found the least for the tensor smooth model (Table 1).</w:t>
      </w:r>
    </w:p>
    <w:p w14:paraId="37F46F0A" w14:textId="77777777" w:rsidR="00903228" w:rsidRPr="00903228" w:rsidRDefault="00903228" w:rsidP="00903228">
      <w:pPr>
        <w:rPr>
          <w:i/>
          <w:iCs w:val="0"/>
        </w:rPr>
      </w:pPr>
      <w:r w:rsidRPr="00903228">
        <w:rPr>
          <w:b/>
          <w:bCs w:val="0"/>
          <w:i/>
          <w:iCs w:val="0"/>
        </w:rPr>
        <w:t xml:space="preserve">Table 1. </w:t>
      </w:r>
      <w:r w:rsidRPr="00903228">
        <w:rPr>
          <w:i/>
          <w:iCs w:val="0"/>
        </w:rPr>
        <w:t>Results of Akaike’s Information Criteria (AIC) approach for model selection.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214"/>
        <w:gridCol w:w="1885"/>
        <w:gridCol w:w="1938"/>
        <w:gridCol w:w="1708"/>
      </w:tblGrid>
      <w:tr w:rsidR="00903228" w:rsidRPr="00903228" w14:paraId="5B73338A" w14:textId="77777777" w:rsidTr="00FA7ADA">
        <w:tc>
          <w:tcPr>
            <w:tcW w:w="2605" w:type="dxa"/>
            <w:tcBorders>
              <w:top w:val="single" w:sz="18" w:space="0" w:color="auto"/>
              <w:bottom w:val="single" w:sz="8" w:space="0" w:color="auto"/>
            </w:tcBorders>
          </w:tcPr>
          <w:p w14:paraId="56B8B24E" w14:textId="77777777" w:rsidR="00903228" w:rsidRPr="00903228" w:rsidRDefault="00903228" w:rsidP="00903228">
            <w:pPr>
              <w:ind w:left="360"/>
              <w:rPr>
                <w:b/>
                <w:sz w:val="22"/>
                <w:szCs w:val="22"/>
              </w:rPr>
            </w:pPr>
            <w:r w:rsidRPr="00903228">
              <w:rPr>
                <w:b/>
                <w:sz w:val="22"/>
                <w:szCs w:val="22"/>
              </w:rPr>
              <w:t>Model</w:t>
            </w:r>
          </w:p>
        </w:tc>
        <w:tc>
          <w:tcPr>
            <w:tcW w:w="1214" w:type="dxa"/>
            <w:tcBorders>
              <w:top w:val="single" w:sz="18" w:space="0" w:color="auto"/>
              <w:bottom w:val="single" w:sz="8" w:space="0" w:color="auto"/>
            </w:tcBorders>
          </w:tcPr>
          <w:p w14:paraId="069D3AB3" w14:textId="77777777" w:rsidR="00903228" w:rsidRPr="00903228" w:rsidRDefault="00903228" w:rsidP="00903228">
            <w:pPr>
              <w:ind w:left="360"/>
              <w:rPr>
                <w:b/>
                <w:sz w:val="22"/>
                <w:szCs w:val="22"/>
              </w:rPr>
            </w:pPr>
            <w:r w:rsidRPr="00903228">
              <w:rPr>
                <w:b/>
                <w:sz w:val="22"/>
                <w:szCs w:val="22"/>
              </w:rPr>
              <w:t>df</w:t>
            </w:r>
          </w:p>
        </w:tc>
        <w:tc>
          <w:tcPr>
            <w:tcW w:w="1885" w:type="dxa"/>
            <w:tcBorders>
              <w:top w:val="single" w:sz="18" w:space="0" w:color="auto"/>
              <w:bottom w:val="single" w:sz="8" w:space="0" w:color="auto"/>
            </w:tcBorders>
          </w:tcPr>
          <w:p w14:paraId="58E188C4" w14:textId="77777777" w:rsidR="00903228" w:rsidRPr="00903228" w:rsidRDefault="00903228" w:rsidP="00903228">
            <w:pPr>
              <w:ind w:left="360"/>
              <w:rPr>
                <w:b/>
                <w:sz w:val="22"/>
                <w:szCs w:val="22"/>
              </w:rPr>
            </w:pPr>
            <w:r w:rsidRPr="00903228">
              <w:rPr>
                <w:b/>
                <w:sz w:val="22"/>
                <w:szCs w:val="22"/>
              </w:rPr>
              <w:t>AIC</w:t>
            </w:r>
          </w:p>
        </w:tc>
        <w:tc>
          <w:tcPr>
            <w:tcW w:w="1938" w:type="dxa"/>
            <w:tcBorders>
              <w:top w:val="single" w:sz="18" w:space="0" w:color="auto"/>
              <w:bottom w:val="single" w:sz="8" w:space="0" w:color="auto"/>
            </w:tcBorders>
          </w:tcPr>
          <w:p w14:paraId="5F48B9B1" w14:textId="77777777" w:rsidR="00903228" w:rsidRPr="00903228" w:rsidRDefault="00903228" w:rsidP="00903228">
            <w:pPr>
              <w:ind w:left="360"/>
              <w:rPr>
                <w:b/>
                <w:sz w:val="22"/>
                <w:szCs w:val="22"/>
              </w:rPr>
            </w:pPr>
            <w:r w:rsidRPr="00903228">
              <w:rPr>
                <w:b/>
                <w:sz w:val="22"/>
                <w:szCs w:val="22"/>
              </w:rPr>
              <w:t>RMSE</w:t>
            </w:r>
          </w:p>
        </w:tc>
        <w:tc>
          <w:tcPr>
            <w:tcW w:w="1708" w:type="dxa"/>
            <w:tcBorders>
              <w:top w:val="single" w:sz="18" w:space="0" w:color="auto"/>
              <w:bottom w:val="single" w:sz="8" w:space="0" w:color="auto"/>
            </w:tcBorders>
          </w:tcPr>
          <w:p w14:paraId="0408AA20" w14:textId="77777777" w:rsidR="00903228" w:rsidRPr="00903228" w:rsidRDefault="00903228" w:rsidP="00903228">
            <w:pPr>
              <w:ind w:left="360"/>
              <w:rPr>
                <w:b/>
                <w:sz w:val="22"/>
                <w:szCs w:val="22"/>
              </w:rPr>
            </w:pPr>
            <w:r w:rsidRPr="00903228">
              <w:rPr>
                <w:b/>
                <w:sz w:val="22"/>
                <w:szCs w:val="22"/>
              </w:rPr>
              <w:t>R-squared</w:t>
            </w:r>
          </w:p>
        </w:tc>
      </w:tr>
      <w:tr w:rsidR="00903228" w:rsidRPr="00903228" w14:paraId="43CFA7D4" w14:textId="77777777" w:rsidTr="00FA7ADA">
        <w:tc>
          <w:tcPr>
            <w:tcW w:w="2605" w:type="dxa"/>
            <w:tcBorders>
              <w:top w:val="single" w:sz="8" w:space="0" w:color="auto"/>
            </w:tcBorders>
          </w:tcPr>
          <w:p w14:paraId="6D8D0B86" w14:textId="77777777" w:rsidR="00903228" w:rsidRPr="00903228" w:rsidRDefault="00903228" w:rsidP="00903228">
            <w:pPr>
              <w:ind w:left="360"/>
              <w:rPr>
                <w:sz w:val="22"/>
                <w:szCs w:val="22"/>
              </w:rPr>
            </w:pPr>
            <w:r w:rsidRPr="00903228">
              <w:rPr>
                <w:sz w:val="22"/>
                <w:szCs w:val="22"/>
              </w:rPr>
              <w:t>Linear</w:t>
            </w:r>
          </w:p>
        </w:tc>
        <w:tc>
          <w:tcPr>
            <w:tcW w:w="1214" w:type="dxa"/>
            <w:tcBorders>
              <w:top w:val="single" w:sz="8" w:space="0" w:color="auto"/>
            </w:tcBorders>
          </w:tcPr>
          <w:p w14:paraId="56FFFE14" w14:textId="77777777" w:rsidR="00903228" w:rsidRPr="00903228" w:rsidRDefault="00903228" w:rsidP="00903228">
            <w:pPr>
              <w:ind w:left="360"/>
              <w:rPr>
                <w:sz w:val="22"/>
                <w:szCs w:val="22"/>
              </w:rPr>
            </w:pPr>
            <w:r w:rsidRPr="00903228">
              <w:rPr>
                <w:sz w:val="22"/>
                <w:szCs w:val="22"/>
              </w:rPr>
              <w:t>9</w:t>
            </w:r>
          </w:p>
        </w:tc>
        <w:tc>
          <w:tcPr>
            <w:tcW w:w="1885" w:type="dxa"/>
            <w:tcBorders>
              <w:top w:val="single" w:sz="8" w:space="0" w:color="auto"/>
            </w:tcBorders>
          </w:tcPr>
          <w:p w14:paraId="35C31C68" w14:textId="77777777" w:rsidR="00903228" w:rsidRPr="00903228" w:rsidRDefault="00903228" w:rsidP="00903228">
            <w:pPr>
              <w:ind w:left="360"/>
              <w:rPr>
                <w:sz w:val="22"/>
                <w:szCs w:val="22"/>
              </w:rPr>
            </w:pPr>
            <w:r w:rsidRPr="00903228">
              <w:rPr>
                <w:sz w:val="22"/>
                <w:szCs w:val="22"/>
              </w:rPr>
              <w:t>-23388</w:t>
            </w:r>
          </w:p>
        </w:tc>
        <w:tc>
          <w:tcPr>
            <w:tcW w:w="1938" w:type="dxa"/>
            <w:tcBorders>
              <w:top w:val="single" w:sz="8" w:space="0" w:color="auto"/>
            </w:tcBorders>
          </w:tcPr>
          <w:p w14:paraId="1925A524" w14:textId="77777777" w:rsidR="00903228" w:rsidRPr="00903228" w:rsidRDefault="00903228" w:rsidP="00903228">
            <w:pPr>
              <w:ind w:left="360"/>
              <w:rPr>
                <w:sz w:val="22"/>
                <w:szCs w:val="22"/>
              </w:rPr>
            </w:pPr>
            <w:r w:rsidRPr="00903228">
              <w:rPr>
                <w:sz w:val="22"/>
                <w:szCs w:val="22"/>
              </w:rPr>
              <w:t>0.00687</w:t>
            </w:r>
          </w:p>
        </w:tc>
        <w:tc>
          <w:tcPr>
            <w:tcW w:w="1708" w:type="dxa"/>
            <w:tcBorders>
              <w:top w:val="single" w:sz="8" w:space="0" w:color="auto"/>
            </w:tcBorders>
          </w:tcPr>
          <w:p w14:paraId="543D0402" w14:textId="77777777" w:rsidR="00903228" w:rsidRPr="00903228" w:rsidRDefault="00903228" w:rsidP="00903228">
            <w:pPr>
              <w:ind w:left="360"/>
              <w:rPr>
                <w:sz w:val="22"/>
                <w:szCs w:val="22"/>
              </w:rPr>
            </w:pPr>
            <w:r w:rsidRPr="00903228">
              <w:rPr>
                <w:sz w:val="22"/>
                <w:szCs w:val="22"/>
              </w:rPr>
              <w:t>0.6213</w:t>
            </w:r>
          </w:p>
        </w:tc>
      </w:tr>
      <w:tr w:rsidR="00903228" w:rsidRPr="00903228" w14:paraId="6B5CCBBE" w14:textId="77777777" w:rsidTr="00FA7ADA">
        <w:tc>
          <w:tcPr>
            <w:tcW w:w="2605" w:type="dxa"/>
          </w:tcPr>
          <w:p w14:paraId="10664776" w14:textId="77777777" w:rsidR="00903228" w:rsidRPr="00903228" w:rsidRDefault="00903228" w:rsidP="00903228">
            <w:pPr>
              <w:ind w:left="360"/>
              <w:rPr>
                <w:sz w:val="22"/>
                <w:szCs w:val="22"/>
              </w:rPr>
            </w:pPr>
            <w:r w:rsidRPr="00903228">
              <w:rPr>
                <w:sz w:val="22"/>
                <w:szCs w:val="22"/>
              </w:rPr>
              <w:t>GAM additive</w:t>
            </w:r>
          </w:p>
        </w:tc>
        <w:tc>
          <w:tcPr>
            <w:tcW w:w="1214" w:type="dxa"/>
          </w:tcPr>
          <w:p w14:paraId="3ED02C5F" w14:textId="77777777" w:rsidR="00903228" w:rsidRPr="00903228" w:rsidRDefault="00903228" w:rsidP="00903228">
            <w:pPr>
              <w:ind w:left="360"/>
              <w:rPr>
                <w:sz w:val="22"/>
                <w:szCs w:val="22"/>
              </w:rPr>
            </w:pPr>
            <w:r w:rsidRPr="00903228">
              <w:rPr>
                <w:sz w:val="22"/>
                <w:szCs w:val="22"/>
              </w:rPr>
              <w:t>35</w:t>
            </w:r>
          </w:p>
        </w:tc>
        <w:tc>
          <w:tcPr>
            <w:tcW w:w="1885" w:type="dxa"/>
          </w:tcPr>
          <w:p w14:paraId="5342FC52" w14:textId="77777777" w:rsidR="00903228" w:rsidRPr="00903228" w:rsidRDefault="00903228" w:rsidP="00903228">
            <w:pPr>
              <w:ind w:left="360"/>
              <w:rPr>
                <w:sz w:val="22"/>
                <w:szCs w:val="22"/>
              </w:rPr>
            </w:pPr>
            <w:r w:rsidRPr="00903228">
              <w:rPr>
                <w:sz w:val="22"/>
                <w:szCs w:val="22"/>
              </w:rPr>
              <w:t>-25019</w:t>
            </w:r>
          </w:p>
        </w:tc>
        <w:tc>
          <w:tcPr>
            <w:tcW w:w="1938" w:type="dxa"/>
          </w:tcPr>
          <w:p w14:paraId="4BD6BE63" w14:textId="77777777" w:rsidR="00903228" w:rsidRPr="00903228" w:rsidRDefault="00903228" w:rsidP="00903228">
            <w:pPr>
              <w:ind w:left="360"/>
              <w:rPr>
                <w:sz w:val="22"/>
                <w:szCs w:val="22"/>
              </w:rPr>
            </w:pPr>
            <w:r w:rsidRPr="00903228">
              <w:rPr>
                <w:sz w:val="22"/>
                <w:szCs w:val="22"/>
              </w:rPr>
              <w:t>0.00605</w:t>
            </w:r>
          </w:p>
        </w:tc>
        <w:tc>
          <w:tcPr>
            <w:tcW w:w="1708" w:type="dxa"/>
          </w:tcPr>
          <w:p w14:paraId="0852CBB0" w14:textId="77777777" w:rsidR="00903228" w:rsidRPr="00903228" w:rsidRDefault="00903228" w:rsidP="00903228">
            <w:pPr>
              <w:ind w:left="360"/>
              <w:rPr>
                <w:sz w:val="22"/>
                <w:szCs w:val="22"/>
              </w:rPr>
            </w:pPr>
            <w:r w:rsidRPr="00903228">
              <w:rPr>
                <w:sz w:val="22"/>
                <w:szCs w:val="22"/>
              </w:rPr>
              <w:t>0.6500</w:t>
            </w:r>
          </w:p>
        </w:tc>
      </w:tr>
      <w:tr w:rsidR="00903228" w:rsidRPr="00903228" w14:paraId="1855BE39" w14:textId="77777777" w:rsidTr="00FA7ADA">
        <w:tc>
          <w:tcPr>
            <w:tcW w:w="2605" w:type="dxa"/>
            <w:tcBorders>
              <w:bottom w:val="nil"/>
            </w:tcBorders>
          </w:tcPr>
          <w:p w14:paraId="620129B0" w14:textId="77777777" w:rsidR="00903228" w:rsidRPr="00903228" w:rsidRDefault="00903228" w:rsidP="00903228">
            <w:pPr>
              <w:ind w:left="360"/>
              <w:rPr>
                <w:sz w:val="22"/>
                <w:szCs w:val="22"/>
              </w:rPr>
            </w:pPr>
            <w:r w:rsidRPr="00903228">
              <w:rPr>
                <w:sz w:val="22"/>
                <w:szCs w:val="22"/>
              </w:rPr>
              <w:t>GAM interactive</w:t>
            </w:r>
          </w:p>
        </w:tc>
        <w:tc>
          <w:tcPr>
            <w:tcW w:w="1214" w:type="dxa"/>
            <w:tcBorders>
              <w:bottom w:val="nil"/>
            </w:tcBorders>
          </w:tcPr>
          <w:p w14:paraId="61A933E8" w14:textId="77777777" w:rsidR="00903228" w:rsidRPr="00903228" w:rsidRDefault="00903228" w:rsidP="00903228">
            <w:pPr>
              <w:ind w:left="360"/>
              <w:rPr>
                <w:sz w:val="22"/>
                <w:szCs w:val="22"/>
              </w:rPr>
            </w:pPr>
            <w:r w:rsidRPr="00903228">
              <w:rPr>
                <w:sz w:val="22"/>
                <w:szCs w:val="22"/>
              </w:rPr>
              <w:t>95</w:t>
            </w:r>
          </w:p>
        </w:tc>
        <w:tc>
          <w:tcPr>
            <w:tcW w:w="1885" w:type="dxa"/>
            <w:tcBorders>
              <w:bottom w:val="nil"/>
            </w:tcBorders>
          </w:tcPr>
          <w:p w14:paraId="3339257F" w14:textId="77777777" w:rsidR="00903228" w:rsidRPr="00903228" w:rsidRDefault="00903228" w:rsidP="00903228">
            <w:pPr>
              <w:ind w:left="360"/>
              <w:rPr>
                <w:sz w:val="22"/>
                <w:szCs w:val="22"/>
              </w:rPr>
            </w:pPr>
            <w:r w:rsidRPr="00903228">
              <w:rPr>
                <w:sz w:val="22"/>
                <w:szCs w:val="22"/>
              </w:rPr>
              <w:t>-26396</w:t>
            </w:r>
          </w:p>
        </w:tc>
        <w:tc>
          <w:tcPr>
            <w:tcW w:w="1938" w:type="dxa"/>
            <w:tcBorders>
              <w:bottom w:val="nil"/>
            </w:tcBorders>
          </w:tcPr>
          <w:p w14:paraId="3260474A" w14:textId="77777777" w:rsidR="00903228" w:rsidRPr="00903228" w:rsidRDefault="00903228" w:rsidP="00903228">
            <w:pPr>
              <w:ind w:left="360"/>
              <w:rPr>
                <w:sz w:val="22"/>
                <w:szCs w:val="22"/>
              </w:rPr>
            </w:pPr>
            <w:r w:rsidRPr="00903228">
              <w:rPr>
                <w:sz w:val="22"/>
                <w:szCs w:val="22"/>
              </w:rPr>
              <w:t>0.00541</w:t>
            </w:r>
          </w:p>
        </w:tc>
        <w:tc>
          <w:tcPr>
            <w:tcW w:w="1708" w:type="dxa"/>
            <w:tcBorders>
              <w:bottom w:val="nil"/>
            </w:tcBorders>
          </w:tcPr>
          <w:p w14:paraId="329BA6AB" w14:textId="77777777" w:rsidR="00903228" w:rsidRPr="00903228" w:rsidRDefault="00903228" w:rsidP="00903228">
            <w:pPr>
              <w:ind w:left="360"/>
              <w:rPr>
                <w:sz w:val="22"/>
                <w:szCs w:val="22"/>
              </w:rPr>
            </w:pPr>
            <w:r w:rsidRPr="00903228">
              <w:rPr>
                <w:sz w:val="22"/>
                <w:szCs w:val="22"/>
              </w:rPr>
              <w:t>0.6950</w:t>
            </w:r>
          </w:p>
        </w:tc>
      </w:tr>
      <w:tr w:rsidR="00903228" w:rsidRPr="00903228" w14:paraId="28F2BB10" w14:textId="77777777" w:rsidTr="00FA7ADA">
        <w:tc>
          <w:tcPr>
            <w:tcW w:w="2605" w:type="dxa"/>
            <w:tcBorders>
              <w:top w:val="nil"/>
              <w:bottom w:val="single" w:sz="8" w:space="0" w:color="auto"/>
            </w:tcBorders>
          </w:tcPr>
          <w:p w14:paraId="2C6F4ADA" w14:textId="77777777" w:rsidR="00903228" w:rsidRPr="00903228" w:rsidRDefault="00903228" w:rsidP="00903228">
            <w:pPr>
              <w:spacing w:after="160"/>
              <w:ind w:left="360"/>
              <w:rPr>
                <w:sz w:val="22"/>
                <w:szCs w:val="22"/>
              </w:rPr>
            </w:pPr>
            <w:r w:rsidRPr="00903228">
              <w:rPr>
                <w:sz w:val="22"/>
                <w:szCs w:val="22"/>
              </w:rPr>
              <w:t>GAM tensor smooth</w:t>
            </w:r>
          </w:p>
        </w:tc>
        <w:tc>
          <w:tcPr>
            <w:tcW w:w="1214" w:type="dxa"/>
            <w:tcBorders>
              <w:top w:val="nil"/>
              <w:bottom w:val="single" w:sz="8" w:space="0" w:color="auto"/>
            </w:tcBorders>
          </w:tcPr>
          <w:p w14:paraId="4497653C" w14:textId="77777777" w:rsidR="00903228" w:rsidRPr="00903228" w:rsidRDefault="00903228" w:rsidP="00903228">
            <w:pPr>
              <w:spacing w:after="160"/>
              <w:ind w:left="360"/>
              <w:rPr>
                <w:sz w:val="22"/>
                <w:szCs w:val="22"/>
              </w:rPr>
            </w:pPr>
            <w:r w:rsidRPr="00903228">
              <w:rPr>
                <w:sz w:val="22"/>
                <w:szCs w:val="22"/>
              </w:rPr>
              <w:t>312</w:t>
            </w:r>
          </w:p>
        </w:tc>
        <w:tc>
          <w:tcPr>
            <w:tcW w:w="1885" w:type="dxa"/>
            <w:tcBorders>
              <w:top w:val="nil"/>
              <w:bottom w:val="single" w:sz="8" w:space="0" w:color="auto"/>
            </w:tcBorders>
          </w:tcPr>
          <w:p w14:paraId="7F13990B" w14:textId="77777777" w:rsidR="00903228" w:rsidRPr="00903228" w:rsidRDefault="00903228" w:rsidP="00903228">
            <w:pPr>
              <w:spacing w:after="160"/>
              <w:ind w:left="360"/>
              <w:rPr>
                <w:sz w:val="22"/>
                <w:szCs w:val="22"/>
              </w:rPr>
            </w:pPr>
            <w:r w:rsidRPr="00903228">
              <w:rPr>
                <w:sz w:val="22"/>
                <w:szCs w:val="22"/>
              </w:rPr>
              <w:t>-28195</w:t>
            </w:r>
          </w:p>
        </w:tc>
        <w:tc>
          <w:tcPr>
            <w:tcW w:w="1938" w:type="dxa"/>
            <w:tcBorders>
              <w:top w:val="nil"/>
              <w:bottom w:val="single" w:sz="8" w:space="0" w:color="auto"/>
            </w:tcBorders>
          </w:tcPr>
          <w:p w14:paraId="2DE32A91" w14:textId="77777777" w:rsidR="00903228" w:rsidRPr="00903228" w:rsidRDefault="00903228" w:rsidP="00903228">
            <w:pPr>
              <w:spacing w:after="160"/>
              <w:ind w:left="360"/>
              <w:rPr>
                <w:sz w:val="22"/>
                <w:szCs w:val="22"/>
              </w:rPr>
            </w:pPr>
            <w:r w:rsidRPr="00903228">
              <w:rPr>
                <w:sz w:val="22"/>
                <w:szCs w:val="22"/>
              </w:rPr>
              <w:t>0.00524</w:t>
            </w:r>
          </w:p>
        </w:tc>
        <w:tc>
          <w:tcPr>
            <w:tcW w:w="1708" w:type="dxa"/>
            <w:tcBorders>
              <w:top w:val="nil"/>
              <w:bottom w:val="single" w:sz="8" w:space="0" w:color="auto"/>
            </w:tcBorders>
          </w:tcPr>
          <w:p w14:paraId="7EE4C1FB" w14:textId="77777777" w:rsidR="00903228" w:rsidRPr="00903228" w:rsidRDefault="00903228" w:rsidP="00903228">
            <w:pPr>
              <w:spacing w:after="160"/>
              <w:ind w:left="360"/>
              <w:rPr>
                <w:sz w:val="22"/>
                <w:szCs w:val="22"/>
              </w:rPr>
            </w:pPr>
            <w:r w:rsidRPr="00903228">
              <w:rPr>
                <w:sz w:val="22"/>
                <w:szCs w:val="22"/>
              </w:rPr>
              <w:t>0.7780</w:t>
            </w:r>
          </w:p>
        </w:tc>
      </w:tr>
    </w:tbl>
    <w:p w14:paraId="792E34FE" w14:textId="7024B7C8" w:rsidR="00903228" w:rsidRDefault="00903228" w:rsidP="00903228">
      <w:pPr>
        <w:rPr>
          <w:sz w:val="22"/>
          <w:szCs w:val="22"/>
        </w:rPr>
      </w:pPr>
    </w:p>
    <w:p w14:paraId="0B073691" w14:textId="30D1803E" w:rsidR="00903228" w:rsidRDefault="00903228" w:rsidP="00903228">
      <w:pPr>
        <w:rPr>
          <w:sz w:val="22"/>
          <w:szCs w:val="22"/>
        </w:rPr>
      </w:pPr>
      <w:r>
        <w:rPr>
          <w:sz w:val="22"/>
          <w:szCs w:val="22"/>
        </w:rPr>
        <w:t xml:space="preserve">      Taken together, these model results suggested that the GAM better explains both the linear and non-linear relationships among predictors and the fluxes in this data. The model couldn’t explain roughly 20% of the variability in the data that can be attributed to other factors including additional drivers. These results can be improved by training the model with more data and including additional relevant predictors</w:t>
      </w:r>
      <w:r w:rsidR="00356859">
        <w:rPr>
          <w:sz w:val="22"/>
          <w:szCs w:val="22"/>
        </w:rPr>
        <w:t xml:space="preserve"> in the model architecture.</w:t>
      </w:r>
    </w:p>
    <w:p w14:paraId="5981198D" w14:textId="77777777" w:rsidR="00903228" w:rsidRDefault="00903228" w:rsidP="00903228">
      <w:pPr>
        <w:rPr>
          <w:sz w:val="22"/>
          <w:szCs w:val="22"/>
        </w:rPr>
      </w:pPr>
    </w:p>
    <w:p w14:paraId="42FBB3A0" w14:textId="77777777" w:rsidR="00903228" w:rsidRPr="009C793F" w:rsidRDefault="00903228" w:rsidP="00903228">
      <w:pPr>
        <w:rPr>
          <w:sz w:val="22"/>
          <w:szCs w:val="22"/>
        </w:rPr>
      </w:pPr>
    </w:p>
    <w:sectPr w:rsidR="00903228" w:rsidRPr="009C7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11865"/>
    <w:multiLevelType w:val="hybridMultilevel"/>
    <w:tmpl w:val="36CC8A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82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C0"/>
    <w:rsid w:val="00006DA7"/>
    <w:rsid w:val="00095DC0"/>
    <w:rsid w:val="0011148C"/>
    <w:rsid w:val="00356859"/>
    <w:rsid w:val="003820E2"/>
    <w:rsid w:val="004E72F6"/>
    <w:rsid w:val="00903228"/>
    <w:rsid w:val="00957128"/>
    <w:rsid w:val="009C793F"/>
    <w:rsid w:val="00CE61E0"/>
    <w:rsid w:val="00D946D5"/>
    <w:rsid w:val="00FA3F11"/>
    <w:rsid w:val="00FD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2470"/>
  <w15:chartTrackingRefBased/>
  <w15:docId w15:val="{FDE85731-A648-4605-A007-512A27E6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DC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DC0"/>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095D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95DC0"/>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095D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5DC0"/>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095D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DC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DC0"/>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095DC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95DC0"/>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095DC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95DC0"/>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095DC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95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DC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DC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95DC0"/>
    <w:pPr>
      <w:spacing w:before="160"/>
      <w:jc w:val="center"/>
    </w:pPr>
    <w:rPr>
      <w:i/>
      <w:iCs w:val="0"/>
      <w:color w:val="404040" w:themeColor="text1" w:themeTint="BF"/>
    </w:rPr>
  </w:style>
  <w:style w:type="character" w:customStyle="1" w:styleId="QuoteChar">
    <w:name w:val="Quote Char"/>
    <w:basedOn w:val="DefaultParagraphFont"/>
    <w:link w:val="Quote"/>
    <w:uiPriority w:val="29"/>
    <w:rsid w:val="00095DC0"/>
    <w:rPr>
      <w:i/>
      <w:iCs w:val="0"/>
      <w:color w:val="404040" w:themeColor="text1" w:themeTint="BF"/>
    </w:rPr>
  </w:style>
  <w:style w:type="paragraph" w:styleId="ListParagraph">
    <w:name w:val="List Paragraph"/>
    <w:basedOn w:val="Normal"/>
    <w:uiPriority w:val="34"/>
    <w:qFormat/>
    <w:rsid w:val="00095DC0"/>
    <w:pPr>
      <w:ind w:left="720"/>
      <w:contextualSpacing/>
    </w:pPr>
  </w:style>
  <w:style w:type="character" w:styleId="IntenseEmphasis">
    <w:name w:val="Intense Emphasis"/>
    <w:basedOn w:val="DefaultParagraphFont"/>
    <w:uiPriority w:val="21"/>
    <w:qFormat/>
    <w:rsid w:val="00095DC0"/>
    <w:rPr>
      <w:i/>
      <w:iCs w:val="0"/>
      <w:color w:val="0F4761" w:themeColor="accent1" w:themeShade="BF"/>
    </w:rPr>
  </w:style>
  <w:style w:type="paragraph" w:styleId="IntenseQuote">
    <w:name w:val="Intense Quote"/>
    <w:basedOn w:val="Normal"/>
    <w:next w:val="Normal"/>
    <w:link w:val="IntenseQuoteChar"/>
    <w:uiPriority w:val="30"/>
    <w:qFormat/>
    <w:rsid w:val="00095DC0"/>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095DC0"/>
    <w:rPr>
      <w:i/>
      <w:iCs w:val="0"/>
      <w:color w:val="0F4761" w:themeColor="accent1" w:themeShade="BF"/>
    </w:rPr>
  </w:style>
  <w:style w:type="character" w:styleId="IntenseReference">
    <w:name w:val="Intense Reference"/>
    <w:basedOn w:val="DefaultParagraphFont"/>
    <w:uiPriority w:val="32"/>
    <w:qFormat/>
    <w:rsid w:val="00095DC0"/>
    <w:rPr>
      <w:b/>
      <w:bCs w:val="0"/>
      <w:smallCaps/>
      <w:color w:val="0F4761" w:themeColor="accent1" w:themeShade="BF"/>
      <w:spacing w:val="5"/>
    </w:rPr>
  </w:style>
  <w:style w:type="table" w:styleId="TableGrid">
    <w:name w:val="Table Grid"/>
    <w:basedOn w:val="TableNormal"/>
    <w:uiPriority w:val="39"/>
    <w:rsid w:val="00903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Kandel</dc:creator>
  <cp:keywords/>
  <dc:description/>
  <cp:lastModifiedBy>Bibek Kandel</cp:lastModifiedBy>
  <cp:revision>4</cp:revision>
  <dcterms:created xsi:type="dcterms:W3CDTF">2024-04-23T21:19:00Z</dcterms:created>
  <dcterms:modified xsi:type="dcterms:W3CDTF">2024-04-23T23:08:00Z</dcterms:modified>
</cp:coreProperties>
</file>