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3F854" w14:textId="21B31A90" w:rsidR="00591F53" w:rsidRDefault="000C2F1F" w:rsidP="002023FE">
      <w:pPr>
        <w:spacing w:line="360" w:lineRule="auto"/>
        <w:rPr>
          <w:rFonts w:ascii="Cambria" w:hAnsi="Cambria"/>
          <w:sz w:val="24"/>
          <w:szCs w:val="24"/>
        </w:rPr>
      </w:pPr>
      <w:r>
        <w:rPr>
          <w:rFonts w:ascii="Cambria" w:hAnsi="Cambria"/>
          <w:sz w:val="24"/>
          <w:szCs w:val="24"/>
        </w:rPr>
        <w:t xml:space="preserve">Quantitative Methods in Ecology and Evolution </w:t>
      </w:r>
    </w:p>
    <w:p w14:paraId="250B3443" w14:textId="5EEAFD44" w:rsidR="000C2F1F" w:rsidRDefault="000C2F1F" w:rsidP="002023FE">
      <w:pPr>
        <w:spacing w:line="360" w:lineRule="auto"/>
        <w:rPr>
          <w:rFonts w:ascii="Cambria" w:hAnsi="Cambria"/>
          <w:sz w:val="24"/>
          <w:szCs w:val="24"/>
        </w:rPr>
      </w:pPr>
      <w:r>
        <w:rPr>
          <w:rFonts w:ascii="Cambria" w:hAnsi="Cambria"/>
          <w:sz w:val="24"/>
          <w:szCs w:val="24"/>
        </w:rPr>
        <w:t>Final Project</w:t>
      </w:r>
      <w:r w:rsidR="00794566">
        <w:rPr>
          <w:rFonts w:ascii="Cambria" w:hAnsi="Cambria"/>
          <w:sz w:val="24"/>
          <w:szCs w:val="24"/>
        </w:rPr>
        <w:t xml:space="preserve"> Draft</w:t>
      </w:r>
    </w:p>
    <w:p w14:paraId="254E6146" w14:textId="20C24308" w:rsidR="00794566" w:rsidRDefault="00794566" w:rsidP="002023FE">
      <w:pPr>
        <w:spacing w:line="360" w:lineRule="auto"/>
        <w:rPr>
          <w:rFonts w:ascii="Cambria" w:hAnsi="Cambria"/>
          <w:sz w:val="24"/>
          <w:szCs w:val="24"/>
        </w:rPr>
      </w:pPr>
      <w:r>
        <w:rPr>
          <w:rFonts w:ascii="Cambria" w:hAnsi="Cambria"/>
          <w:sz w:val="24"/>
          <w:szCs w:val="24"/>
        </w:rPr>
        <w:t>Rough, rough draft</w:t>
      </w:r>
    </w:p>
    <w:p w14:paraId="1443892D" w14:textId="18287E61" w:rsidR="000C2F1F" w:rsidRDefault="000C2F1F" w:rsidP="002023FE">
      <w:pPr>
        <w:pBdr>
          <w:bottom w:val="single" w:sz="4" w:space="1" w:color="auto"/>
        </w:pBdr>
        <w:spacing w:line="360" w:lineRule="auto"/>
        <w:rPr>
          <w:rFonts w:ascii="Cambria" w:hAnsi="Cambria"/>
          <w:sz w:val="24"/>
          <w:szCs w:val="24"/>
        </w:rPr>
      </w:pPr>
      <w:r>
        <w:rPr>
          <w:rFonts w:ascii="Cambria" w:hAnsi="Cambria"/>
          <w:sz w:val="24"/>
          <w:szCs w:val="24"/>
        </w:rPr>
        <w:t>Ben Stalheim</w:t>
      </w:r>
    </w:p>
    <w:p w14:paraId="5375688F" w14:textId="6F15F65E" w:rsidR="000C2F1F" w:rsidRDefault="000C2F1F" w:rsidP="002023FE">
      <w:pPr>
        <w:spacing w:line="360" w:lineRule="auto"/>
        <w:rPr>
          <w:rFonts w:ascii="Cambria" w:hAnsi="Cambria"/>
          <w:b/>
          <w:bCs/>
          <w:sz w:val="24"/>
          <w:szCs w:val="24"/>
        </w:rPr>
      </w:pPr>
      <w:r>
        <w:rPr>
          <w:rFonts w:ascii="Cambria" w:hAnsi="Cambria"/>
          <w:b/>
          <w:bCs/>
          <w:sz w:val="24"/>
          <w:szCs w:val="24"/>
        </w:rPr>
        <w:t>Abstract</w:t>
      </w:r>
    </w:p>
    <w:p w14:paraId="6F489283" w14:textId="77777777" w:rsidR="000C2F1F" w:rsidRDefault="000C2F1F" w:rsidP="002023FE">
      <w:pPr>
        <w:spacing w:line="360" w:lineRule="auto"/>
        <w:rPr>
          <w:rFonts w:ascii="Cambria" w:hAnsi="Cambria"/>
          <w:sz w:val="24"/>
          <w:szCs w:val="24"/>
        </w:rPr>
      </w:pPr>
    </w:p>
    <w:p w14:paraId="2E99891D" w14:textId="0CED2037" w:rsidR="000C2F1F" w:rsidRDefault="000C2F1F" w:rsidP="002023FE">
      <w:pPr>
        <w:spacing w:line="360" w:lineRule="auto"/>
        <w:rPr>
          <w:rFonts w:ascii="Cambria" w:hAnsi="Cambria"/>
          <w:b/>
          <w:bCs/>
          <w:sz w:val="24"/>
          <w:szCs w:val="24"/>
        </w:rPr>
      </w:pPr>
      <w:r>
        <w:rPr>
          <w:rFonts w:ascii="Cambria" w:hAnsi="Cambria"/>
          <w:b/>
          <w:bCs/>
          <w:sz w:val="24"/>
          <w:szCs w:val="24"/>
        </w:rPr>
        <w:t>Introduction</w:t>
      </w:r>
    </w:p>
    <w:p w14:paraId="12720DAD" w14:textId="77777777" w:rsidR="00667110" w:rsidRDefault="00667110" w:rsidP="002023FE">
      <w:pPr>
        <w:spacing w:line="360" w:lineRule="auto"/>
        <w:rPr>
          <w:rFonts w:ascii="Cambria" w:hAnsi="Cambria"/>
          <w:sz w:val="24"/>
          <w:szCs w:val="24"/>
        </w:rPr>
      </w:pPr>
      <w:r w:rsidRPr="00720C63">
        <w:rPr>
          <w:rFonts w:ascii="Cambria" w:hAnsi="Cambria"/>
          <w:sz w:val="24"/>
          <w:szCs w:val="24"/>
        </w:rPr>
        <w:t xml:space="preserve">Birds are experiencing global declines </w:t>
      </w:r>
      <w:r>
        <w:rPr>
          <w:rFonts w:ascii="Cambria" w:hAnsi="Cambria"/>
          <w:sz w:val="24"/>
          <w:szCs w:val="24"/>
        </w:rPr>
        <w:fldChar w:fldCharType="begin"/>
      </w:r>
      <w:r>
        <w:rPr>
          <w:rFonts w:ascii="Cambria" w:hAnsi="Cambria"/>
          <w:sz w:val="24"/>
          <w:szCs w:val="24"/>
        </w:rPr>
        <w:instrText xml:space="preserve"> ADDIN ZOTERO_ITEM CSL_CITATION {"citationID":"rFplW9hI","properties":{"formattedCitation":"(Inger et al. 2015, Rosenberg et al. 2019, Dupont and Dobson 2025, Johnston et al. 2025)","plainCitation":"(Inger et al. 2015, Rosenberg et al. 2019, Dupont and Dobson 2025, Johnston et al. 2025)","noteIndex":0},"citationItems":[{"id":1300,"uris":["http://zotero.org/users/16351564/items/ZVJKTE3B"],"itemData":{"id":1300,"type":"article-journal","abstract":"Abstract\n            Biodiversity is undergoing unprecedented global decline. Efforts to slow this rate have focused foremost on rarer species, which are at most risk of extinction. Less interest has been paid to more common species, despite their greater importance in terms of ecosystem function and service provision. How rates of decline are partitioned between common and less abundant species remains unclear. Using a 30‐year data set of 144 bird species, we examined Europe‐wide trends in avian abundance and biomass. Overall, avian abundance and biomass are both declining with most of this decline being attributed to more common species, while less abundant species showed an overall increase in both abundance and biomass. If overall avian declines are mainly due to reductions in a small number of common species, conservation efforts targeted at rarer species must be better matched with efforts to increase overall bird numbers, if ecological impacts of birds are to be maintained.","container-title":"Ecology Letters","DOI":"10.1111/ele.12387","ISSN":"1461-023X, 1461-0248","issue":"1","journalAbbreviation":"Ecology Letters","language":"en","page":"28-36","source":"DOI.org (Crossref)","title":"Common European birds are declining rapidly while less abundant species' numbers are rising","volume":"18","author":[{"family":"Inger","given":"Richard"},{"family":"Gregory","given":"Richard"},{"family":"Duffy","given":"James P."},{"family":"Stott","given":"Iain"},{"family":"Voříšek","given":"Petr"},{"family":"Gaston","given":"Kevin J."}],"editor":[{"family":"Hill","given":"Jane"}],"issued":{"date-parts":[["2015",1]]}}},{"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id":1186,"uris":["http://zotero.org/users/16351564/items/Y5LDC3TS"],"itemData":{"id":1186,"type":"article-journal","container-title":"Science Advances","DOI":"10.1126/sciadv.adw8971","issue":"31","journalAbbreviation":"Science Advances","title":"North American bird declines are driven by reductions in common species","volume":"11","author":[{"family":"Dupont","given":"Gates"},{"family":"Dobson","given":"Andy"}],"issued":{"date-parts":[["2025",8]]}}},{"id":1262,"uris":["http://zotero.org/users/16351564/items/4D9K4RYU"],"itemData":{"id":1262,"type":"article-journal","container-title":"Science","DOI":"10.1126/science.adn4381","issue":"6746","journalAbbreviation":"Science","page":"532–537","title":"North American bird declines are greatest where species are most abundant","volume":"388","author":[{"family":"Johnston","given":"Alison"},{"family":"Rodewald","given":"Amanda D."},{"family":"Strimas-Mackey","given":"Matt"},{"family":"Auer","given":"Tom"},{"family":"Hochachka","given":"Wesley M."},{"family":"Stillman","given":"Andrew N."},{"family":"Davis","given":"Courtney L."},{"family":"Ruiz-Gutierrez","given":"Viviana"},{"family":"Dokter","given":"Adriaan M."},{"family":"Miller","given":"Eliot T."},{"family":"Robinson","given":"Orin"},{"family":"Ligocki","given":"Shawn"},{"family":"Jaromczyk","given":"Lauren Oldham"},{"family":"Crowley","given":"Cynthia"},{"family":"Wood","given":"Christopher L."},{"family":"Fink","given":"Daniel"}],"issued":{"date-parts":[["2025",5]]}}}],"schema":"https://github.com/citation-style-language/schema/raw/master/csl-citation.json"} </w:instrText>
      </w:r>
      <w:r>
        <w:rPr>
          <w:rFonts w:ascii="Cambria" w:hAnsi="Cambria"/>
          <w:sz w:val="24"/>
          <w:szCs w:val="24"/>
        </w:rPr>
        <w:fldChar w:fldCharType="separate"/>
      </w:r>
      <w:r w:rsidRPr="00530EA3">
        <w:rPr>
          <w:rFonts w:ascii="Cambria" w:hAnsi="Cambria"/>
          <w:sz w:val="24"/>
        </w:rPr>
        <w:t>(Inger et al. 2015, Rosenberg et al. 2019, Dupont and Dobson 2025, Johnston et al. 2025)</w:t>
      </w:r>
      <w:r>
        <w:rPr>
          <w:rFonts w:ascii="Cambria" w:hAnsi="Cambria"/>
          <w:sz w:val="24"/>
          <w:szCs w:val="24"/>
        </w:rPr>
        <w:fldChar w:fldCharType="end"/>
      </w:r>
      <w:r>
        <w:rPr>
          <w:rFonts w:ascii="Cambria" w:hAnsi="Cambria"/>
          <w:sz w:val="24"/>
          <w:szCs w:val="24"/>
        </w:rPr>
        <w:t>, with</w:t>
      </w:r>
      <w:r w:rsidRPr="00B667A4">
        <w:rPr>
          <w:rFonts w:ascii="Cambria" w:hAnsi="Cambria"/>
          <w:sz w:val="24"/>
          <w:szCs w:val="24"/>
        </w:rPr>
        <w:t xml:space="preserve"> a net loss of nearly 3 billion individuals in North America since 1970 </w:t>
      </w:r>
      <w:r>
        <w:rPr>
          <w:rFonts w:ascii="Cambria" w:hAnsi="Cambria"/>
          <w:sz w:val="24"/>
          <w:szCs w:val="24"/>
        </w:rPr>
        <w:fldChar w:fldCharType="begin"/>
      </w:r>
      <w:r>
        <w:rPr>
          <w:rFonts w:ascii="Cambria" w:hAnsi="Cambria"/>
          <w:sz w:val="24"/>
          <w:szCs w:val="24"/>
        </w:rPr>
        <w:instrText xml:space="preserve"> ADDIN ZOTERO_ITEM CSL_CITATION {"citationID":"ZuvmEZzx","properties":{"formattedCitation":"(Rosenberg et al. 2019)","plainCitation":"(Rosenberg et al. 2019)","noteIndex":0},"citationItems":[{"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C"},{"family":"Panjabi","given":"Arvind"},{"family":"Helft","given":"Laura"},{"family":"Parr","given":"Michael"}],"issued":{"date-parts":[["2019"]]}}}],"schema":"https://github.com/citation-style-language/schema/raw/master/csl-citation.json"} </w:instrText>
      </w:r>
      <w:r>
        <w:rPr>
          <w:rFonts w:ascii="Cambria" w:hAnsi="Cambria"/>
          <w:sz w:val="24"/>
          <w:szCs w:val="24"/>
        </w:rPr>
        <w:fldChar w:fldCharType="separate"/>
      </w:r>
      <w:r w:rsidRPr="00530EA3">
        <w:rPr>
          <w:rFonts w:ascii="Cambria" w:hAnsi="Cambria"/>
          <w:sz w:val="24"/>
        </w:rPr>
        <w:t>(Rosenberg et al. 2019)</w:t>
      </w:r>
      <w:r>
        <w:rPr>
          <w:rFonts w:ascii="Cambria" w:hAnsi="Cambria"/>
          <w:sz w:val="24"/>
          <w:szCs w:val="24"/>
        </w:rPr>
        <w:fldChar w:fldCharType="end"/>
      </w:r>
      <w:r>
        <w:rPr>
          <w:rFonts w:ascii="Cambria" w:hAnsi="Cambria"/>
          <w:sz w:val="24"/>
          <w:szCs w:val="24"/>
        </w:rPr>
        <w:t xml:space="preserve">. </w:t>
      </w:r>
      <w:r w:rsidRPr="00B667A4">
        <w:rPr>
          <w:rFonts w:ascii="Cambria" w:hAnsi="Cambria"/>
          <w:sz w:val="24"/>
          <w:szCs w:val="24"/>
        </w:rPr>
        <w:t xml:space="preserve">These losses </w:t>
      </w:r>
      <w:r>
        <w:rPr>
          <w:rFonts w:ascii="Cambria" w:hAnsi="Cambria"/>
          <w:sz w:val="24"/>
          <w:szCs w:val="24"/>
        </w:rPr>
        <w:t xml:space="preserve">largely </w:t>
      </w:r>
      <w:r w:rsidRPr="00B667A4">
        <w:rPr>
          <w:rFonts w:ascii="Cambria" w:hAnsi="Cambria"/>
          <w:sz w:val="24"/>
          <w:szCs w:val="24"/>
        </w:rPr>
        <w:t>stem from a combination of habitat degradation</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{"citationID":"Xw4rqei5","properties":{"formattedCitation":"(Wilcove et al. 1998, Jetz et al. 2007, Loss et al. 2015)","plainCitation":"(Wilcove et al. 1998, Jetz et al. 2007, Loss et al. 2015)","noteIndex":0},"citationItems":[{"id":1301,"uris":["http://zotero.org/users/16351564/items/YLRQ26XD"],"itemData":{"id":1301,"type":"article-journal","container-title":"BioScience","DOI":"10.2307/1313420","ISSN":"00063568, 15253244","issue":"8","journalAbbreviation":"BioScience","page":"607-615","source":"DOI.org (Crossref)","title":"Quantifying Threats to Imperiled Species in the United States","volume":"48","author":[{"family":"Wilcove","given":"David S."},{"family":"Rothstein","given":"David"},{"family":"Dubow","given":"Jason"},{"family":"Phillips","given":"Ali"},{"family":"Losos","given":"Elizabeth"}],"issued":{"date-parts":[["1998",8]]}}},{"id":1182,"uris":["http://zotero.org/users/16351564/items/S7Z9ZWZ8"],"itemData":{"id":1182,"type":"article-journal","container-title":"PLoS Biology","DOI":"10.1371/journal.pbio.0050157","issue":"6","journalAbbreviation":"PLoS Biology","page":"e157-e157","title":"Projected Impacts of Climate and Land-Use Change on the Global Diversity of Birds","volume":"5","author":[{"family":"Jetz","given":"Walter"},{"family":"Wilcove","given":"David S."},{"family":"Dobson","given":"Andrew P."}],"issued":{"date-parts":[["2007",6]]}}},{"id":1304,"uris":["http://zotero.org/users/16351564/items/H8QPS2IX"],"itemData":{"id":1304,"type":"article-journal","abstract":"Understanding and reversing the widespread population declines of birds require estimating the magnitude of all mortality sources. Numerous anthropogenic mortality sources directly kill birds. Cause-specific annual mortality in the United States varies from billions (cat predation) to hundreds of millions (building and automobile collisions), tens of millions (power line collisions), millions (power line electrocutions, communication tower collisions), and hundreds of thousands (wind turbine collisions). However, great uncertainty exists about the independent and cumulative impacts of this mortality on avian populations. To facilitate this understanding, additional research is needed to estimate mortality for individual bird species and affected populations, to sample mortality throughout the annual cycle to inform full life-cycle population models, and to develop models that clarify the degree to which multiple mortality sources are additive or compensatory. We review sources of direct anthropogenic mortality in relation to the fundamental ecological objective of disentangling how mortality sources affect animal populations.","container-title":"Annual Review of Ecology, Evolution, and Systematics","DOI":"10.1146/annurev-ecolsys-112414-054133","ISSN":"1543-592X, 1545-2069","issue":"1","journalAbbreviation":"Annu. Rev. Ecol. Evol. Syst.","language":"en","page":"99-120","source":"DOI.org (Crossref)","title":"Direct Mortality of Birds from Anthropogenic Causes","volume":"46","author":[{"family":"Loss","given":"Scott R."},{"family":"Will","given":"Tom"},{"family":"Marra","given":"Peter P."}],"issued":{"date-parts":[["2015",12,4]]}}}],"schema":"https://github.com/citation-style-language/schema/raw/master/csl-citation.json"} </w:instrText>
      </w:r>
      <w:r>
        <w:rPr>
          <w:rFonts w:ascii="Cambria" w:hAnsi="Cambria"/>
          <w:sz w:val="24"/>
          <w:szCs w:val="24"/>
        </w:rPr>
        <w:fldChar w:fldCharType="separate"/>
      </w:r>
      <w:r w:rsidRPr="00C15E33">
        <w:rPr>
          <w:rFonts w:ascii="Cambria" w:hAnsi="Cambria"/>
          <w:sz w:val="24"/>
        </w:rPr>
        <w:t>(Wilcove et al. 1998, Jetz et al. 2007, Loss et al. 2015)</w:t>
      </w:r>
      <w:r>
        <w:rPr>
          <w:rFonts w:ascii="Cambria" w:hAnsi="Cambria"/>
          <w:sz w:val="24"/>
          <w:szCs w:val="24"/>
        </w:rPr>
        <w:fldChar w:fldCharType="end"/>
      </w:r>
      <w:r>
        <w:rPr>
          <w:rFonts w:ascii="Cambria" w:hAnsi="Cambria"/>
          <w:sz w:val="24"/>
          <w:szCs w:val="24"/>
        </w:rPr>
        <w:t xml:space="preserve">, </w:t>
      </w:r>
      <w:r w:rsidRPr="00720C63">
        <w:rPr>
          <w:rFonts w:ascii="Cambria" w:hAnsi="Cambria"/>
          <w:sz w:val="24"/>
          <w:szCs w:val="24"/>
        </w:rPr>
        <w:t>climate change</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{"citationID":"hPXei3oJ","properties":{"formattedCitation":"(\\uc0\\u350{}ekercio\\uc0\\u287{}lu et al. 2012, Pearce\\uc0\\u8208{}Higgins et al. 2015)","plainCitation":"(Şekercioğlu et al. 2012, Pearce‐Higgins et al. 2015)","noteIndex":0},"citationItems":[{"id":1352,"uris":["http://zotero.org/users/16351564/items/MMUGIDDQ"],"itemData":{"id":1352,"type":"article-journal","container-title":"Biological conservation","ISSN":"0006-3207","issue":"1","journalAbbreviation":"Biological conservation","page":"1-18","publisher":"Elsevier","title":"The effects of climate change on tropical birds","volume":"148","author":[{"family":"Şekercioğlu","given":"Çağan H"},{"family":"Primack","given":"Richard B"},{"family":"Wormworth","given":"Janice"}],"issued":{"date-parts":[["2012"]]}}},{"id":1351,"uris":["http://zotero.org/users/16351564/items/Z4HQMUWJ"],"itemData":{"id":1351,"type":"article-journal","container-title":"Journal of Animal Ecology","ISSN":"0021-8790","issue":"4","journalAbbreviation":"Journal of Animal Ecology","page":"943-954","publisher":"Wiley Online Library","title":"Drivers of climate change impacts on bird communities","volume":"84","author":[{"family":"Pearce‐Higgins","given":"James W"},{"family":"Eglington","given":"Sarah M"},{"family":"Martay","given":"Blaise"},{"family":"Chamberlain","given":"Dan E"}],"issued":{"date-parts":[["2015"]]}}}],"schema":"https://github.com/citation-style-language/schema/raw/master/csl-citation.json"} </w:instrText>
      </w:r>
      <w:r>
        <w:rPr>
          <w:rFonts w:ascii="Cambria" w:hAnsi="Cambria"/>
          <w:sz w:val="24"/>
          <w:szCs w:val="24"/>
        </w:rPr>
        <w:fldChar w:fldCharType="separate"/>
      </w:r>
      <w:r w:rsidRPr="005D6E3E">
        <w:rPr>
          <w:rFonts w:ascii="Cambria" w:hAnsi="Cambria" w:cs="Times New Roman"/>
          <w:kern w:val="0"/>
          <w:sz w:val="24"/>
        </w:rPr>
        <w:t>(Şekercioğlu et al. 2012, Pearce‐Higgins et al. 2015)</w:t>
      </w:r>
      <w:r>
        <w:rPr>
          <w:rFonts w:ascii="Cambria" w:hAnsi="Cambria"/>
          <w:sz w:val="24"/>
          <w:szCs w:val="24"/>
        </w:rPr>
        <w:fldChar w:fldCharType="end"/>
      </w:r>
      <w:r w:rsidRPr="00720C63">
        <w:rPr>
          <w:rFonts w:ascii="Cambria" w:hAnsi="Cambria"/>
          <w:sz w:val="24"/>
          <w:szCs w:val="24"/>
        </w:rPr>
        <w:t xml:space="preserve">, </w:t>
      </w:r>
      <w:r>
        <w:rPr>
          <w:rFonts w:ascii="Cambria" w:hAnsi="Cambria"/>
          <w:sz w:val="24"/>
          <w:szCs w:val="24"/>
        </w:rPr>
        <w:t xml:space="preserve">and </w:t>
      </w:r>
      <w:r w:rsidRPr="00720C63">
        <w:rPr>
          <w:rFonts w:ascii="Cambria" w:hAnsi="Cambria"/>
          <w:sz w:val="24"/>
          <w:szCs w:val="24"/>
        </w:rPr>
        <w:t>human-induced mortality (window collisions, cat predation, roadkill, turbines, etc</w:t>
      </w:r>
      <w:r>
        <w:rPr>
          <w:rFonts w:ascii="Cambria" w:hAnsi="Cambria"/>
          <w:sz w:val="24"/>
          <w:szCs w:val="24"/>
        </w:rPr>
        <w:t>.</w:t>
      </w:r>
      <w:r w:rsidRPr="00720C63">
        <w:rPr>
          <w:rFonts w:ascii="Cambria" w:hAnsi="Cambria"/>
          <w:sz w:val="24"/>
          <w:szCs w:val="24"/>
        </w:rPr>
        <w:t xml:space="preserve">). </w:t>
      </w:r>
      <w:r>
        <w:rPr>
          <w:rFonts w:ascii="Cambria" w:hAnsi="Cambria"/>
          <w:sz w:val="24"/>
          <w:szCs w:val="24"/>
        </w:rPr>
        <w:t xml:space="preserve">In eastern North America, </w:t>
      </w:r>
      <w:r w:rsidRPr="00B667A4">
        <w:rPr>
          <w:rFonts w:ascii="Cambria" w:hAnsi="Cambria"/>
          <w:sz w:val="24"/>
          <w:szCs w:val="24"/>
        </w:rPr>
        <w:t>the decline of disturbance</w:t>
      </w:r>
      <w:r w:rsidRPr="00B667A4">
        <w:rPr>
          <w:rFonts w:ascii="Cambria" w:hAnsi="Cambria"/>
          <w:sz w:val="24"/>
          <w:szCs w:val="24"/>
        </w:rPr>
        <w:noBreakHyphen/>
        <w:t>mediated systems</w:t>
      </w:r>
      <w:r>
        <w:rPr>
          <w:rFonts w:ascii="Cambria" w:hAnsi="Cambria"/>
          <w:sz w:val="24"/>
          <w:szCs w:val="24"/>
        </w:rPr>
        <w:t xml:space="preserve">, such as grasslands, shrublands, and savannas, </w:t>
      </w:r>
      <w:r w:rsidRPr="00B667A4">
        <w:rPr>
          <w:rFonts w:ascii="Cambria" w:hAnsi="Cambria"/>
          <w:sz w:val="24"/>
          <w:szCs w:val="24"/>
        </w:rPr>
        <w:t xml:space="preserve">has </w:t>
      </w:r>
      <w:r>
        <w:rPr>
          <w:rFonts w:ascii="Cambria" w:hAnsi="Cambria"/>
          <w:sz w:val="24"/>
          <w:szCs w:val="24"/>
        </w:rPr>
        <w:t>had a significant negative impact on</w:t>
      </w:r>
      <w:r w:rsidRPr="00B667A4">
        <w:rPr>
          <w:rFonts w:ascii="Cambria" w:hAnsi="Cambria"/>
          <w:sz w:val="24"/>
          <w:szCs w:val="24"/>
        </w:rPr>
        <w:t xml:space="preserve"> species adapted to these </w:t>
      </w:r>
      <w:r>
        <w:rPr>
          <w:rFonts w:ascii="Cambria" w:hAnsi="Cambria"/>
          <w:sz w:val="24"/>
          <w:szCs w:val="24"/>
        </w:rPr>
        <w:t xml:space="preserve">more </w:t>
      </w:r>
      <w:r w:rsidRPr="00B667A4">
        <w:rPr>
          <w:rFonts w:ascii="Cambria" w:hAnsi="Cambria"/>
          <w:sz w:val="24"/>
          <w:szCs w:val="24"/>
        </w:rPr>
        <w:t xml:space="preserve">open </w:t>
      </w:r>
      <w:r>
        <w:rPr>
          <w:rFonts w:ascii="Cambria" w:hAnsi="Cambria"/>
          <w:sz w:val="24"/>
          <w:szCs w:val="24"/>
        </w:rPr>
        <w:t xml:space="preserve">environments </w:t>
      </w:r>
      <w:r>
        <w:rPr>
          <w:rFonts w:ascii="Cambria" w:hAnsi="Cambria"/>
          <w:sz w:val="24"/>
          <w:szCs w:val="24"/>
        </w:rPr>
        <w:fldChar w:fldCharType="begin"/>
      </w:r>
      <w:r>
        <w:rPr>
          <w:rFonts w:ascii="Cambria" w:hAnsi="Cambria"/>
          <w:sz w:val="24"/>
          <w:szCs w:val="24"/>
        </w:rPr>
        <w:instrText xml:space="preserve"> ADDIN ZOTERO_ITEM CSL_CITATION {"citationID":"t3hmaxl1","properties":{"formattedCitation":"(Askins 1993)","plainCitation":"(Askins 1993)","noteIndex":0},"citationItems":[{"id":1353,"uris":["http://zotero.org/users/16351564/items/W3WH6FV6"],"itemData":{"id":1353,"type":"chapter","container-title":"Current Ornithology: Volume 11","page":"1-34","publisher":"Springer","title":"Population trends in grassland, shrubland, and forest birds in eastern North America","author":[{"family":"Askins","given":"Robert A"}],"issued":{"date-parts":[["1993"]]}}}],"schema":"https://github.com/citation-style-language/schema/raw/master/csl-citation.json"} </w:instrText>
      </w:r>
      <w:r>
        <w:rPr>
          <w:rFonts w:ascii="Cambria" w:hAnsi="Cambria"/>
          <w:sz w:val="24"/>
          <w:szCs w:val="24"/>
        </w:rPr>
        <w:fldChar w:fldCharType="separate"/>
      </w:r>
      <w:r w:rsidRPr="00333F4C">
        <w:rPr>
          <w:rFonts w:ascii="Cambria" w:hAnsi="Cambria"/>
          <w:sz w:val="24"/>
        </w:rPr>
        <w:t>(Askins 1993)</w:t>
      </w:r>
      <w:r>
        <w:rPr>
          <w:rFonts w:ascii="Cambria" w:hAnsi="Cambria"/>
          <w:sz w:val="24"/>
          <w:szCs w:val="24"/>
        </w:rPr>
        <w:fldChar w:fldCharType="end"/>
      </w:r>
      <w:r>
        <w:rPr>
          <w:rFonts w:ascii="Cambria" w:hAnsi="Cambria"/>
          <w:sz w:val="24"/>
          <w:szCs w:val="24"/>
        </w:rPr>
        <w:t xml:space="preserve">. In these areas, particularly in the southeastern United States, fire historically was the predominant force creating and maintaining open conditions that birds rely on </w:t>
      </w:r>
      <w:r>
        <w:rPr>
          <w:rFonts w:ascii="Cambria" w:hAnsi="Cambria"/>
          <w:sz w:val="24"/>
          <w:szCs w:val="24"/>
        </w:rPr>
        <w:fldChar w:fldCharType="begin"/>
      </w:r>
      <w:r>
        <w:rPr>
          <w:rFonts w:ascii="Cambria" w:hAnsi="Cambria"/>
          <w:sz w:val="24"/>
          <w:szCs w:val="24"/>
        </w:rPr>
        <w:instrText xml:space="preserve"> ADDIN ZOTERO_ITEM CSL_CITATION {"citationID":"7VLKIOsA","properties":{"formattedCitation":"(Frost 1998, Engstrom et al. 2005)","plainCitation":"(Frost 1998, Engstrom et al. 2005)","noteIndex":0},"citationItems":[{"id":1448,"uris":["http://zotero.org/users/16351564/items/LY6GF3JN"],"itemData":{"id":1448,"type":"paper-conference","event-title":"Fire in ecosystem management: shifting the paradigm from suppression to prescription. Tall Timbers Fire Ecology Conference Proceedings","page":"70-81","title":"Presettlement fire frequency regimes of the United States: a first approximation","volume":"20","author":[{"family":"Frost","given":"Cecil C"}],"issued":{"date-parts":[["1998"]]}}},{"id":1449,"uris":["http://zotero.org/users/16351564/items/EY3CNPIG"],"itemData":{"id":1449,"type":"article-journal","container-title":"Studies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Gregory"}],"issued":{"date-parts":[["2005"]]}}}],"schema":"https://github.com/citation-style-language/schema/raw/master/csl-citation.json"} </w:instrText>
      </w:r>
      <w:r>
        <w:rPr>
          <w:rFonts w:ascii="Cambria" w:hAnsi="Cambria"/>
          <w:sz w:val="24"/>
          <w:szCs w:val="24"/>
        </w:rPr>
        <w:fldChar w:fldCharType="separate"/>
      </w:r>
      <w:r w:rsidRPr="006D1C98">
        <w:rPr>
          <w:rFonts w:ascii="Cambria" w:hAnsi="Cambria"/>
          <w:sz w:val="24"/>
        </w:rPr>
        <w:t>(Frost 1998, Engstrom et al. 2005)</w:t>
      </w:r>
      <w:r>
        <w:rPr>
          <w:rFonts w:ascii="Cambria" w:hAnsi="Cambria"/>
          <w:sz w:val="24"/>
          <w:szCs w:val="24"/>
        </w:rPr>
        <w:fldChar w:fldCharType="end"/>
      </w:r>
      <w:r>
        <w:rPr>
          <w:rFonts w:ascii="Cambria" w:hAnsi="Cambria"/>
          <w:sz w:val="24"/>
          <w:szCs w:val="24"/>
        </w:rPr>
        <w:t>. B</w:t>
      </w:r>
      <w:r w:rsidRPr="0082443F">
        <w:rPr>
          <w:rFonts w:ascii="Cambria" w:hAnsi="Cambria"/>
          <w:sz w:val="24"/>
          <w:szCs w:val="24"/>
        </w:rPr>
        <w:t>ut decades of fire suppression and widespread land conversion have sharply reduced the</w:t>
      </w:r>
      <w:r>
        <w:rPr>
          <w:rFonts w:ascii="Cambria" w:hAnsi="Cambria"/>
          <w:sz w:val="24"/>
          <w:szCs w:val="24"/>
        </w:rPr>
        <w:t xml:space="preserve"> extent of natural open spaces</w:t>
      </w:r>
      <w:r w:rsidRPr="0082443F">
        <w:rPr>
          <w:rFonts w:ascii="Cambria" w:hAnsi="Cambria"/>
          <w:sz w:val="24"/>
          <w:szCs w:val="24"/>
        </w:rPr>
        <w:t>, including longleaf pin</w:t>
      </w:r>
      <w:r>
        <w:rPr>
          <w:rFonts w:ascii="Cambria" w:hAnsi="Cambria"/>
          <w:sz w:val="24"/>
          <w:szCs w:val="24"/>
        </w:rPr>
        <w:t>e (</w:t>
      </w:r>
      <w:r>
        <w:rPr>
          <w:rFonts w:ascii="Cambria" w:hAnsi="Cambria"/>
          <w:i/>
          <w:iCs/>
          <w:sz w:val="24"/>
          <w:szCs w:val="24"/>
        </w:rPr>
        <w:t>Pinus palustris</w:t>
      </w:r>
      <w:r>
        <w:rPr>
          <w:rFonts w:ascii="Cambria" w:hAnsi="Cambria"/>
          <w:sz w:val="24"/>
          <w:szCs w:val="24"/>
        </w:rPr>
        <w:t>)</w:t>
      </w:r>
      <w:r w:rsidRPr="0082443F">
        <w:rPr>
          <w:rFonts w:ascii="Cambria" w:hAnsi="Cambria"/>
          <w:sz w:val="24"/>
          <w:szCs w:val="24"/>
        </w:rPr>
        <w:t xml:space="preserve"> savannas, which now occupy less than 5% of their historic range in the </w:t>
      </w:r>
      <w:r>
        <w:rPr>
          <w:rFonts w:ascii="Cambria" w:hAnsi="Cambria"/>
          <w:sz w:val="24"/>
          <w:szCs w:val="24"/>
        </w:rPr>
        <w:t>S</w:t>
      </w:r>
      <w:r w:rsidRPr="0082443F">
        <w:rPr>
          <w:rFonts w:ascii="Cambria" w:hAnsi="Cambria"/>
          <w:sz w:val="24"/>
          <w:szCs w:val="24"/>
        </w:rPr>
        <w:t>outheast</w:t>
      </w:r>
      <w:r>
        <w:rPr>
          <w:rFonts w:ascii="Cambria" w:hAnsi="Cambria"/>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{"citationID":"Gs0pzRnp","properties":{"formattedCitation":"(Oswalt and Guldin 2021)","plainCitation":"(Oswalt and Guldin 2021)","noteIndex":0},"citationItems":[{"id":1338,"uris":["http://zotero.org/users/16351564/items/UJQSF2ZE"],"itemData":{"id":1338,"type":"article-journal","container-title":"Non-refereed general technical report: early release.","journalAbbreviation":"Non-refereed general technical report: early release.","page":"1-25","title":"Status of longleaf pine in the South: an FIA update","volume":"2021","author":[{"family":"Oswalt","given":"Christopher"},{"family":"Guldin","given":"James M"}],"issued":{"date-parts":[["2021"]]}}}],"schema":"https://github.com/citation-style-language/schema/raw/master/csl-citation.json"} </w:instrText>
      </w:r>
      <w:r>
        <w:rPr>
          <w:rFonts w:ascii="Cambria" w:hAnsi="Cambria" w:cs="Times New Roman"/>
          <w:sz w:val="24"/>
          <w:szCs w:val="24"/>
        </w:rPr>
        <w:fldChar w:fldCharType="separate"/>
      </w:r>
      <w:r w:rsidRPr="00567930">
        <w:rPr>
          <w:rFonts w:ascii="Cambria" w:hAnsi="Cambria"/>
          <w:sz w:val="24"/>
        </w:rPr>
        <w:t>(Oswalt and Guldin 2021)</w:t>
      </w:r>
      <w:r>
        <w:rPr>
          <w:rFonts w:ascii="Cambria" w:hAnsi="Cambria" w:cs="Times New Roman"/>
          <w:sz w:val="24"/>
          <w:szCs w:val="24"/>
        </w:rPr>
        <w:fldChar w:fldCharType="end"/>
      </w:r>
      <w:r>
        <w:rPr>
          <w:rFonts w:ascii="Cambria" w:hAnsi="Cambria" w:cs="Times New Roman"/>
          <w:sz w:val="24"/>
          <w:szCs w:val="24"/>
        </w:rPr>
        <w:t xml:space="preserve">. </w:t>
      </w:r>
      <w:r w:rsidRPr="0082443F">
        <w:rPr>
          <w:rFonts w:ascii="Cambria" w:hAnsi="Cambria" w:cs="Times New Roman"/>
          <w:sz w:val="24"/>
          <w:szCs w:val="24"/>
        </w:rPr>
        <w:t xml:space="preserve">As these </w:t>
      </w:r>
      <w:r>
        <w:rPr>
          <w:rFonts w:ascii="Cambria" w:hAnsi="Cambria" w:cs="Times New Roman"/>
          <w:sz w:val="24"/>
          <w:szCs w:val="24"/>
        </w:rPr>
        <w:t>environments</w:t>
      </w:r>
      <w:r w:rsidRPr="0082443F">
        <w:rPr>
          <w:rFonts w:ascii="Cambria" w:hAnsi="Cambria" w:cs="Times New Roman"/>
          <w:sz w:val="24"/>
          <w:szCs w:val="24"/>
        </w:rPr>
        <w:t xml:space="preserve"> have disappeared, many species </w:t>
      </w:r>
      <w:r>
        <w:rPr>
          <w:rFonts w:ascii="Cambria" w:hAnsi="Cambria" w:cs="Times New Roman"/>
          <w:sz w:val="24"/>
          <w:szCs w:val="24"/>
        </w:rPr>
        <w:t>now occur in</w:t>
      </w:r>
      <w:r w:rsidRPr="0082443F">
        <w:rPr>
          <w:rFonts w:ascii="Cambria" w:hAnsi="Cambria" w:cs="Times New Roman"/>
          <w:sz w:val="24"/>
          <w:szCs w:val="24"/>
        </w:rPr>
        <w:t xml:space="preserve"> alternative landscapes that only partially replicate </w:t>
      </w:r>
      <w:r w:rsidRPr="00CB698C">
        <w:rPr>
          <w:rFonts w:ascii="Cambria" w:hAnsi="Cambria" w:cs="Times New Roman"/>
          <w:sz w:val="24"/>
          <w:szCs w:val="24"/>
        </w:rPr>
        <w:t xml:space="preserve">their preferred conditions </w:t>
      </w:r>
      <w:r w:rsidRPr="00CB698C">
        <w:rPr>
          <w:rFonts w:ascii="Cambria" w:hAnsi="Cambria" w:cs="Times New Roman"/>
          <w:sz w:val="24"/>
          <w:szCs w:val="24"/>
        </w:rPr>
        <w:fldChar w:fldCharType="begin"/>
      </w:r>
      <w:r w:rsidRPr="00CB698C">
        <w:rPr>
          <w:rFonts w:ascii="Cambria" w:hAnsi="Cambria" w:cs="Times New Roman"/>
          <w:sz w:val="24"/>
          <w:szCs w:val="24"/>
        </w:rPr>
        <w:instrText xml:space="preserve"> ADDIN ZOTERO_ITEM CSL_CITATION {"citationID":"eWaDJdSJ","properties":{"formattedCitation":"(Bulluck and Buehler 2006)","plainCitation":"(Bulluck and Buehler 2006)","noteIndex":0},"citationItems":[{"id":908,"uris":["http://zotero.org/users/16351564/items/BWICZV52"],"itemData":{"id":908,"type":"article-journal","abstract":"The importance of early successional habitats for breeding and post-breeding birds has received recent attention. Common early successional habitats in the eastern United States are regeneration after timber harvests, utility right-of ways and reclaimed surface mines. Few studies, however, have compared the characteristics of these with regard to avian habitat use. We conducted a passive mist-netting study to assess the breeding and post-breeding avian communities associated with these land uses in the Cumberland Mountains of eastern Tennessee. We used analysis of variance to compare the vegetation structure among these habitat types and discriminant function analyses to illustrate differences in vegetation structure and bird abundance among habitats. We banded 1562 individuals of 40 species (1.08 birds/net-hour). The percent cover of saplings, forbs and grass differed among habitat types, but there was no detectable difference in shrub cover. Vegetation structure allowed good discrimination between habitat types (Wilks’ l = 0.16), speciﬁcally in differentiating clearcuts from surface mines and right-of-ways. Although the three habitat types had several avian species in common, the abundance of 12 species differed substantially among habitat types, and their species abundance patterns allowed for excellent discrimination between these habitat types (Wilks’ l = 0.08). We conclude that these three early successional habitat types are different with regard to vegetation structure and avian community assemblage. These differences are important for local and landscape-scale conservation planning for both early and late successional avian species.","container-title":"Forest Ecology and Management","DOI":"10.1016/j.foreco.2006.08.337","ISSN":"03781127","issue":"1","journalAbbreviation":"Forest Ecology and Management","language":"en","license":"https://www.elsevier.com/tdm/userlicense/1.0/","page":"76-84","source":"DOI.org (Crossref)","title":"Avian use of early successional habitats: Are regenerating forests, utility right-of-ways and reclaimed surface mines the same?","title-short":"Avian use of early successional habitats","volume":"236","author":[{"family":"Bulluck","given":"Lesley P."},{"family":"Buehler","given":"David A."}],"issued":{"date-parts":[["2006",11]]}}}],"schema":"https://github.com/citation-style-language/schema/raw/master/csl-citation.json"} </w:instrText>
      </w:r>
      <w:r w:rsidRPr="00CB698C">
        <w:rPr>
          <w:rFonts w:ascii="Cambria" w:hAnsi="Cambria" w:cs="Times New Roman"/>
          <w:sz w:val="24"/>
          <w:szCs w:val="24"/>
        </w:rPr>
        <w:fldChar w:fldCharType="separate"/>
      </w:r>
      <w:r w:rsidRPr="00CB698C">
        <w:rPr>
          <w:rFonts w:ascii="Cambria" w:hAnsi="Cambria"/>
          <w:sz w:val="24"/>
          <w:szCs w:val="24"/>
        </w:rPr>
        <w:t>(Bulluck and Buehler 2006)</w:t>
      </w:r>
      <w:r w:rsidRPr="00CB698C">
        <w:rPr>
          <w:rFonts w:ascii="Cambria" w:hAnsi="Cambria" w:cs="Times New Roman"/>
          <w:sz w:val="24"/>
          <w:szCs w:val="24"/>
        </w:rPr>
        <w:fldChar w:fldCharType="end"/>
      </w:r>
      <w:r w:rsidRPr="00CB698C">
        <w:rPr>
          <w:rFonts w:ascii="Cambria" w:hAnsi="Cambria" w:cs="Times New Roman"/>
          <w:sz w:val="24"/>
          <w:szCs w:val="24"/>
        </w:rPr>
        <w:t>. Birds specialized for these disturbance</w:t>
      </w:r>
      <w:r w:rsidRPr="00CB698C">
        <w:rPr>
          <w:rFonts w:ascii="Cambria" w:hAnsi="Cambria" w:cs="Times New Roman"/>
          <w:sz w:val="24"/>
          <w:szCs w:val="24"/>
        </w:rPr>
        <w:noBreakHyphen/>
        <w:t>maintained systems (termed disturbance</w:t>
      </w:r>
      <w:r w:rsidRPr="00CB698C">
        <w:rPr>
          <w:rFonts w:ascii="Cambria" w:hAnsi="Cambria" w:cs="Times New Roman"/>
          <w:sz w:val="24"/>
          <w:szCs w:val="24"/>
        </w:rPr>
        <w:noBreakHyphen/>
        <w:t xml:space="preserve">dependent species), are now among the most imperiled in the region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{"citationID":"wPuQW2Hg","properties":{"formattedCitation":"(Brawn et al. 2001, Hunter et al. 2001)","plainCitation":"(Brawn et al. 2001, Hunter et al. 2001)","noteIndex":0},"citationItems":[{"id":1326,"uris":["http://zotero.org/users/16351564/items/UY8FB6GH"],"itemData":{"id":1326,"type":"article-journal","abstract":"▪ Abstract  Natural ecological disturbance creates habitats that are used by diverse groups of birds. In North America, these habitats or ecosystems include grasslands or prairies, shrublands, savannas, early successional forests, and floodplains. Whereas the extent of all natural habitats has diminished significantly owing to outright loss from agriculture and development, the suppression of disturbance by agents such as fire and flooding has led to further losses. Accordingly, the abundances of many bird species adapted to disturbance-mediated habitats have declined as well. In North America, these declines have been more severe and common than those of species associated with less frequently disturbed habitats such as mature or closed-canopy forests. Field studies consistently reveal the direct role of disturbance and successional processes in structuring avian habitats and communities. Conservation strategies involving the management of disturbance through some combination of flooding, application of fire, or the expression of wildfire, and use of certain types of silviculture have the potential to diversify avian habitats at the local, landscape, and regional scale. Many aspects of the disturbance ecology of birds require further research. Important questions involve associations between the intensity and frequency of disturbance and the viability of bird populations, the scale of disturbance with respect to the spatial structure of populations, and the role of natural vs. anthropogenic disturbance. The effects of disturbance and ensuing successional processes on birds are potentially long-term, and comprehensive monitoring is essential.","container-title":"Annual Review of Ecology and Systematics","DOI":"10.1146/annurev.ecolsys.32.081501.114031","ISSN":"0066-4162","issue":"1","journalAbbreviation":"Annu. Rev. Ecol. Syst.","language":"en","page":"251-276","source":"DOI.org (Crossref)","title":"The Role of Disturbance in the Ecology and Conservation of Birds","volume":"32","author":[{"family":"Brawn","given":"Jeffrey D."},{"family":"Robinson","given":"Scott K."},{"family":"Thompson Iii","given":"Frank R."}],"issued":{"date-parts":[["2001",11]]}}},{"id":1450,"uris":["http://zotero.org/users/16351564/items/5TMC7VHV"],"itemData":{"id":1450,"type":"article-journal","container-title":"Wildlife Society Bulletin. 29 (2): 440-455.[Editor's note: Paul B. Hamel, Southern Research Station scientist, co-authored this publication.]","journalAbbreviation":"Wildlife Society Bulletin. 29 (2): 440-455.[Editor's note: Paul B. Hamel, Southern Research Station scientist, co-authored this publication.]","title":"Conservation of disturbance-dependent birds in eastern North America","author":[{"family":"Hunter","given":"William C"},{"family":"Buehler","given":"David A"},{"family":"Canterbury","given":"Ronald A"},{"family":"Confer","given":"John L"},{"family":"Hamel","given":"Paul B"}],"issued":{"date-parts":[["2001"]]}}}],"schema":"https://github.com/citation-style-language/schema/raw/master/csl-citation.json"} </w:instrText>
      </w:r>
      <w:r>
        <w:rPr>
          <w:rFonts w:ascii="Cambria" w:hAnsi="Cambria" w:cs="Times New Roman"/>
          <w:sz w:val="24"/>
          <w:szCs w:val="24"/>
        </w:rPr>
        <w:fldChar w:fldCharType="separate"/>
      </w:r>
      <w:r w:rsidRPr="006D1C98">
        <w:rPr>
          <w:rFonts w:ascii="Cambria" w:hAnsi="Cambria"/>
          <w:sz w:val="24"/>
        </w:rPr>
        <w:t>(Brawn et al. 2001, Hunter et al. 2001)</w:t>
      </w:r>
      <w:r>
        <w:rPr>
          <w:rFonts w:ascii="Cambria" w:hAnsi="Cambria" w:cs="Times New Roman"/>
          <w:sz w:val="24"/>
          <w:szCs w:val="24"/>
        </w:rPr>
        <w:fldChar w:fldCharType="end"/>
      </w:r>
      <w:r w:rsidRPr="00CB698C">
        <w:rPr>
          <w:rFonts w:ascii="Cambria" w:hAnsi="Cambria" w:cs="Times New Roman"/>
          <w:sz w:val="24"/>
          <w:szCs w:val="24"/>
        </w:rPr>
        <w:t>. Given the widespread loss of disturbance</w:t>
      </w:r>
      <w:r w:rsidRPr="00CB698C">
        <w:rPr>
          <w:rFonts w:ascii="Cambria" w:hAnsi="Cambria" w:cs="Times New Roman"/>
          <w:sz w:val="24"/>
          <w:szCs w:val="24"/>
        </w:rPr>
        <w:noBreakHyphen/>
        <w:t xml:space="preserve">mediated environments and the species that depend on them, shifts in bird community composition are likely increasing. </w:t>
      </w:r>
      <w:r w:rsidRPr="00CB698C">
        <w:rPr>
          <w:rFonts w:ascii="Cambria" w:hAnsi="Cambria"/>
          <w:sz w:val="24"/>
          <w:szCs w:val="24"/>
        </w:rPr>
        <w:t xml:space="preserve">Therefore, it is crucial to document bird communities and their changes, especially in </w:t>
      </w:r>
      <w:r>
        <w:rPr>
          <w:rFonts w:ascii="Cambria" w:hAnsi="Cambria"/>
          <w:sz w:val="24"/>
          <w:szCs w:val="24"/>
        </w:rPr>
        <w:t>these threatened</w:t>
      </w:r>
      <w:r w:rsidRPr="00CB698C">
        <w:rPr>
          <w:rFonts w:ascii="Cambria" w:hAnsi="Cambria"/>
          <w:sz w:val="24"/>
          <w:szCs w:val="24"/>
        </w:rPr>
        <w:t xml:space="preserve"> </w:t>
      </w:r>
      <w:r>
        <w:rPr>
          <w:rFonts w:ascii="Cambria" w:hAnsi="Cambria"/>
          <w:sz w:val="24"/>
          <w:szCs w:val="24"/>
        </w:rPr>
        <w:t>ecosystems</w:t>
      </w:r>
      <w:r w:rsidRPr="00CB698C">
        <w:rPr>
          <w:rFonts w:ascii="Cambria" w:hAnsi="Cambria"/>
          <w:sz w:val="24"/>
          <w:szCs w:val="24"/>
        </w:rPr>
        <w:t>.</w:t>
      </w:r>
    </w:p>
    <w:p w14:paraId="226DFCC6" w14:textId="69B1E8F6" w:rsidR="000C2F1F" w:rsidRDefault="00667110" w:rsidP="002023FE">
      <w:pPr>
        <w:spacing w:line="360" w:lineRule="auto"/>
        <w:rPr>
          <w:rFonts w:ascii="Cambria" w:hAnsi="Cambria" w:cs="Times New Roman"/>
          <w:sz w:val="24"/>
          <w:szCs w:val="24"/>
        </w:rPr>
      </w:pPr>
      <w:r w:rsidRPr="00040B89">
        <w:rPr>
          <w:rFonts w:ascii="Cambria" w:hAnsi="Cambria" w:cs="Times New Roman"/>
          <w:sz w:val="24"/>
          <w:szCs w:val="24"/>
        </w:rPr>
        <w:lastRenderedPageBreak/>
        <w:t xml:space="preserve">Community dynamics can be quantified through local colonization, extinction, and turnover rates, which provide insight into the processes </w:t>
      </w:r>
      <w:r>
        <w:rPr>
          <w:rFonts w:ascii="Cambria" w:hAnsi="Cambria" w:cs="Times New Roman"/>
          <w:sz w:val="24"/>
          <w:szCs w:val="24"/>
        </w:rPr>
        <w:t>shaping</w:t>
      </w:r>
      <w:r w:rsidRPr="00040B89">
        <w:rPr>
          <w:rFonts w:ascii="Cambria" w:hAnsi="Cambria" w:cs="Times New Roman"/>
          <w:sz w:val="24"/>
          <w:szCs w:val="24"/>
        </w:rPr>
        <w:t xml:space="preserve"> bird assemblages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{"citationID":"fJ96n6eF","properties":{"formattedCitation":"(Nichols et al. 1998, Willrich et al. 2016, Toledo-Lima and Pichorim 2020)","plainCitation":"(Nichols et al. 1998, Willrich et al. 2016, Toledo-Lima and Pichorim 2020)","noteIndex":0},"citationItems":[{"id":970,"uris":["http://zotero.org/users/16351564/items/UVSJA2EC"],"itemData":{"id":970,"type":"article-journal","abstract":"Species richness has been identiﬁed as a useful state variable for conservation and management purposes. Changes in richness over time provide a basis for predicting and evaluating community responses to management, to natural disturbance, and to changes in factors such as community composition (e.g., the removal of a keystone species). Probabilistic capture–recapture models have been used recently to estimate species richness from species count and presence–absence data. These models do not require the common assumption that all species are detected in sampling efforts. We extend this approach to the development of estimators useful for studying the vital rates responsible for changes in animal communities over time: rates of local species extinction, turnover, and colonization. Our approach to estimation is based on capture–recapture models for closed animal populations that permit heterogeneity in detection probabilities among the different species in the sampled community. We have developed a computer program, COMDYN, to compute many of these estimators and associated bootstrap variances. Analyses using data from the North American Breeding Bird Survey (BBS) suggested that the estimators performed reasonably well. We recommend estimators based on probabilistic modeling for future work on community responses to management efforts as well as on basic questions about community dynamics.","container-title":"Ecological Applications","DOI":"10.1890/1051-0761(1998)008[1213:EROLSE]2.0.CO;2","ISSN":"1051-0761","issue":"4","journalAbbreviation":"Ecological Applications","language":"en","license":"http://doi.wiley.com/10.1002/tdm_license_1.1","page":"1213-1225","source":"DOI.org (Crossref)","title":"Estimating rates of local species extinction, colonization, and turnover in animal communities","volume":"8","author":[{"family":"Nichols","given":"James D."},{"family":"Boulinier","given":"Thierry"},{"family":"Hines","given":"James E."},{"family":"Pollock","given":"Kenneth H."},{"family":"Sauer","given":"John R."}],"issued":{"date-parts":[["1998",11]]}}},{"id":1319,"uris":["http://zotero.org/users/16351564/items/TAHIGMGG"],"itemData":{"id":1319,"type":"article-journal","container-title":"Revista Brasileira de Ornitologia","DOI":"10.1007/BF03544352","ISSN":"2178-7875","issue":"3","journalAbbreviation":"Rev. Bras. Ornitol.","language":"en","page":"235-259","source":"DOI.org (Crossref)","title":"Twenty-three years of bird monitoring reveal low extinction and colonization of species in a reserve surrounded by an extremely fragmented landscape in southern Brazil","volume":"24","author":[{"family":"Willrich","given":"Guilherme"},{"family":"Calsavara","given":"Larissa Corsini"},{"family":"Lima","given":"Marcos Robalinho"},{"family":"De Oliveira","given":"Renan Campos"},{"family":"Bochio","given":"Gabriela Menezes"},{"family":"Rosa","given":"Gabriel Lima Medina"},{"family":"Muzi","given":"Vanildo Cesar"},{"family":"Dos Anjos","given":"Luiz"}],"issued":{"date-parts":[["2016",9]]}}},{"id":1283,"uris":["http://zotero.org/users/16351564/items/9PPMEVGT"],"itemData":{"id":1283,"type":"article-journal","container-title":"Ornithology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(Nichols et al. 1998, Willrich et al. 2016, Toledo-Lima and Pichorim 2020)</w:t>
      </w:r>
      <w:r>
        <w:rPr>
          <w:rFonts w:ascii="Cambria" w:hAnsi="Cambria" w:cs="Times New Roman"/>
          <w:sz w:val="24"/>
          <w:szCs w:val="24"/>
        </w:rPr>
        <w:fldChar w:fldCharType="end"/>
      </w:r>
      <w:r>
        <w:rPr>
          <w:rFonts w:ascii="Cambria" w:hAnsi="Cambria" w:cs="Times New Roman"/>
          <w:sz w:val="24"/>
          <w:szCs w:val="24"/>
        </w:rPr>
        <w:t xml:space="preserve">. These community-level vital rates can </w:t>
      </w:r>
      <w:r w:rsidRPr="00E35985">
        <w:rPr>
          <w:rFonts w:ascii="Cambria" w:hAnsi="Cambria" w:cs="Times New Roman"/>
          <w:sz w:val="24"/>
          <w:szCs w:val="24"/>
        </w:rPr>
        <w:t xml:space="preserve">reveal how communities respond to disturbance or to newly available </w:t>
      </w:r>
      <w:r>
        <w:rPr>
          <w:rFonts w:ascii="Cambria" w:hAnsi="Cambria" w:cs="Times New Roman"/>
          <w:sz w:val="24"/>
          <w:szCs w:val="24"/>
        </w:rPr>
        <w:t>environments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{"citationID":"kc9o2rqV","properties":{"formattedCitation":"(Whitcomb et al. 1977, Hobson and Schieck 1999)","plainCitation":"(Whitcomb et al. 1977, Hobson and Schieck 1999)","noteIndex":0},"citationItems":[{"id":1246,"uris":["http://zotero.org/users/16351564/items/4JD7K8V2"],"itemData":{"id":1246,"type":"article-journal","archive":"https://digitalcommons.usf.edu/american_birds/vol31/iss1/3","language":"en","source":"Zotero","title":"Iii. Long-term Turnover and Effects of Selective Logging on the Avifauna of Forest Fragments","volume":"31","author":[{"family":"Whitcomb","given":"Bruce L"},{"family":"Whitcomb","given":"Robert F"},{"family":"Bystrak","given":"Danny"}],"issued":{"date-parts":[["1977"]]}}},{"id":1321,"uris":["http://zotero.org/users/16351564/items/ID92J4ZV"],"itemData":{"id":1321,"type":"article-journal","container-title":"Ecological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(Whitcomb et al. 1977, Hobson and Schieck 1999)</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Turnover often accelerates following disturbance events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{"citationID":"uUtzmt2W","properties":{"formattedCitation":"(Hobson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and unfavorable conditions such as drought can also drive shifts in community composition</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{"citationID":"6bszUgRO","properties":{"formattedCitation":"(Toledo-Lima and Pichorim 2020)","plainCitation":"(Toledo-Lima and Pichorim 2020)","noteIndex":0},"citationItems":[{"id":1283,"uris":["http://zotero.org/users/16351564/items/9PPMEVGT"],"itemData":{"id":1283,"type":"article-journal","container-title":"Ornithology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(Toledo-Lima and Pichorim 2020)</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Persistent changes in species composition may indicate environmental instability</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{"citationID":"R358T3dC","properties":{"formattedCitation":"(Vallejos et al. 2020)","plainCitation":"(Vallejos et al. 2020)","noteIndex":0},"citationItems":[{"id":1322,"uris":["http://zotero.org/users/16351564/items/55T7RUQN"],"itemData":{"id":1322,"type":"article-journal","abstract":"Abstract\n            Terrestrial animals are negatively affected by habitat loss, which is assessed on a landscape scale, whereas secondary effects of habitat loss, such as crowding, are usually disregarded. Such impacts are inherently hard to address and poorly understood, and there is a growing concern that they could have dire consequences. We sampled birds throughout a deforestation process to assess crowding stress in an adjacent habitat remnant in the southern Brazilian Atlantic Forest. Crowding is expected of highly mobile taxa, especially given the microhabitat heterogeneity of Neotropical forests, and we hypothesized that the arrival of new individuals or species in refuges shifts assemblage patterns. We used point counts to obtain bird abundances in a before‐after‐control‐impact design sampling of a deforestation event. Temporal changes in taxonomic and functional diversity were examined with metrics used to assess alpha and beta diversity, turnover of taxonomic and functional similarity, and taxonomic and functional composition. Over time increased abundance of some species altered the Simpson index and affected the abundance‐distribution of traits in the habitat remnant. Taxonomic composition and functional composition changed in the remnant, and thus bird assemblages changed over time. Taxonomic and functional metrics indicated that fugitives affected resident assemblages in refuges, and effects endured &gt;2 years after the deforestation processes had ceased. Dissimilarity of taxonomic composition between pre‐ and postdeforestation assemblages increased, whereas functional composition reverted to preimpact conditions. We found that ecological disruptions resulted from crowding and escalated into disruptions of species’ assemblages and potentially compromising ecosystem functioning. It is important to consider crowding effects of highly mobile taxa during impact assessments, especially in large‐scale infrastructure projects that may affect larger areas than is assumed.\n          , \n            \n              \n              Efectos del Amontonamiento debido a la Pérdida del Hábitat sobre los Patrones de Ensamblaje de las Especies\n              \n                Resumen\n                Los animales terrestres se ven afectados negativamente por la pérdida del hábitat, la cual es evaluada con una escala de paisaje, mientras que los efectos secundarios de la pérdida del hábitat, como el amontonamiento, suelen ser ignorados. Dichos impactos son inherentemente difíciles de tratar y su entendimiento es muy pobre, además de que existe una preocupación creciente por las posibles consecuencias graves que podrían tener. Muestreamos aves durante un proceso de deforestación para evaluar el estrés por amontonamiento en un hábitat remanente contiguo a la parte sur del Bosque Atlántico Brasileño. Se espera que el amontonamiento ocurra en taxones con mucha movilidad, especialmente en el caso de los heterogéneos bosques Neotropicales, por lo que nuestra hipótesis consistió en suponer que la llegada a los refugios de nuevos individuos o especies modifica los patrones de ensamblado. Usamos el conteo por puntos para obtener la abundancia de las aves en un diseño de muestreo de antes‐después‐control‐impacto de un evento de deforestación. Examinamos los cambios temporales en la diversidad taxonómica y funcional con medidas usadas para evaluar la diversidad alfa y beta, la rotación de la similitud taxonómica y funcional y la composición taxonómica y funcional. Con el tiempo, el incremento en la abundancia de algunas especies alteró el índice Simpson y afectó la abundancia y distribución de los caracteres en el hábitat remanente. La composición taxonómica y la composición funcional cambiaron en el hábitat remanente, por lo que los ensamblajes de aves cambiaron con el tiempo. Las medidas taxonómicas y funcionales indicaron que los individuos fugitivos afectaron a los ensamblajes de residentes en los refugios y sus efectos perduraron más de dos años después de que el proceso de deforestación había culminado. La disparidad de la composición taxonómica entre los ensamblajes antes y después de la deforestación incrementó, mientras que la composición funcional se revirtió a las condiciones previas al impacto. Encontramos que las perturbaciones ecológicas resultaron en el amontonamiento de especies y después escalaron hasta llegar a ser perturbaciones en el ensamblaje de las especies y potencial empobrecimiento del funcionamiento del ecosistema. Es importante considerar los efectos del amontonamiento de los taxones con mucha movilidad durante las evaluaciones de impacto ambiental, especialmente para proyectos con infraestructuras a gran escala que podrían afectar a un área mayor a la supuesta inicialmente.\n              \n            \n          , \n            </w:instrText>
      </w:r>
      <w:r>
        <w:rPr>
          <w:rFonts w:ascii="MS Gothic" w:eastAsia="MS Gothic" w:hAnsi="MS Gothic" w:cs="MS Gothic" w:hint="eastAsia"/>
          <w:sz w:val="24"/>
          <w:szCs w:val="24"/>
        </w:rPr>
        <w:instrText>摘要</w:instrText>
      </w:r>
      <w:r>
        <w:rPr>
          <w:rFonts w:ascii="Cambria" w:hAnsi="Cambria" w:cs="Times New Roman"/>
          <w:sz w:val="24"/>
          <w:szCs w:val="24"/>
        </w:rPr>
        <w:instrText xml:space="preserve">\n            \n              </w:instrText>
      </w:r>
      <w:r>
        <w:rPr>
          <w:rFonts w:ascii="MS Gothic" w:eastAsia="MS Gothic" w:hAnsi="MS Gothic" w:cs="MS Gothic" w:hint="eastAsia"/>
          <w:sz w:val="24"/>
          <w:szCs w:val="24"/>
        </w:rPr>
        <w:instrText>景</w:instrText>
      </w:r>
      <w:r>
        <w:rPr>
          <w:rFonts w:ascii="Microsoft JhengHei" w:eastAsia="Microsoft JhengHei" w:hAnsi="Microsoft JhengHei" w:cs="Microsoft JhengHei" w:hint="eastAsia"/>
          <w:sz w:val="24"/>
          <w:szCs w:val="24"/>
        </w:rPr>
        <w:instrText>观尺度的评估表明生境丧失对陆地动物造成了负面影响</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但生境</w:instrText>
      </w:r>
      <w:r>
        <w:rPr>
          <w:rFonts w:ascii="Microsoft JhengHei" w:eastAsia="Microsoft JhengHei" w:hAnsi="Microsoft JhengHei" w:cs="Microsoft JhengHei" w:hint="eastAsia"/>
          <w:sz w:val="24"/>
          <w:szCs w:val="24"/>
        </w:rPr>
        <w:instrText>丧失的次级影响</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如</w:instrText>
      </w:r>
      <w:r>
        <w:rPr>
          <w:rFonts w:ascii="Microsoft JhengHei" w:eastAsia="Microsoft JhengHei" w:hAnsi="Microsoft JhengHei" w:cs="Microsoft JhengHei" w:hint="eastAsia"/>
          <w:sz w:val="24"/>
          <w:szCs w:val="24"/>
        </w:rPr>
        <w:instrText>拥挤</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却常常遭到忽</w:instrText>
      </w:r>
      <w:r>
        <w:rPr>
          <w:rFonts w:ascii="Microsoft JhengHei" w:eastAsia="Microsoft JhengHei" w:hAnsi="Microsoft JhengHei" w:cs="Microsoft JhengHei" w:hint="eastAsia"/>
          <w:sz w:val="24"/>
          <w:szCs w:val="24"/>
        </w:rPr>
        <w:instrText>视。这些影响本身难以研究</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也少有理解</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人</w:instrText>
      </w:r>
      <w:r>
        <w:rPr>
          <w:rFonts w:ascii="Microsoft JhengHei" w:eastAsia="Microsoft JhengHei" w:hAnsi="Microsoft JhengHei" w:cs="Microsoft JhengHei" w:hint="eastAsia"/>
          <w:sz w:val="24"/>
          <w:szCs w:val="24"/>
        </w:rPr>
        <w:instrText>们目前越来越担心它们会产生可怕后果。本研究对森林砍伐过程中的鸟类进行取样调查</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评估了巴西大西洋森林南部地区相邻生境碎片的拥挤压力。我们推测移动能力强的类群可能会发生拥挤</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特</w:instrText>
      </w:r>
      <w:r>
        <w:rPr>
          <w:rFonts w:ascii="Yu Gothic" w:eastAsia="Yu Gothic" w:hAnsi="Yu Gothic" w:cs="Yu Gothic" w:hint="eastAsia"/>
          <w:sz w:val="24"/>
          <w:szCs w:val="24"/>
        </w:rPr>
        <w:instrText>别是考</w:instrText>
      </w:r>
      <w:r>
        <w:rPr>
          <w:rFonts w:ascii="Microsoft JhengHei" w:eastAsia="Microsoft JhengHei" w:hAnsi="Microsoft JhengHei" w:cs="Microsoft JhengHei" w:hint="eastAsia"/>
          <w:sz w:val="24"/>
          <w:szCs w:val="24"/>
        </w:rPr>
        <w:instrText>虑到新热带森林的微生境异质性</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我</w:instrText>
      </w:r>
      <w:r>
        <w:rPr>
          <w:rFonts w:ascii="Microsoft JhengHei" w:eastAsia="Microsoft JhengHei" w:hAnsi="Microsoft JhengHei" w:cs="Microsoft JhengHei" w:hint="eastAsia"/>
          <w:sz w:val="24"/>
          <w:szCs w:val="24"/>
        </w:rPr>
        <w:instrText>们还猜测避难所中新到达的个体或物种会改变群聚格局。本研究用点计数法来获得了一次森林砍伐事件的前后控制影响设计抽样的鸟类丰度</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并利用</w:instrText>
      </w:r>
      <w:r>
        <w:rPr>
          <w:rFonts w:ascii="Microsoft JhengHei" w:eastAsia="Microsoft JhengHei" w:hAnsi="Microsoft JhengHei" w:cs="Microsoft JhengHei" w:hint="eastAsia"/>
          <w:sz w:val="24"/>
          <w:szCs w:val="24"/>
        </w:rPr>
        <w:instrText>评估</w:instrText>
      </w:r>
      <w:r>
        <w:rPr>
          <w:rFonts w:ascii="Calibri" w:hAnsi="Calibri" w:cs="Calibri"/>
          <w:sz w:val="24"/>
          <w:szCs w:val="24"/>
        </w:rPr>
        <w:instrText>α</w:instrText>
      </w:r>
      <w:r>
        <w:rPr>
          <w:rFonts w:ascii="MS Gothic" w:eastAsia="MS Gothic" w:hAnsi="MS Gothic" w:cs="MS Gothic" w:hint="eastAsia"/>
          <w:sz w:val="24"/>
          <w:szCs w:val="24"/>
        </w:rPr>
        <w:instrText>和</w:instrText>
      </w:r>
      <w:r>
        <w:rPr>
          <w:rFonts w:ascii="Calibri" w:hAnsi="Calibri" w:cs="Calibri"/>
          <w:sz w:val="24"/>
          <w:szCs w:val="24"/>
        </w:rPr>
        <w:instrText>β</w:instrText>
      </w:r>
      <w:r>
        <w:rPr>
          <w:rFonts w:ascii="MS Gothic" w:eastAsia="MS Gothic" w:hAnsi="MS Gothic" w:cs="MS Gothic" w:hint="eastAsia"/>
          <w:sz w:val="24"/>
          <w:szCs w:val="24"/>
        </w:rPr>
        <w:instrText>多</w:instrText>
      </w:r>
      <w:r>
        <w:rPr>
          <w:rFonts w:ascii="Microsoft JhengHei" w:eastAsia="Microsoft JhengHei" w:hAnsi="Microsoft JhengHei" w:cs="Microsoft JhengHei" w:hint="eastAsia"/>
          <w:sz w:val="24"/>
          <w:szCs w:val="24"/>
        </w:rPr>
        <w:instrText>样性、类群相似性和功能相似性更新、类群组成和功能组成的指标分析了类群多样性和功能多样性随时间的变化。结果表明</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随着</w:instrText>
      </w:r>
      <w:r>
        <w:rPr>
          <w:rFonts w:ascii="Microsoft JhengHei" w:eastAsia="Microsoft JhengHei" w:hAnsi="Microsoft JhengHei" w:cs="Microsoft JhengHei" w:hint="eastAsia"/>
          <w:sz w:val="24"/>
          <w:szCs w:val="24"/>
        </w:rPr>
        <w:instrText>时间推移</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某些物种的丰度增加改</w:instrText>
      </w:r>
      <w:r>
        <w:rPr>
          <w:rFonts w:ascii="Microsoft JhengHei" w:eastAsia="Microsoft JhengHei" w:hAnsi="Microsoft JhengHei" w:cs="Microsoft JhengHei" w:hint="eastAsia"/>
          <w:sz w:val="24"/>
          <w:szCs w:val="24"/>
        </w:rPr>
        <w:instrText>变了</w:instrText>
      </w:r>
      <w:r>
        <w:rPr>
          <w:rFonts w:ascii="Cambria" w:hAnsi="Cambria" w:cs="Times New Roman"/>
          <w:sz w:val="24"/>
          <w:szCs w:val="24"/>
        </w:rPr>
        <w:instrText xml:space="preserve"> Simpson </w:instrText>
      </w:r>
      <w:r>
        <w:rPr>
          <w:rFonts w:ascii="MS Gothic" w:eastAsia="MS Gothic" w:hAnsi="MS Gothic" w:cs="MS Gothic" w:hint="eastAsia"/>
          <w:sz w:val="24"/>
          <w:szCs w:val="24"/>
        </w:rPr>
        <w:instrText>指数</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还影响了残余生境一些性状的丰度分布。此外</w:instrText>
      </w:r>
      <w:r>
        <w:rPr>
          <w:rFonts w:ascii="Cambria" w:hAnsi="Cambria" w:cs="Times New Roman"/>
          <w:sz w:val="24"/>
          <w:szCs w:val="24"/>
        </w:rPr>
        <w:instrText xml:space="preserve">, </w:instrText>
      </w:r>
      <w:r>
        <w:rPr>
          <w:rFonts w:ascii="Yu Gothic" w:eastAsia="Yu Gothic" w:hAnsi="Yu Gothic" w:cs="Yu Gothic" w:hint="eastAsia"/>
          <w:sz w:val="24"/>
          <w:szCs w:val="24"/>
        </w:rPr>
        <w:instrText>类群</w:instrText>
      </w:r>
      <w:r>
        <w:rPr>
          <w:rFonts w:ascii="Microsoft JhengHei" w:eastAsia="Microsoft JhengHei" w:hAnsi="Microsoft JhengHei" w:cs="Microsoft JhengHei" w:hint="eastAsia"/>
          <w:sz w:val="24"/>
          <w:szCs w:val="24"/>
        </w:rPr>
        <w:instrText>组成和功能组成也会发生变化</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鸟类群聚随之改变。类群和功能的指标表明</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避</w:instrText>
      </w:r>
      <w:r>
        <w:rPr>
          <w:rFonts w:ascii="Microsoft JhengHei" w:eastAsia="Microsoft JhengHei" w:hAnsi="Microsoft JhengHei" w:cs="Microsoft JhengHei" w:hint="eastAsia"/>
          <w:sz w:val="24"/>
          <w:szCs w:val="24"/>
        </w:rPr>
        <w:instrText>难所中避难的鸟类影响了定居物种的群聚</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并且</w:instrText>
      </w:r>
      <w:r>
        <w:rPr>
          <w:rFonts w:ascii="Microsoft JhengHei" w:eastAsia="Microsoft JhengHei" w:hAnsi="Microsoft JhengHei" w:cs="Microsoft JhengHei" w:hint="eastAsia"/>
          <w:sz w:val="24"/>
          <w:szCs w:val="24"/>
        </w:rPr>
        <w:instrText>这种影响在森林砍伐过程停止两年后仍然存在。森林砍伐前后类群组成的差异越来越大</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而功能</w:instrText>
      </w:r>
      <w:r>
        <w:rPr>
          <w:rFonts w:ascii="Microsoft JhengHei" w:eastAsia="Microsoft JhengHei" w:hAnsi="Microsoft JhengHei" w:cs="Microsoft JhengHei" w:hint="eastAsia"/>
          <w:sz w:val="24"/>
          <w:szCs w:val="24"/>
        </w:rPr>
        <w:instrText>组成则会恢复到干扰前的状态。我们还发现</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拥挤导致的生态破坏会进一步使物种群聚受影响、生态系统功能发生退化。在评估高度移动的类群所受影响时考虑拥挤效应十分重要</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在影响可能超出</w:instrText>
      </w:r>
      <w:r>
        <w:rPr>
          <w:rFonts w:ascii="Microsoft JhengHei" w:eastAsia="Microsoft JhengHei" w:hAnsi="Microsoft JhengHei" w:cs="Microsoft JhengHei" w:hint="eastAsia"/>
          <w:sz w:val="24"/>
          <w:szCs w:val="24"/>
        </w:rPr>
        <w:instrText>预期地区的大型基础设施建设项目中尤其如此。</w:instrText>
      </w:r>
      <w:r>
        <w:rPr>
          <w:rFonts w:ascii="Cambria" w:hAnsi="Cambria" w:cs="Times New Roman"/>
          <w:sz w:val="24"/>
          <w:szCs w:val="24"/>
        </w:rPr>
        <w:instrText xml:space="preserve">\n              </w:instrText>
      </w:r>
      <w:r>
        <w:rPr>
          <w:rFonts w:ascii="MS Gothic" w:eastAsia="MS Gothic" w:hAnsi="MS Gothic" w:cs="MS Gothic" w:hint="eastAsia"/>
          <w:sz w:val="24"/>
          <w:szCs w:val="24"/>
        </w:rPr>
        <w:instrText>【翻</w:instrText>
      </w:r>
      <w:r>
        <w:rPr>
          <w:rFonts w:ascii="Microsoft JhengHei" w:eastAsia="Microsoft JhengHei" w:hAnsi="Microsoft JhengHei" w:cs="Microsoft JhengHei" w:hint="eastAsia"/>
          <w:sz w:val="24"/>
          <w:szCs w:val="24"/>
        </w:rPr>
        <w:instrText>译</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胡怡思</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审校</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聂永刚】</w:instrText>
      </w:r>
      <w:r>
        <w:rPr>
          <w:rFonts w:ascii="Cambria" w:hAnsi="Cambria" w:cs="Times New Roman"/>
          <w:sz w:val="24"/>
          <w:szCs w:val="24"/>
        </w:rPr>
        <w:instrText xml:space="preserve">\n            \n          , \n            \n              Article impact statement\n              : The effects of crowding from habitat loss can be an important secondary disturbance to highly mobile animal assemblages.","container-title":"Conservation Biology","DOI":"10.1111/cobi.13443","ISSN":"0888-8892, 1523-1739","issue":"2","journalAbbreviation":"Conservation Biology","language":"en","page":"405-415","source":"DOI.org (Crossref)","title":"Effects of crowding due to habitat loss on species assemblage patterns","volume":"34","author":[{"family":"Vallejos","given":"Marcelo Alejandro Villegas"},{"family":"Padial","given":"André Andrian"},{"family":"Vitule","given":"Jean Ricardo Simões"},{"family":"Monteiro‐Filho","given":"Emygdio Leite De Araujo"}],"issued":{"date-parts":[["2020",4]]}}}],"schema":"https://github.com/citation-style-language/schema/raw/master/csl-citation.json"}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(Vallejos et al. 2020)</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 xml:space="preserve">Local extinctions can </w:t>
      </w:r>
      <w:r>
        <w:rPr>
          <w:rFonts w:ascii="Cambria" w:hAnsi="Cambria" w:cs="Times New Roman"/>
          <w:sz w:val="24"/>
          <w:szCs w:val="24"/>
        </w:rPr>
        <w:t xml:space="preserve">also </w:t>
      </w:r>
      <w:r w:rsidRPr="00040B89">
        <w:rPr>
          <w:rFonts w:ascii="Cambria" w:hAnsi="Cambria" w:cs="Times New Roman"/>
          <w:sz w:val="24"/>
          <w:szCs w:val="24"/>
        </w:rPr>
        <w:t>signal declining habitat suitability</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{"citationID":"BqviTLge","properties":{"formattedCitation":"(Gates and Donald 2000, Boulinier et al. 2001)","plainCitation":"(Gates and Donald 2000, Boulinier et al. 2001)","noteIndex":0},"citationItems":[{"id":1323,"uris":["http://zotero.org/users/16351564/items/GLI7I572"],"itemData":{"id":1323,"type":"article-journal","abstract":"1.\n               The populations of many UK farmland birds declined between 1970 and 1990, frequently accompanied by contractions in breeding ranges. Ornithological atlas data, land use data and environmental data at the scale of 10‐km squares were used to investigate the relationship between local extinctions and habitat suitability for six species, and to predict where future losses are most likely.\n            \n            \n              2.\n               For each species we tested the hypothesis that local extinctions were concentrated in environments that were inherently less suitable. We also tested the hypothesis that spatial patterns of loss were not independent between species due to their concurrence in the same habitats.\n            \n            \n              3.\n               Multivariate analyses (PCA) showed that areas where each species became extinct between 1970 and 1990 were more similar in land use type, climate and topography to areas where a species was never present than those where it was retained; local extinction was more likely in less suitable environments. Multiple logistic regression showed that for five of the six species the environmental gradient best predicting presence or absence in 1970 was also that best predicting loss between 1970 and 1990. For the six species studied, local extinctions were least likely in lowland arable areas.\n            \n            \n              4.\n               For any pair of species, local extinctions were more frequent outside the area of overlap of the two species' ranges than inside. Within the area of overlap, species tended to be lost from the same squares. For each species, likelihood of local extinction declined with increasing number of the other five species present.\n            \n            \n              5.\n               We used model parameters to map the probability of future local extinctions of the six species considered, allowing the identification of key areas for conservation management at a spatial scale appropriate to agri‐economic incentives.","container-title":"Journal of Applied Ecology","DOI":"10.1046/j.1365-2664.2000.00549.x","ISSN":"0021-8901, 1365-2664","issue":"5","journalAbbreviation":"Journal of Applied Ecology","language":"en","license":"http://onlinelibrary.wiley.com/termsAndConditions#vor","page":"806-820","source":"DOI.org (Crossref)","title":"Local extinction of British farmland birds and the prediction of further loss","volume":"37","author":[{"family":"Gates","given":"Simon"},{"family":"Donald","given":"Paul F."}],"issued":{"date-parts":[["2000",10]]}}},{"id":1325,"uris":["http://zotero.org/users/16351564/items/UMWDYAC9"],"itemData":{"id":1325,"type":"article-journal","container-title":"Ecology","DOI":"10.1890/0012-9658(2001)082[1159:FFABCD]2.0.CO;2","ISSN":"0012-9658","issue":"4","journalAbbreviation":"Ecology","language":"en","license":"http://doi.wiley.com/10.1002/tdm_license_1.1","page":"1159-1169","source":"DOI.org (Crossref)","title":"Forest fragmentation and bird community dynamics: inference at regional scales","title-short":"FOREST FRAGMENTATION AND BIRD COMMUNITY DYNAMICS","volume":"82","author":[{"family":"Boulinier","given":"Thierry"},{"family":"Nichols","given":"James D."},{"family":"Hines","given":"James E."},{"family":"Sauer","given":"John R."},{"family":"Flather","given":"Curtis H."},{"family":"Pollock","given":"Kenneth H."}],"issued":{"date-parts":[["2001",4]]}}}],"schema":"https://github.com/citation-style-language/schema/raw/master/csl-citation.json"}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(Gates and Donald 2000, Boulinier et al. 2001)</w:t>
      </w:r>
      <w:r>
        <w:rPr>
          <w:rFonts w:ascii="Cambria" w:hAnsi="Cambria" w:cs="Times New Roman"/>
          <w:sz w:val="24"/>
          <w:szCs w:val="24"/>
        </w:rPr>
        <w:fldChar w:fldCharType="end"/>
      </w:r>
      <w:r>
        <w:rPr>
          <w:rFonts w:ascii="Cambria" w:hAnsi="Cambria" w:cs="Times New Roman"/>
          <w:sz w:val="24"/>
          <w:szCs w:val="24"/>
        </w:rPr>
        <w:t>, whereas</w:t>
      </w:r>
      <w:r w:rsidRPr="00040B89">
        <w:rPr>
          <w:rFonts w:ascii="Cambria" w:hAnsi="Cambria" w:cs="Times New Roman"/>
          <w:sz w:val="24"/>
          <w:szCs w:val="24"/>
        </w:rPr>
        <w:t xml:space="preserve"> high colonization rates may reflect newly created or restored habitat</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{"citationID":"z5kZZDsN","properties":{"formattedCitation":"(Lindenmayer et al. 2016)","plainCitation":"(Lindenmayer et al. 2016)","noteIndex":0},"citationItems":[{"id":1284,"uris":["http://zotero.org/users/16351564/items/BHZCM5WE"],"itemData":{"id":1284,"type":"article-journal","container-title":"Biodiversity and Conservation","DOI":"10.1007/s10531-016-1140-8","issue":"8","journalAbbreviation":"Biodiversity and Conservation","page":"1587–1603","title":"Long-term bird colonization and turnover in restored woodlands","volume":"25","author":[{"family":"Lindenmayer","given":"David B."},{"family":"Lane","given":"P. W."},{"family":"Barton","given":"P. S."},{"family":"Crane","given":"Mason"},{"family":"Ikin","given":"Karen"},{"family":"Michael","given":"Damian"},{"family":"Okada","given":"Sachiko"}],"issued":{"date-parts":[["2016",5]]}}}],"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(Lindenmayer et al. 2016)</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 xml:space="preserve">Because avian communities often </w:t>
      </w:r>
      <w:r>
        <w:rPr>
          <w:rFonts w:ascii="Cambria" w:hAnsi="Cambria" w:cs="Times New Roman"/>
          <w:sz w:val="24"/>
          <w:szCs w:val="24"/>
        </w:rPr>
        <w:t>shift as</w:t>
      </w:r>
      <w:r w:rsidRPr="00040B89">
        <w:rPr>
          <w:rFonts w:ascii="Cambria" w:hAnsi="Cambria" w:cs="Times New Roman"/>
          <w:sz w:val="24"/>
          <w:szCs w:val="24"/>
        </w:rPr>
        <w:t xml:space="preserve"> vegetation </w:t>
      </w:r>
      <w:r>
        <w:rPr>
          <w:rFonts w:ascii="Cambria" w:hAnsi="Cambria" w:cs="Times New Roman"/>
          <w:sz w:val="24"/>
          <w:szCs w:val="24"/>
        </w:rPr>
        <w:t xml:space="preserve">advances </w:t>
      </w:r>
      <w:r w:rsidRPr="00040B89">
        <w:rPr>
          <w:rFonts w:ascii="Cambria" w:hAnsi="Cambria" w:cs="Times New Roman"/>
          <w:sz w:val="24"/>
          <w:szCs w:val="24"/>
        </w:rPr>
        <w:t>through successional stages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{"citationID":"rp3OSijf","properties":{"formattedCitation":"(Hobson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ecosystems undergoing dynamic shifts in plant structure typically exhibit corresponding changes in bird assemblages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{"citationID":"LGg81HHg","properties":{"formattedCitation":"(Di Cecco and Hurlbert 2022)","plainCitation":"(Di Cecco and Hurlbert 2022)","noteIndex":0},"citationItems":[{"id":1318,"uris":["http://zotero.org/users/16351564/items/GQLHTLEC"],"itemData":{"id":1318,"type":"article-journal","abstract":"Abstract\n            Anthropogenic change has altered the composition and function of ecological communities across the globe. As a result, there is a need for studies examining observed community compositional change and determining whether and how anthropogenic change drivers may be influencing that turnover. In particular, it is also important to determine to what extent community turnover is idiosyncratic or if turnover can be explained by predictable responses across species based on traits or niche characteristics. Here, we measured turnover in avian communities across North America from 1990 to 2016 in the Breeding Bird Survey using an ordination method, and modeled turnover as a function of land use and climate change drivers from local to regional scales. We also examined how turnover may be attributed to species groups, including foraging guilds, trophic groups, migratory distance, and breeding biomes. We found that at local scales, land use change explained a greater proportion of variance in turnover than climate change variables, while as scale increased, trends in temperature explained a greater proportion of variance in turnover. We also found across the study region, turnover could be attributed to one of a handful of species undergoing strong expansions or strong declines over the study time period. We did not observe consistent patterns in compositional change in any trait groups we examined except for those that included previously identified highly influential species. Our results have two important implications: First, the relative importance of different anthropogenic change drivers may vary with scale, which should be considered in studies’ modeling impacts of global change on biodiversity. Second, in North American avian communities, individual species undergoing large shifts in population may drive signals in compositional change, and composite community turnover metrics should be carefully selected as a result.","container-title":"Global Change Biology","DOI":"10.1111/gcb.15967","ISSN":"1354-1013, 1365-2486","issue":"3","journalAbbreviation":"Global Change Biology","language":"en","page":"770-781","source":"DOI.org (Crossref)","title":"Anthropogenic drivers of avian community turnover from local to regional scales","volume":"28","author":[{"family":"Di Cecco","given":"Grace J."},{"family":"Hurlbert","given":"Allen H."}],"issued":{"date-parts":[["2022",2]]}}}],"schema":"https://github.com/citation-style-language/schema/raw/master/csl-citation.json"}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(Di Cecco and Hurlbert 2022)</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Measures of colonization, extinction, and turnover therefore not only illuminate processes shaping avian communities but also serve as key indicators of ecosystem stability and resilience</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{"citationID":"msE5dRP5","properties":{"formattedCitation":"(Dornelas et al. 2014)","plainCitation":"(Dornelas et al. 2014)","noteIndex":0},"citationItems":[{"id":1264,"uris":["http://zotero.org/users/16351564/items/MKL6GM6J"],"itemData":{"id":1264,"type":"article-journal","container-title":"Science","DOI":"10.1126/science.1248484","issue":"6181","journalAbbreviation":"Science","page":"296–299","title":"Assemblage Time Series Reveal Biodiversity Change but Not Systematic Loss","volume":"344","author":[{"family":"Dornelas","given":"Maria"},{"family":"Gotelli","given":"Nicholas J."},{"family":"McGill","given":"Brian"},{"family":"Shimadzu","given":"Hideyasu"},{"family":"Moyes","given":"Faye"},{"family":"Sievers","given":"Caya"},{"family":"Magurran","given":"Anne E."}],"issued":{"date-parts":[["2014",4]]}}}],"schema":"https://github.com/citation-style-language/schema/raw/master/csl-citation.json"}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(Dornelas et al. 2014)</w:t>
      </w:r>
      <w:r>
        <w:rPr>
          <w:rFonts w:ascii="Cambria" w:hAnsi="Cambria" w:cs="Times New Roman"/>
          <w:sz w:val="24"/>
          <w:szCs w:val="24"/>
        </w:rPr>
        <w:fldChar w:fldCharType="end"/>
      </w:r>
      <w:r w:rsidRPr="006E268C">
        <w:rPr>
          <w:rFonts w:ascii="Cambria" w:hAnsi="Cambria" w:cs="Times New Roman"/>
          <w:sz w:val="24"/>
          <w:szCs w:val="24"/>
        </w:rPr>
        <w:t>.</w:t>
      </w:r>
      <w:r>
        <w:rPr>
          <w:rFonts w:ascii="Cambria" w:hAnsi="Cambria" w:cs="Times New Roman"/>
          <w:sz w:val="24"/>
          <w:szCs w:val="24"/>
        </w:rPr>
        <w:t xml:space="preserve"> </w:t>
      </w:r>
    </w:p>
    <w:p w14:paraId="17B70512" w14:textId="79F0FB44" w:rsidR="00667110" w:rsidRDefault="00667110" w:rsidP="002023FE">
      <w:pPr>
        <w:spacing w:line="360" w:lineRule="auto"/>
        <w:rPr>
          <w:rFonts w:ascii="Cambria" w:hAnsi="Cambria"/>
          <w:sz w:val="24"/>
          <w:szCs w:val="24"/>
        </w:rPr>
      </w:pPr>
      <w:r>
        <w:rPr>
          <w:rFonts w:ascii="Cambria" w:hAnsi="Cambria"/>
          <w:sz w:val="24"/>
          <w:szCs w:val="24"/>
        </w:rPr>
        <w:t>The aim of this study is to evaluate how community dynamics like turnover, alpha diversity, and gamma diversity change over time in disturbance-mediated environments</w:t>
      </w:r>
      <w:r w:rsidRPr="00D87DDA">
        <w:rPr>
          <w:rFonts w:ascii="Cambria" w:hAnsi="Cambria"/>
          <w:sz w:val="24"/>
          <w:szCs w:val="24"/>
        </w:rPr>
        <w:t xml:space="preserve">. I </w:t>
      </w:r>
      <w:r>
        <w:rPr>
          <w:rFonts w:ascii="Cambria" w:hAnsi="Cambria"/>
          <w:sz w:val="24"/>
          <w:szCs w:val="24"/>
        </w:rPr>
        <w:t xml:space="preserve">will </w:t>
      </w:r>
      <w:r w:rsidRPr="00D87DDA">
        <w:rPr>
          <w:rFonts w:ascii="Cambria" w:hAnsi="Cambria"/>
          <w:sz w:val="24"/>
          <w:szCs w:val="24"/>
        </w:rPr>
        <w:t>compare these dynamics on reclaimed mining land</w:t>
      </w:r>
      <w:r w:rsidR="004B45F9">
        <w:rPr>
          <w:rFonts w:ascii="Cambria" w:hAnsi="Cambria"/>
          <w:sz w:val="24"/>
          <w:szCs w:val="24"/>
        </w:rPr>
        <w:t>s</w:t>
      </w:r>
      <w:r w:rsidRPr="00D87DDA">
        <w:rPr>
          <w:rFonts w:ascii="Cambria" w:hAnsi="Cambria"/>
          <w:sz w:val="24"/>
          <w:szCs w:val="24"/>
        </w:rPr>
        <w:t xml:space="preserve"> to two nearby open </w:t>
      </w:r>
      <w:r>
        <w:rPr>
          <w:rFonts w:ascii="Cambria" w:hAnsi="Cambria"/>
          <w:sz w:val="24"/>
          <w:szCs w:val="24"/>
        </w:rPr>
        <w:t xml:space="preserve">canopy </w:t>
      </w:r>
      <w:r w:rsidRPr="00D87DDA">
        <w:rPr>
          <w:rFonts w:ascii="Cambria" w:hAnsi="Cambria"/>
          <w:sz w:val="24"/>
          <w:szCs w:val="24"/>
        </w:rPr>
        <w:t>pine ecosystems</w:t>
      </w:r>
      <w:r>
        <w:rPr>
          <w:rFonts w:ascii="Cambria" w:hAnsi="Cambria"/>
          <w:sz w:val="24"/>
          <w:szCs w:val="24"/>
        </w:rPr>
        <w:t xml:space="preserve">: </w:t>
      </w:r>
      <w:r w:rsidRPr="00D87DDA">
        <w:rPr>
          <w:rFonts w:ascii="Cambria" w:hAnsi="Cambria"/>
          <w:sz w:val="24"/>
          <w:szCs w:val="24"/>
        </w:rPr>
        <w:t>an early</w:t>
      </w:r>
      <w:r w:rsidRPr="00D87DDA">
        <w:rPr>
          <w:rFonts w:ascii="Cambria" w:hAnsi="Cambria"/>
          <w:sz w:val="24"/>
          <w:szCs w:val="24"/>
        </w:rPr>
        <w:noBreakHyphen/>
        <w:t xml:space="preserve">successional longleaf pine </w:t>
      </w:r>
      <w:r w:rsidR="004B45F9">
        <w:rPr>
          <w:rFonts w:ascii="Cambria" w:hAnsi="Cambria"/>
          <w:sz w:val="24"/>
          <w:szCs w:val="24"/>
        </w:rPr>
        <w:t>forest</w:t>
      </w:r>
      <w:r w:rsidRPr="00D87DDA">
        <w:rPr>
          <w:rFonts w:ascii="Cambria" w:hAnsi="Cambria"/>
          <w:sz w:val="24"/>
          <w:szCs w:val="24"/>
        </w:rPr>
        <w:t xml:space="preserve"> and a mature longleaf pine </w:t>
      </w:r>
      <w:r w:rsidR="004B45F9">
        <w:rPr>
          <w:rFonts w:ascii="Cambria" w:hAnsi="Cambria"/>
          <w:sz w:val="24"/>
          <w:szCs w:val="24"/>
        </w:rPr>
        <w:t>forest</w:t>
      </w:r>
      <w:r w:rsidRPr="00D87DDA">
        <w:rPr>
          <w:rFonts w:ascii="Cambria" w:hAnsi="Cambria"/>
          <w:sz w:val="24"/>
          <w:szCs w:val="24"/>
        </w:rPr>
        <w:t xml:space="preserve">. I </w:t>
      </w:r>
      <w:r>
        <w:rPr>
          <w:rFonts w:ascii="Cambria" w:hAnsi="Cambria"/>
          <w:sz w:val="24"/>
          <w:szCs w:val="24"/>
        </w:rPr>
        <w:t>predict that</w:t>
      </w:r>
      <w:r w:rsidRPr="00D87DDA">
        <w:rPr>
          <w:rFonts w:ascii="Cambria" w:hAnsi="Cambria"/>
          <w:sz w:val="24"/>
          <w:szCs w:val="24"/>
        </w:rPr>
        <w:t xml:space="preserve"> reclaimed mining sites </w:t>
      </w:r>
      <w:r>
        <w:rPr>
          <w:rFonts w:ascii="Cambria" w:hAnsi="Cambria"/>
          <w:sz w:val="24"/>
          <w:szCs w:val="24"/>
        </w:rPr>
        <w:t>will</w:t>
      </w:r>
      <w:r w:rsidRPr="00D87DDA">
        <w:rPr>
          <w:rFonts w:ascii="Cambria" w:hAnsi="Cambria"/>
          <w:sz w:val="24"/>
          <w:szCs w:val="24"/>
        </w:rPr>
        <w:t xml:space="preserve"> exhibit elevated turnover </w:t>
      </w:r>
      <w:r w:rsidR="004B45F9">
        <w:rPr>
          <w:rFonts w:ascii="Cambria" w:hAnsi="Cambria"/>
          <w:sz w:val="24"/>
          <w:szCs w:val="24"/>
        </w:rPr>
        <w:t>compared to non-mining areas</w:t>
      </w:r>
      <w:r w:rsidR="002023FE">
        <w:rPr>
          <w:rFonts w:ascii="Cambria" w:hAnsi="Cambria"/>
          <w:sz w:val="24"/>
          <w:szCs w:val="24"/>
        </w:rPr>
        <w:t>. I also predict that disturbance age (i.e., years since a disturbance event) will have a positive effect on turnover, with the strongest effects occurring at the Mission Mine.</w:t>
      </w:r>
    </w:p>
    <w:p w14:paraId="62E2B799" w14:textId="6EBD0F90" w:rsidR="002023FE" w:rsidRDefault="002023FE" w:rsidP="002023FE">
      <w:pPr>
        <w:spacing w:line="360" w:lineRule="auto"/>
        <w:rPr>
          <w:rFonts w:ascii="Cambria" w:hAnsi="Cambria"/>
          <w:sz w:val="24"/>
          <w:szCs w:val="24"/>
        </w:rPr>
      </w:pPr>
      <w:r>
        <w:rPr>
          <w:rFonts w:ascii="Cambria" w:hAnsi="Cambria"/>
          <w:sz w:val="24"/>
          <w:szCs w:val="24"/>
        </w:rPr>
        <w:t>I predict that gamma and alpha diversity will be lower at the Mission Mine compared to both non-mining ecosystems. Similar to turnover, I predict that disturbance age will have a negative effect on alpha diversity at all sampling locations, but the strongest effects will be at the Mission Mine.</w:t>
      </w:r>
    </w:p>
    <w:p w14:paraId="085A08E6" w14:textId="1D4B5D83" w:rsidR="000C2F1F" w:rsidRDefault="000C2F1F" w:rsidP="002023FE">
      <w:pPr>
        <w:spacing w:line="360" w:lineRule="auto"/>
        <w:rPr>
          <w:rFonts w:ascii="Cambria" w:hAnsi="Cambria"/>
          <w:sz w:val="24"/>
          <w:szCs w:val="24"/>
        </w:rPr>
      </w:pPr>
      <w:r>
        <w:rPr>
          <w:rFonts w:ascii="Cambria" w:hAnsi="Cambria"/>
          <w:b/>
          <w:bCs/>
          <w:sz w:val="24"/>
          <w:szCs w:val="24"/>
        </w:rPr>
        <w:t>Methods</w:t>
      </w:r>
    </w:p>
    <w:p w14:paraId="245E552A" w14:textId="77777777" w:rsidR="006A3D5F" w:rsidRDefault="006A3D5F" w:rsidP="002023FE">
      <w:pPr>
        <w:tabs>
          <w:tab w:val="left" w:pos="1728"/>
        </w:tabs>
        <w:spacing w:line="360" w:lineRule="auto"/>
        <w:jc w:val="both"/>
        <w:rPr>
          <w:rFonts w:ascii="Cambria" w:hAnsi="Cambria"/>
          <w:i/>
          <w:iCs/>
          <w:sz w:val="24"/>
          <w:szCs w:val="24"/>
        </w:rPr>
      </w:pPr>
      <w:r>
        <w:rPr>
          <w:rFonts w:ascii="Cambria" w:hAnsi="Cambria"/>
          <w:i/>
          <w:iCs/>
          <w:sz w:val="24"/>
          <w:szCs w:val="24"/>
        </w:rPr>
        <w:lastRenderedPageBreak/>
        <w:t>Study Area</w:t>
      </w:r>
    </w:p>
    <w:p w14:paraId="5ECA645A" w14:textId="77777777" w:rsidR="002023FE" w:rsidRDefault="002023FE" w:rsidP="002023FE">
      <w:pPr>
        <w:tabs>
          <w:tab w:val="left" w:pos="1728"/>
        </w:tabs>
        <w:spacing w:line="360" w:lineRule="auto"/>
        <w:jc w:val="both"/>
        <w:rPr>
          <w:rFonts w:ascii="Cambria" w:hAnsi="Cambria" w:cs="Times New Roman"/>
          <w:sz w:val="24"/>
          <w:szCs w:val="24"/>
        </w:rPr>
      </w:pPr>
      <w:r>
        <w:rPr>
          <w:rFonts w:ascii="Cambria" w:hAnsi="Cambria"/>
          <w:sz w:val="24"/>
          <w:szCs w:val="24"/>
        </w:rPr>
        <w:t xml:space="preserve">This study took place in the southeastern coastal plain of Georgia, USA, in </w:t>
      </w:r>
      <w:r w:rsidRPr="000C3625">
        <w:rPr>
          <w:rFonts w:ascii="Cambria" w:hAnsi="Cambria" w:cs="Times New Roman"/>
          <w:sz w:val="24"/>
          <w:szCs w:val="24"/>
        </w:rPr>
        <w:t>Charlton, Brantley, Folkston, and Wayne counties</w:t>
      </w:r>
      <w:r>
        <w:rPr>
          <w:rFonts w:ascii="Cambria" w:hAnsi="Cambria" w:cs="Times New Roman"/>
          <w:sz w:val="24"/>
          <w:szCs w:val="24"/>
        </w:rPr>
        <w:t xml:space="preserve">. Climate in this region is influenced by topical maritime air. Therefore, spring, fall, and summer are hot and wet with mean monthly  temperatures of 22 – 26°C and mean monthly rainfall of 100 – 130 mm from May – September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{"citationID":"VPxEVSXr","properties":{"formattedCitation":"(Climatology 1987)","plainCitation":"(Climatology 1987)","noteIndex":0},"citationItems":[{"id":1476,"uris":["http://zotero.org/users/16351564/items/6XRXPUY3"],"itemData":{"id":1476,"type":"article-journal","container-title":"The Climates of cological","journalAbbreviation":"The Climates of cological","page":"67","title":"Okefenokee National Wildlife Refugre, Georgia","author":[{"family":"Climatology","given":"Synoptic"}],"issued":{"date-parts":[["1987"]]}}}],"schema":"https://github.com/citation-style-language/schema/raw/master/csl-citation.json"} </w:instrText>
      </w:r>
      <w:r>
        <w:rPr>
          <w:rFonts w:ascii="Cambria" w:hAnsi="Cambria" w:cs="Times New Roman"/>
          <w:sz w:val="24"/>
          <w:szCs w:val="24"/>
        </w:rPr>
        <w:fldChar w:fldCharType="separate"/>
      </w:r>
      <w:r w:rsidRPr="009E5452">
        <w:rPr>
          <w:rFonts w:ascii="Cambria" w:hAnsi="Cambria"/>
          <w:sz w:val="24"/>
        </w:rPr>
        <w:t>(Climatology 1987)</w:t>
      </w:r>
      <w:r>
        <w:rPr>
          <w:rFonts w:ascii="Cambria" w:hAnsi="Cambria" w:cs="Times New Roman"/>
          <w:sz w:val="24"/>
          <w:szCs w:val="24"/>
        </w:rPr>
        <w:fldChar w:fldCharType="end"/>
      </w:r>
      <w:r>
        <w:rPr>
          <w:rFonts w:ascii="Cambria" w:hAnsi="Cambria" w:cs="Times New Roman"/>
          <w:sz w:val="24"/>
          <w:szCs w:val="24"/>
        </w:rPr>
        <w:t xml:space="preserve">. We monitored bird species at 27 survey points within three locations: </w:t>
      </w:r>
      <w:r>
        <w:rPr>
          <w:rFonts w:ascii="Cambria" w:hAnsi="Cambria"/>
          <w:sz w:val="24"/>
          <w:szCs w:val="24"/>
        </w:rPr>
        <w:t>the Mission Mine (n = 9), Sansavilla Wildlife Management Area (Sansavilla WMA, n = 10), and Okefenokee National Wildlife Refuge (Okefenokee NWR, n= 8) (</w:t>
      </w:r>
      <w:r w:rsidRPr="001F0A48">
        <w:rPr>
          <w:rFonts w:ascii="Cambria" w:hAnsi="Cambria"/>
          <w:b/>
          <w:bCs/>
          <w:sz w:val="24"/>
          <w:szCs w:val="24"/>
        </w:rPr>
        <w:t>Figure 1</w:t>
      </w:r>
      <w:r>
        <w:rPr>
          <w:rFonts w:ascii="Cambria" w:hAnsi="Cambria"/>
          <w:sz w:val="24"/>
          <w:szCs w:val="24"/>
        </w:rPr>
        <w:t xml:space="preserve">). </w:t>
      </w:r>
      <w:r>
        <w:rPr>
          <w:rFonts w:ascii="Cambria" w:hAnsi="Cambria" w:cs="Times New Roman"/>
          <w:sz w:val="24"/>
          <w:szCs w:val="24"/>
        </w:rPr>
        <w:t>These areas are flat with predominantly sandy soils, and low basal area of loblolly (</w:t>
      </w:r>
      <w:r>
        <w:rPr>
          <w:rFonts w:ascii="Cambria" w:hAnsi="Cambria" w:cs="Times New Roman"/>
          <w:i/>
          <w:iCs/>
          <w:sz w:val="24"/>
          <w:szCs w:val="24"/>
        </w:rPr>
        <w:t>Pinus taeda</w:t>
      </w:r>
      <w:r>
        <w:rPr>
          <w:rFonts w:ascii="Cambria" w:hAnsi="Cambria" w:cs="Times New Roman"/>
          <w:sz w:val="24"/>
          <w:szCs w:val="24"/>
        </w:rPr>
        <w:t>) and longleaf (</w:t>
      </w:r>
      <w:r>
        <w:rPr>
          <w:rFonts w:ascii="Cambria" w:hAnsi="Cambria" w:cs="Times New Roman"/>
          <w:i/>
          <w:iCs/>
          <w:sz w:val="24"/>
          <w:szCs w:val="24"/>
        </w:rPr>
        <w:t>Pinus palustris</w:t>
      </w:r>
      <w:r>
        <w:rPr>
          <w:rFonts w:ascii="Cambria" w:hAnsi="Cambria" w:cs="Times New Roman"/>
          <w:sz w:val="24"/>
          <w:szCs w:val="24"/>
        </w:rPr>
        <w:t xml:space="preserve">) pine trees. </w:t>
      </w:r>
    </w:p>
    <w:p w14:paraId="0A2D39D4" w14:textId="77777777" w:rsidR="006A3D5F" w:rsidRDefault="006A3D5F" w:rsidP="002023FE">
      <w:pPr>
        <w:keepNext/>
        <w:spacing w:line="360" w:lineRule="auto"/>
      </w:pPr>
      <w:r w:rsidRPr="00317993">
        <w:rPr>
          <w:rFonts w:ascii="Cambria" w:hAnsi="Cambria"/>
          <w:noProof/>
        </w:rPr>
        <w:drawing>
          <wp:inline distT="0" distB="0" distL="0" distR="0" wp14:anchorId="4B7576A1" wp14:editId="3482CD5C">
            <wp:extent cx="5943600" cy="3328670"/>
            <wp:effectExtent l="0" t="0" r="0" b="5080"/>
            <wp:docPr id="1535305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28670"/>
                    </a:xfrm>
                    <a:prstGeom prst="rect">
                      <a:avLst/>
                    </a:prstGeom>
                    <a:noFill/>
                    <a:ln>
                      <a:noFill/>
                    </a:ln>
                  </pic:spPr>
                </pic:pic>
              </a:graphicData>
            </a:graphic>
          </wp:inline>
        </w:drawing>
      </w:r>
    </w:p>
    <w:p w14:paraId="3BC2F22B" w14:textId="5BFAF3A1" w:rsidR="006A3D5F" w:rsidRPr="00890E01" w:rsidRDefault="006A3D5F" w:rsidP="002023FE">
      <w:pPr>
        <w:pStyle w:val="Caption"/>
        <w:jc w:val="both"/>
        <w:rPr>
          <w:rFonts w:ascii="Cambria" w:hAnsi="Cambria"/>
          <w:i w:val="0"/>
          <w:iCs w:val="0"/>
          <w:color w:val="auto"/>
          <w:sz w:val="20"/>
          <w:szCs w:val="20"/>
        </w:rPr>
      </w:pPr>
      <w:r w:rsidRPr="00890E01">
        <w:rPr>
          <w:rFonts w:ascii="Cambria" w:hAnsi="Cambria"/>
          <w:b/>
          <w:bCs/>
          <w:i w:val="0"/>
          <w:iCs w:val="0"/>
          <w:color w:val="auto"/>
          <w:sz w:val="20"/>
          <w:szCs w:val="20"/>
        </w:rPr>
        <w:t>Figure 1:</w:t>
      </w:r>
      <w:r w:rsidRPr="00890E01">
        <w:rPr>
          <w:rFonts w:ascii="Cambria" w:hAnsi="Cambria"/>
          <w:i w:val="0"/>
          <w:iCs w:val="0"/>
          <w:color w:val="auto"/>
          <w:sz w:val="20"/>
          <w:szCs w:val="20"/>
        </w:rPr>
        <w:t xml:space="preserve"> Map of </w:t>
      </w:r>
      <w:r w:rsidR="00890E01">
        <w:rPr>
          <w:rFonts w:ascii="Cambria" w:hAnsi="Cambria"/>
          <w:i w:val="0"/>
          <w:iCs w:val="0"/>
          <w:color w:val="auto"/>
          <w:sz w:val="20"/>
          <w:szCs w:val="20"/>
        </w:rPr>
        <w:t>study area. This study took place in Georgia, USA at three sampling locations: Sansavilla WMA, Mission Mine, and Okefenokee NWR.</w:t>
      </w:r>
      <w:r w:rsidR="00C35E08">
        <w:rPr>
          <w:rFonts w:ascii="Cambria" w:hAnsi="Cambria"/>
          <w:i w:val="0"/>
          <w:iCs w:val="0"/>
          <w:color w:val="auto"/>
          <w:sz w:val="20"/>
          <w:szCs w:val="20"/>
        </w:rPr>
        <w:t xml:space="preserve"> A total of 27 survey points across these three sampling locations were monitored using acoustic detectors. </w:t>
      </w:r>
    </w:p>
    <w:p w14:paraId="60216D0D" w14:textId="7777777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Mission Mine is an active heavy mineral surface mine with ongoing reclamation (CITE). Reclaimed areas are restored with their original topsoil and then replanted with loblolly pine seedlings (CITE). Herbicides targeting grasses and hardwoods are applied to promote growth of pines (CITE). But after planting, no management practices occur. Land is not reclaimed synchronously, and therefore a mosaic of differently-aged pine stands form (CITE). </w:t>
      </w:r>
      <w:r>
        <w:rPr>
          <w:rFonts w:ascii="Cambria" w:hAnsi="Cambria" w:cs="Times New Roman"/>
          <w:sz w:val="24"/>
          <w:szCs w:val="24"/>
        </w:rPr>
        <w:lastRenderedPageBreak/>
        <w:t xml:space="preserve">When surveys began in 2023, sites within the Mine ranged from 1-year post reclamation to 5-years (see TABLE). Because no fire or other management occurs within the reclaimed areas, time since disturbance advances linearly with year. We assigned the year land was reclaimed as year 0.  </w:t>
      </w:r>
    </w:p>
    <w:p w14:paraId="7D6184E1" w14:textId="63B84C6A"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Sansavilla WMA protects tracts of young longleaf pine forest that were restored in </w:t>
      </w:r>
      <w:r w:rsidRPr="002023FE">
        <w:rPr>
          <w:rFonts w:ascii="Cambria" w:hAnsi="Cambria" w:cs="Times New Roman"/>
          <w:sz w:val="24"/>
          <w:szCs w:val="24"/>
        </w:rPr>
        <w:t>2015</w:t>
      </w:r>
      <w:r>
        <w:rPr>
          <w:rFonts w:ascii="Cambria" w:hAnsi="Cambria" w:cs="Times New Roman"/>
          <w:sz w:val="24"/>
          <w:szCs w:val="24"/>
        </w:rPr>
        <w:t xml:space="preserve">. Managed by Georgia Department of Natural Resources, fire is used to maintain open canopy conditions and thin understory vegetation. Tracts are not managed with identical fire regimes, but typically prescribed burns occur every 2 -3 years. A complete fire history during our survey was provided by department staff. </w:t>
      </w:r>
    </w:p>
    <w:p w14:paraId="2133A0EE" w14:textId="752EED31"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Okefenokee NWR harbors some of the oldest longleaf pine forest in North America (CITE). Known as one of the largest peat-producing wetlands in the world, the Okefenokee swamp is surrounded by stands of longleaf pine that are </w:t>
      </w:r>
      <w:r w:rsidRPr="002023FE">
        <w:rPr>
          <w:rFonts w:ascii="Cambria" w:hAnsi="Cambria" w:cs="Times New Roman"/>
          <w:sz w:val="24"/>
          <w:szCs w:val="24"/>
        </w:rPr>
        <w:t>&gt; 60 years old</w:t>
      </w:r>
      <w:r>
        <w:rPr>
          <w:rFonts w:ascii="Cambria" w:hAnsi="Cambria" w:cs="Times New Roman"/>
          <w:sz w:val="24"/>
          <w:szCs w:val="24"/>
        </w:rPr>
        <w:t xml:space="preserve">. These mature longleaf pine stands are vitally important for many species associated with open canopy pine conditions (CITE). Management practices focus heavily on maintaining conditions for a few endangered and threatened species, notably Red-cockaded Woodpecker (), Gopher Tortoise (), and Indigo Snake () (CITE). Prescribed fire is used to clear undergrowth and maintain open canopy conditions (CITE). Burning occurs at 2 or 3 year intervals within the upland environment. A complete fire history during our survey period was provided by staff (see TABLE). </w:t>
      </w:r>
    </w:p>
    <w:p w14:paraId="7CBC5B7A" w14:textId="77777777" w:rsidR="006A3D5F" w:rsidRDefault="006A3D5F" w:rsidP="002023FE">
      <w:pPr>
        <w:tabs>
          <w:tab w:val="left" w:pos="1728"/>
        </w:tabs>
        <w:spacing w:line="360" w:lineRule="auto"/>
        <w:jc w:val="both"/>
        <w:rPr>
          <w:rFonts w:ascii="Cambria" w:hAnsi="Cambria"/>
          <w:sz w:val="24"/>
          <w:szCs w:val="24"/>
        </w:rPr>
      </w:pPr>
      <w:r>
        <w:rPr>
          <w:rFonts w:ascii="Cambria" w:hAnsi="Cambria"/>
          <w:i/>
          <w:iCs/>
          <w:sz w:val="24"/>
          <w:szCs w:val="24"/>
        </w:rPr>
        <w:t>Acoustic Sampling and Recording Sites</w:t>
      </w:r>
    </w:p>
    <w:p w14:paraId="610E4AB5" w14:textId="01393C24" w:rsidR="006A3D5F" w:rsidRDefault="006A3D5F" w:rsidP="002023FE">
      <w:pPr>
        <w:tabs>
          <w:tab w:val="left" w:pos="1728"/>
        </w:tabs>
        <w:spacing w:line="360" w:lineRule="auto"/>
        <w:jc w:val="both"/>
        <w:rPr>
          <w:rFonts w:ascii="Cambria" w:hAnsi="Cambria" w:cs="Times New Roman"/>
          <w:sz w:val="24"/>
          <w:szCs w:val="24"/>
        </w:rPr>
      </w:pPr>
      <w:r>
        <w:rPr>
          <w:rFonts w:ascii="Cambria" w:hAnsi="Cambria"/>
          <w:sz w:val="24"/>
          <w:szCs w:val="24"/>
        </w:rPr>
        <w:t>We collected data from 2023 – 2026 at the Mission Mine and Sansavilla WMA, and from 2024 – 2026 at Okefenokee NWR. We used Wildlife Acoustics Song Meter Mini and Mini 2 (</w:t>
      </w:r>
      <w:r w:rsidRPr="005519A9">
        <w:rPr>
          <w:rFonts w:ascii="Cambria" w:hAnsi="Cambria" w:cs="Times New Roman"/>
          <w:sz w:val="24"/>
          <w:szCs w:val="24"/>
        </w:rPr>
        <w:t>Wildlife Acoustics Inc., Maynard, MA, USA</w:t>
      </w:r>
      <w:r>
        <w:rPr>
          <w:rFonts w:ascii="Cambria" w:hAnsi="Cambria" w:cs="Times New Roman"/>
          <w:sz w:val="24"/>
          <w:szCs w:val="24"/>
        </w:rPr>
        <w:t>)</w:t>
      </w:r>
      <w:r>
        <w:rPr>
          <w:rFonts w:ascii="Cambria" w:hAnsi="Cambria"/>
          <w:sz w:val="24"/>
          <w:szCs w:val="24"/>
        </w:rPr>
        <w:t xml:space="preserve"> autonomous recording units </w:t>
      </w:r>
      <w:r>
        <w:rPr>
          <w:rFonts w:ascii="Cambria" w:hAnsi="Cambria" w:cs="Times New Roman"/>
          <w:sz w:val="24"/>
          <w:szCs w:val="24"/>
        </w:rPr>
        <w:t xml:space="preserve">(ARUs) to survey bird species. Every ARU was calibrated and programmed to record 16-bit WAV audio daily for 67 minutes with +18 dB gain and at a sampling rate of 44.1 kHz. Recordings were taken in the morning and evening to match peak bird activity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{"citationID":"QUdUf3ZJ","properties":{"formattedCitation":"(Robbins 1981)","plainCitation":"(Robbins 1981)","noteIndex":0},"citationItems":[{"id":1339,"uris":["http://zotero.org/users/16351564/items/D7G9L42N"],"itemData":{"id":1339,"type":"article-journal","container-title":"Studies in avian biology","issue":"1","journalAbbreviation":"Studies in avian biology","page":"60","title":"Effect of time of day on bird activity","volume":"6","author":[{"family":"Robbins","given":"Chandler S"}],"issued":{"date-parts":[["1981"]]}}}],"schema":"https://github.com/citation-style-language/schema/raw/master/csl-citation.json"} </w:instrText>
      </w:r>
      <w:r>
        <w:rPr>
          <w:rFonts w:ascii="Cambria" w:hAnsi="Cambria" w:cs="Times New Roman"/>
          <w:sz w:val="24"/>
          <w:szCs w:val="24"/>
        </w:rPr>
        <w:fldChar w:fldCharType="separate"/>
      </w:r>
      <w:r w:rsidRPr="00063A27">
        <w:rPr>
          <w:rFonts w:ascii="Cambria" w:hAnsi="Cambria"/>
          <w:sz w:val="24"/>
        </w:rPr>
        <w:t>(Robbins 1981)</w:t>
      </w:r>
      <w:r>
        <w:rPr>
          <w:rFonts w:ascii="Cambria" w:hAnsi="Cambria" w:cs="Times New Roman"/>
          <w:sz w:val="24"/>
          <w:szCs w:val="24"/>
        </w:rPr>
        <w:fldChar w:fldCharType="end"/>
      </w:r>
      <w:r>
        <w:rPr>
          <w:rFonts w:ascii="Cambria" w:hAnsi="Cambria" w:cs="Times New Roman"/>
          <w:sz w:val="24"/>
          <w:szCs w:val="24"/>
        </w:rPr>
        <w:t xml:space="preserve"> and ensure coverage of crepuscular and nocturnal species (</w:t>
      </w:r>
      <w:r w:rsidR="008233BD" w:rsidRPr="00C10469">
        <w:rPr>
          <w:rFonts w:ascii="Cambria" w:hAnsi="Cambria" w:cs="Times New Roman"/>
          <w:b/>
          <w:bCs/>
          <w:sz w:val="24"/>
          <w:szCs w:val="24"/>
        </w:rPr>
        <w:t>Figure</w:t>
      </w:r>
      <w:r w:rsidRPr="00C10469">
        <w:rPr>
          <w:rFonts w:ascii="Cambria" w:hAnsi="Cambria" w:cs="Times New Roman"/>
          <w:b/>
          <w:bCs/>
          <w:sz w:val="24"/>
          <w:szCs w:val="24"/>
        </w:rPr>
        <w:t xml:space="preserve"> </w:t>
      </w:r>
      <w:r w:rsidR="00890E01" w:rsidRPr="00C10469">
        <w:rPr>
          <w:rFonts w:ascii="Cambria" w:hAnsi="Cambria" w:cs="Times New Roman"/>
          <w:b/>
          <w:bCs/>
          <w:sz w:val="24"/>
          <w:szCs w:val="24"/>
        </w:rPr>
        <w:t>2</w:t>
      </w:r>
      <w:r>
        <w:rPr>
          <w:rFonts w:ascii="Cambria" w:hAnsi="Cambria" w:cs="Times New Roman"/>
          <w:sz w:val="24"/>
          <w:szCs w:val="24"/>
        </w:rPr>
        <w:t xml:space="preserve">). Our recording schedule used high daily temporal resolution, which improves detection probability and diversity estimates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{"citationID":"E0BDdgtl","properties":{"formattedCitation":"(Metcalf et al. 2022)","plainCitation":"(Metcalf et al. 2022)","noteIndex":0},"citationItems":[{"id":1487,"uris":["http://zotero.org/users/16351564/items/WRAUWKLW"],"itemData":{"id":1487,"type":"article-journal","abstract":"Abstract\n            Estimation of avian biodiversity is a cornerstone measure of ecosystem condition. Surveys conducted using autonomous recorders are often more efficient at estimating diversity than traditional point‐count surveys. However, there is limited research into the optimal temporal resolution for sampling—the trade‐off between the number of samples and sample duration when sampling a survey window with a fixed survey effort—despite autonomous recorders allowing easy repeat sampling compared to traditional survey methods. We assess whether the additional temporal coverage from high temporal resolution (HTR) sampling, consisting of 240 15‐s samples spread randomly across a survey window detects higher alpha and gamma diversity than low temporal resolution (LTR) sampling of four 15‐min samples at the same locations. We do so using an acoustic dataset collected from 29 locations in a region of very high avian biodiversity—the eastern Brazilian Amazon. We find HTR sampling outperforms LTR sampling in every metric considered, with HTR sampling predicted to detect approximately 50% higher alpha diversity, and 10% higher gamma diversity. This effect is primarily driven by increased coverage of variation in detectability across the morning, with the earliest period containing a distinct community that is often under sampled using LTR sampling. LTR sampling produced almost four times as many false absences for species presence. Additionally, LTR sampling incorrectly found 70 species (34%) at only a single forest type when they were in fact present in multiple forest types, while the use of HTR sampling reduced this to just two species (0.9%). When considering multiple independent detections of species, HTR sampling detected three times more uncommon species than LTR sampling. We conclude that high temporal resolution sampling of passive‐acoustic monitoring‐based surveys should be considered the primary method for estimating the species richness of bird communities in tropical forests.","container-title":"Remote Sensing in Ecology and Conservation","DOI":"10.1002/rse2.227","ISSN":"2056-3485, 2056-3485","issue":"1","journalAbbreviation":"Remote Sens Ecol Conserv","language":"en","page":"45-56","source":"DOI.org (Crossref)","title":"Optimizing tropical forest bird surveys using passive acoustic monitoring and high temporal resolution sampling","volume":"8","author":[{"family":"Metcalf","given":"Oliver C."},{"family":"Barlow","given":"Jos"},{"family":"Marsden","given":"Stuart"},{"family":"Gomes De Moura","given":"Nárgila"},{"family":"Berenguer","given":"Erika"},{"family":"Ferreira","given":"Joice"},{"family":"Lees","given":"Alexander C."}],"editor":[{"family":"Pettorelli","given":"Nathalie"},{"family":"Astaras","given":"Christos"}],"issued":{"date-parts":[["2022",2]]}}}],"schema":"https://github.com/citation-style-language/schema/raw/master/csl-citation.json"} </w:instrText>
      </w:r>
      <w:r>
        <w:rPr>
          <w:rFonts w:ascii="Cambria" w:hAnsi="Cambria" w:cs="Times New Roman"/>
          <w:sz w:val="24"/>
          <w:szCs w:val="24"/>
        </w:rPr>
        <w:fldChar w:fldCharType="separate"/>
      </w:r>
      <w:r w:rsidRPr="00D20576">
        <w:rPr>
          <w:rFonts w:ascii="Cambria" w:hAnsi="Cambria"/>
          <w:sz w:val="24"/>
        </w:rPr>
        <w:t>(Metcalf et al. 2022)</w:t>
      </w:r>
      <w:r>
        <w:rPr>
          <w:rFonts w:ascii="Cambria" w:hAnsi="Cambria" w:cs="Times New Roman"/>
          <w:sz w:val="24"/>
          <w:szCs w:val="24"/>
        </w:rPr>
        <w:fldChar w:fldCharType="end"/>
      </w:r>
      <w:r>
        <w:rPr>
          <w:rFonts w:ascii="Cambria" w:hAnsi="Cambria" w:cs="Times New Roman"/>
          <w:sz w:val="24"/>
          <w:szCs w:val="24"/>
        </w:rPr>
        <w:t xml:space="preserve">. Surveys were conducted from March – September; however, for this study we </w:t>
      </w:r>
      <w:r>
        <w:rPr>
          <w:rFonts w:ascii="Cambria" w:hAnsi="Cambria" w:cs="Times New Roman"/>
          <w:sz w:val="24"/>
          <w:szCs w:val="24"/>
        </w:rPr>
        <w:lastRenderedPageBreak/>
        <w:t>only analyzed data collected between June 1 and June 30. All ARUs were randomly established at survey points within our three locations</w:t>
      </w:r>
      <w:r w:rsidR="008233BD">
        <w:rPr>
          <w:rFonts w:ascii="Cambria" w:hAnsi="Cambria" w:cs="Times New Roman"/>
          <w:sz w:val="24"/>
          <w:szCs w:val="24"/>
        </w:rPr>
        <w:t xml:space="preserve">. </w:t>
      </w:r>
      <w:r>
        <w:rPr>
          <w:rFonts w:ascii="Cambria" w:hAnsi="Cambria" w:cs="Times New Roman"/>
          <w:sz w:val="24"/>
          <w:szCs w:val="24"/>
        </w:rPr>
        <w:t>However, units were constrained to environments within our area of inference (i.e., newly-reclaimed land at Mission Mine, recently-restored longleaf pine at Sansavilla, and mature longleaf pine at Okefenokee</w:t>
      </w:r>
      <w:r w:rsidR="008233BD">
        <w:rPr>
          <w:rFonts w:ascii="Cambria" w:hAnsi="Cambria" w:cs="Times New Roman"/>
          <w:sz w:val="24"/>
          <w:szCs w:val="24"/>
        </w:rPr>
        <w:t xml:space="preserve">). </w:t>
      </w:r>
      <w:r>
        <w:rPr>
          <w:rFonts w:ascii="Cambria" w:hAnsi="Cambria" w:cs="Times New Roman"/>
          <w:sz w:val="24"/>
          <w:szCs w:val="24"/>
        </w:rPr>
        <w:t xml:space="preserve">To reduce spatial autocorrelation and assume independence among survey points, we implemented a 225m buffer around each ARU (i.e., 450m distance between units)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{"citationID":"rEAviGdp","properties":{"formattedCitation":"(Digby et al. 2013, Thomas et al. 2020, Winiarska et al. 2025, Clapp et al. 2026)","plainCitation":"(Digby et al. 2013, Thomas et al. 2020, Winiarska et al. 2025, Clapp et al. 2026)","noteIndex":0},"citationItems":[{"id":1271,"uris":["http://zotero.org/users/16351564/items/KX959KMP"],"itemData":{"id":1271,"type":"article-journal","container-title":"Methods in Ecology and Evolution","DOI":"10.1111/2041-210x.12060","issue":"7","journalAbbreviation":"Methods in Ecology and Evolution","page":"675–683","title":"A practical comparison of manual and autonomous methods for acoustic monitoring","volume":"4","author":[{"family":"Digby","given":"Andrew"},{"family":"Towsey","given":"Michael"},{"family":"Bell","given":"Ben D."},{"family":"Teal","given":"Paul D."}],"issued":{"date-parts":[["2013",5]]}},"label":"page"},{"id":1274,"uris":["http://zotero.org/users/16351564/items/LM9754FX"],"itemData":{"id":1274,"type":"article-journal","container-title":"Emu - Austral Ornithology","DOI":"10.1080/01584197.2020.1787848","issue":"3","journalAbbreviation":"Emu - Austral Ornithology","page":"239–248","title":"If a bird calls, will we detect it? Factors that can influence the detectability of calls on automated recording units in field conditions","volume":"120","author":[{"family":"Thomas","given":"Abby"},{"family":"Speldewinde","given":"Peter"},{"family":"Roberts","given":"J. Dale"},{"family":"Burbidge","given":"Allan H."},{"family":"Comer","given":"Sarah"}],"issued":{"date-parts":[["2020",7]]}},"label":"page"},{"id":1483,"uris":["http://zotero.org/users/16351564/items/MUAK8FW8"],"itemData":{"id":1483,"type":"article-journal","container-title":"Ecological Indicators","DOI":"10.1016/j.ecolind.2025.113747","ISSN":"1470160X","journalAbbreviation":"Ecological Indicators","language":"en","page":"113747","source":"DOI.org (Crossref)","title":"BirdNET provides superior diversity estimates compared to observer-based surveys in long-term monitoring","volume":"177","author":[{"family":"Winiarska","given":"Dominika"},{"family":"Neubauer","given":"Grzegorz"},{"family":"Budka","given":"Michał"},{"family":"Szymański","given":"Paweł"},{"family":"Barczyk","given":"Julia"},{"family":"Cholewa","given":"Marta"},{"family":"Osiejuk","given":"Tomasz S."}],"issued":{"date-parts":[["2025",8]]}}},{"id":1485,"uris":["http://zotero.org/users/16351564/items/55UG3RJX"],"itemData":{"id":1485,"type":"article-journal","container-title":"Ecology and Evolution","ISSN":"2045-7758","issue":"2","journalAbbreviation":"Ecology and Evolution","page":"e73020","publisher":"Wiley Online Library","title":"Passive Acoustic Data as Phenological Distributions: Uncovering Signals of Temporal Ecology","volume":"16","author":[{"family":"Clapp","given":"Mary K"},{"family":"Tingley","given":"Morgan W"},{"family":"Lesmeister","given":"Damon B"},{"family":"Gremel","given":"Scott A"},{"family":"Ransom","given":"Jason I"},{"family":"Holmgren","given":"Mandy L"},{"family":"Siegel","given":"Rodney B"}],"issued":{"date-parts":[["2026"]]}}}],"schema":"https://github.com/citation-style-language/schema/raw/master/csl-citation.json"} </w:instrText>
      </w:r>
      <w:r>
        <w:rPr>
          <w:rFonts w:ascii="Cambria" w:hAnsi="Cambria" w:cs="Times New Roman"/>
          <w:sz w:val="24"/>
          <w:szCs w:val="24"/>
        </w:rPr>
        <w:fldChar w:fldCharType="separate"/>
      </w:r>
      <w:r w:rsidRPr="00381A87">
        <w:rPr>
          <w:rFonts w:ascii="Cambria" w:hAnsi="Cambria"/>
          <w:sz w:val="24"/>
        </w:rPr>
        <w:t>(Digby et al. 2013, Thomas et al. 2020, Winiarska et al. 2025, Clapp et al. 2026)</w:t>
      </w:r>
      <w:r>
        <w:rPr>
          <w:rFonts w:ascii="Cambria" w:hAnsi="Cambria" w:cs="Times New Roman"/>
          <w:sz w:val="24"/>
          <w:szCs w:val="24"/>
        </w:rPr>
        <w:fldChar w:fldCharType="end"/>
      </w:r>
      <w:r>
        <w:rPr>
          <w:rFonts w:ascii="Cambria" w:hAnsi="Cambria" w:cs="Times New Roman"/>
          <w:sz w:val="24"/>
          <w:szCs w:val="24"/>
        </w:rPr>
        <w:t xml:space="preserve">. </w:t>
      </w:r>
    </w:p>
    <w:p w14:paraId="5F8C4308" w14:textId="77777777" w:rsidR="00890E01" w:rsidRDefault="00890E01" w:rsidP="002023FE">
      <w:pPr>
        <w:keepNext/>
        <w:tabs>
          <w:tab w:val="left" w:pos="1728"/>
        </w:tabs>
        <w:spacing w:line="360" w:lineRule="auto"/>
        <w:jc w:val="both"/>
      </w:pPr>
      <w:r w:rsidRPr="00890E01">
        <w:rPr>
          <w:rFonts w:ascii="Cambria" w:hAnsi="Cambria" w:cs="Times New Roman"/>
          <w:noProof/>
          <w:sz w:val="24"/>
          <w:szCs w:val="24"/>
        </w:rPr>
        <w:drawing>
          <wp:inline distT="0" distB="0" distL="0" distR="0" wp14:anchorId="256FD098" wp14:editId="4D235D09">
            <wp:extent cx="5943600" cy="2971800"/>
            <wp:effectExtent l="0" t="0" r="0" b="0"/>
            <wp:docPr id="140748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500DCC7" w14:textId="57D6467D" w:rsidR="00890E01" w:rsidRDefault="00890E01" w:rsidP="002023FE">
      <w:pPr>
        <w:pStyle w:val="Caption"/>
        <w:jc w:val="both"/>
        <w:rPr>
          <w:rFonts w:ascii="Cambria" w:hAnsi="Cambria" w:cs="Times New Roman"/>
          <w:sz w:val="24"/>
          <w:szCs w:val="24"/>
        </w:rPr>
      </w:pPr>
      <w:r w:rsidRPr="00890E01">
        <w:rPr>
          <w:rFonts w:ascii="Cambria" w:hAnsi="Cambria"/>
          <w:b/>
          <w:bCs/>
          <w:i w:val="0"/>
          <w:iCs w:val="0"/>
          <w:color w:val="auto"/>
          <w:sz w:val="20"/>
          <w:szCs w:val="20"/>
        </w:rPr>
        <w:t>Figure 2:</w:t>
      </w:r>
      <w:r w:rsidRPr="00890E01">
        <w:rPr>
          <w:rFonts w:ascii="Cambria" w:hAnsi="Cambria"/>
          <w:i w:val="0"/>
          <w:iCs w:val="0"/>
          <w:color w:val="auto"/>
          <w:sz w:val="20"/>
          <w:szCs w:val="20"/>
        </w:rPr>
        <w:t xml:space="preserve"> Schedule used to record bird species using ARU</w:t>
      </w:r>
      <w:r w:rsidR="00F6451C">
        <w:rPr>
          <w:rFonts w:ascii="Cambria" w:hAnsi="Cambria"/>
          <w:i w:val="0"/>
          <w:iCs w:val="0"/>
          <w:color w:val="auto"/>
          <w:sz w:val="20"/>
          <w:szCs w:val="20"/>
        </w:rPr>
        <w:t>s</w:t>
      </w:r>
      <w:r w:rsidRPr="00890E01">
        <w:rPr>
          <w:rFonts w:ascii="Cambria" w:hAnsi="Cambria"/>
          <w:i w:val="0"/>
          <w:iCs w:val="0"/>
          <w:color w:val="auto"/>
          <w:sz w:val="20"/>
          <w:szCs w:val="20"/>
        </w:rPr>
        <w:t xml:space="preserve">. To maximize the number of </w:t>
      </w:r>
      <w:r w:rsidR="00F6451C">
        <w:rPr>
          <w:rFonts w:ascii="Cambria" w:hAnsi="Cambria"/>
          <w:i w:val="0"/>
          <w:iCs w:val="0"/>
          <w:color w:val="auto"/>
          <w:sz w:val="20"/>
          <w:szCs w:val="20"/>
        </w:rPr>
        <w:t xml:space="preserve">detectable </w:t>
      </w:r>
      <w:r w:rsidRPr="00890E01">
        <w:rPr>
          <w:rFonts w:ascii="Cambria" w:hAnsi="Cambria"/>
          <w:i w:val="0"/>
          <w:iCs w:val="0"/>
          <w:color w:val="auto"/>
          <w:sz w:val="20"/>
          <w:szCs w:val="20"/>
        </w:rPr>
        <w:t>species, we surveyed during dawn and dusk to capture diurnal and crepuscular species.</w:t>
      </w:r>
    </w:p>
    <w:p w14:paraId="7C54F777" w14:textId="77777777" w:rsidR="006A3D5F" w:rsidRDefault="006A3D5F" w:rsidP="002023FE">
      <w:pPr>
        <w:spacing w:after="240" w:line="360" w:lineRule="auto"/>
        <w:rPr>
          <w:rFonts w:ascii="Cambria" w:hAnsi="Cambria" w:cs="Times New Roman"/>
          <w:sz w:val="24"/>
          <w:szCs w:val="24"/>
        </w:rPr>
      </w:pPr>
      <w:r>
        <w:rPr>
          <w:rFonts w:ascii="Cambria" w:hAnsi="Cambria" w:cs="Times New Roman"/>
          <w:i/>
          <w:iCs/>
          <w:sz w:val="24"/>
          <w:szCs w:val="24"/>
        </w:rPr>
        <w:t>Acoustic Data Processing and Target Species</w:t>
      </w:r>
    </w:p>
    <w:p w14:paraId="62A677C8" w14:textId="45D4450E"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Acoustic data were processed using BirdNET v2.4, </w:t>
      </w:r>
      <w:r w:rsidRPr="00DA07D4">
        <w:rPr>
          <w:rFonts w:ascii="Cambria" w:hAnsi="Cambria" w:cs="Times New Roman"/>
          <w:sz w:val="24"/>
          <w:szCs w:val="24"/>
        </w:rPr>
        <w:t>a deep neural network machine-learning algorithm that annotates recordings of bird vocalizations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{"citationID":"SexZvfoV","properties":{"formattedCitation":"(Kahl et al. 2021)","plainCitation":"(Kahl et al. 2021)","noteIndex":0},"citationItems":[{"id":1281,"uris":["http://zotero.org/users/16351564/items/3SG27CYR"],"itemData":{"id":1281,"type":"article-journal","container-title":"Ecological Informatics","DOI":"10.1016/j.ecoinf.2021.101236","journalAbbreviation":"Ecological Informatics","page":"101236-101236","title":"BirdNET: A deep learning solution for avian diversity monitoring","volume":"61","author":[{"family":"Kahl","given":"Stefan"},{"family":"Wood","given":"Connor M."},{"family":"Eibl","given":"Maximilian"},{"family":"Klinck","given":"Holger"}],"issued":{"date-parts":[["2021",3]]}}}],"schema":"https://github.com/citation-style-language/schema/raw/master/csl-citation.json"} </w:instrText>
      </w:r>
      <w:r>
        <w:rPr>
          <w:rFonts w:ascii="Cambria" w:hAnsi="Cambria" w:cs="Times New Roman"/>
          <w:sz w:val="24"/>
          <w:szCs w:val="24"/>
        </w:rPr>
        <w:fldChar w:fldCharType="separate"/>
      </w:r>
      <w:r w:rsidRPr="001918DA">
        <w:rPr>
          <w:rFonts w:ascii="Cambria" w:hAnsi="Cambria"/>
          <w:sz w:val="24"/>
        </w:rPr>
        <w:t>(Kahl et al. 2021)</w:t>
      </w:r>
      <w:r>
        <w:rPr>
          <w:rFonts w:ascii="Cambria" w:hAnsi="Cambria" w:cs="Times New Roman"/>
          <w:sz w:val="24"/>
          <w:szCs w:val="24"/>
        </w:rPr>
        <w:fldChar w:fldCharType="end"/>
      </w:r>
      <w:r>
        <w:rPr>
          <w:rFonts w:ascii="Cambria" w:hAnsi="Cambria" w:cs="Times New Roman"/>
          <w:sz w:val="24"/>
          <w:szCs w:val="24"/>
        </w:rPr>
        <w:t xml:space="preserve">. BirdNET was activated in a Python environment on a high-performance computer to efficiently process the large quantity of data. Geographic coordinates were input to allow BirdNET to filter species outputs using eBird data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{"citationID":"wIoTAt0X","properties":{"formattedCitation":"(Sullivan et al. 2009)","plainCitation":"(Sullivan et al. 2009)","noteIndex":0},"citationItems":[{"id":1282,"uris":["http://zotero.org/users/16351564/items/57IV2K7C"],"itemData":{"id":1282,"type":"article-journal","container-title":"Biological Conservation","DOI":"10.1016/j.biocon.2009.05.006","issue":"10","journalAbbreviation":"Biological Conservation","page":"2282–2292","title":"eBird: A citizen-based bird observation network in the biological sciences","volume":"142","author":[{"family":"Sullivan","given":"Brian L."},{"family":"Wood","given":"Christopher L."},{"family":"Iliff","given":"Marshall J."},{"family":"Bonney","given":"Rick E."},{"family":"Fink","given":"Daniel"},{"family":"Kelling","given":"Steve"}],"issued":{"date-parts":[["2009",10]]}}}],"schema":"https://github.com/citation-style-language/schema/raw/master/csl-citation.json"} </w:instrText>
      </w:r>
      <w:r>
        <w:rPr>
          <w:rFonts w:ascii="Cambria" w:hAnsi="Cambria" w:cs="Times New Roman"/>
          <w:sz w:val="24"/>
          <w:szCs w:val="24"/>
        </w:rPr>
        <w:fldChar w:fldCharType="separate"/>
      </w:r>
      <w:r w:rsidRPr="007F41AF">
        <w:rPr>
          <w:rFonts w:ascii="Cambria" w:hAnsi="Cambria"/>
          <w:sz w:val="24"/>
        </w:rPr>
        <w:t>(Sullivan et al. 2009)</w:t>
      </w:r>
      <w:r>
        <w:rPr>
          <w:rFonts w:ascii="Cambria" w:hAnsi="Cambria" w:cs="Times New Roman"/>
          <w:sz w:val="24"/>
          <w:szCs w:val="24"/>
        </w:rPr>
        <w:fldChar w:fldCharType="end"/>
      </w:r>
      <w:r>
        <w:rPr>
          <w:rFonts w:ascii="Cambria" w:hAnsi="Cambria" w:cs="Times New Roman"/>
          <w:sz w:val="24"/>
          <w:szCs w:val="24"/>
        </w:rPr>
        <w:t xml:space="preserve">. We </w:t>
      </w:r>
      <w:r w:rsidR="008233BD">
        <w:rPr>
          <w:rFonts w:ascii="Cambria" w:hAnsi="Cambria" w:cs="Times New Roman"/>
          <w:sz w:val="24"/>
          <w:szCs w:val="24"/>
        </w:rPr>
        <w:t>inspected</w:t>
      </w:r>
      <w:r>
        <w:rPr>
          <w:rFonts w:ascii="Cambria" w:hAnsi="Cambria" w:cs="Times New Roman"/>
          <w:sz w:val="24"/>
          <w:szCs w:val="24"/>
        </w:rPr>
        <w:t xml:space="preserve"> the species list BirdNET used to </w:t>
      </w:r>
      <w:r w:rsidR="008233BD">
        <w:rPr>
          <w:rFonts w:ascii="Cambria" w:hAnsi="Cambria" w:cs="Times New Roman"/>
          <w:sz w:val="24"/>
          <w:szCs w:val="24"/>
        </w:rPr>
        <w:t>confirm</w:t>
      </w:r>
      <w:r>
        <w:rPr>
          <w:rFonts w:ascii="Cambria" w:hAnsi="Cambria" w:cs="Times New Roman"/>
          <w:sz w:val="24"/>
          <w:szCs w:val="24"/>
        </w:rPr>
        <w:t xml:space="preserve"> all local breeding birds were available for the model to detect. Then, following steps outlined in previous studies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{"citationID":"oUwnG1hf","properties":{"formattedCitation":"(Wood and Kahl 2024, Scanferla et al. 2025)","plainCitation":"(Wood and Kahl 2024, Scanferla et al. 2025)","noteIndex":0},"citationItems":[{"id":105,"uris":["http://zotero.org/users/16351564/items/696ZQLLG"],"itemData":{"id":105,"type":"article-journal","abstract":"Machine learning tools capable of identifying animals by sound have proliferated, making the challenge of interpreting their outputs much more prevalent. These tools, like their predecessors, quantify prediction uncertainty with scores that tend to resemble probabilities but are actually unitless scores that are (generally) positively related to prediction accuracy in species-specific ways. BirdNET is one such tool, a freely available animal sound identification algorithm capable of identifying &gt; 6,000 species, most of them birds. We describe two ways in which BirdNET “confidence scores”—and the output scores of other detector tools—can be used appropriately to interpret BirdNET results (reviewing them down to a user-defined threshold or converting them to probabilities), and provide a step-by-step tutorial to follow these suggestions. These suggestions are complementary to common performance metrics like precision, recall, and receiver operating characteristic. BirdNET can be a powerful tool for acoustic-based biodiversity research, but its utility depends on the careful use and interpretation of its outputs.","container-title":"Journal of Ornithology","DOI":"10.1007/s10336-024-02144-5","ISSN":"2193-7192, 2193-7206","issue":"3","journalAbbreviation":"J Ornithol","language":"en","page":"777-782","source":"DOI.org (Crossref)","title":"Guidelines for appropriate use of BirdNET scores and other detector outputs","volume":"165","author":[{"family":"Wood","given":"Connor M."},{"family":"Kahl","given":"Stefan"}],"issued":{"date-parts":[["2024",7]]}},"label":"page"},{"id":1486,"uris":["http://zotero.org/users/16351564/items/2K3UJ9I9"],"itemData":{"id":1486,"type":"article-journal","container-title":"Ecological Informatics","ISSN":"1574-9541","journalAbbreviation":"Ecological Informatics","page":"103423","publisher":"Elsevier","title":"Determining species-specific thresholds to improve precision in passive acoustic monitoring","author":[{"family":"Scanferla","given":"Jarek"},{"family":"Brambilla","given":"Mattia"},{"family":"Brambilla","given":"Giordano"},{"family":"Hilpold","given":"Andreas"},{"family":"Marchetti","given":"Anna Elisa"},{"family":"Puff","given":"Felix"},{"family":"Tappeiner","given":"Ulrike"},{"family":"Anderle","given":"Matteo"}],"issued":{"date-parts":[["2025"]]}},"label":"page"}],"schema":"https://github.com/citation-style-language/schema/raw/master/csl-citation.json"} </w:instrText>
      </w:r>
      <w:r>
        <w:rPr>
          <w:rFonts w:ascii="Cambria" w:hAnsi="Cambria" w:cs="Times New Roman"/>
          <w:sz w:val="24"/>
          <w:szCs w:val="24"/>
        </w:rPr>
        <w:fldChar w:fldCharType="separate"/>
      </w:r>
      <w:r w:rsidRPr="00253438">
        <w:rPr>
          <w:rFonts w:ascii="Cambria" w:hAnsi="Cambria"/>
          <w:sz w:val="24"/>
        </w:rPr>
        <w:t>(Wood and Kahl 2024, Scanferla et al. 2025)</w:t>
      </w:r>
      <w:r>
        <w:rPr>
          <w:rFonts w:ascii="Cambria" w:hAnsi="Cambria" w:cs="Times New Roman"/>
          <w:sz w:val="24"/>
          <w:szCs w:val="24"/>
        </w:rPr>
        <w:fldChar w:fldCharType="end"/>
      </w:r>
      <w:r>
        <w:rPr>
          <w:rFonts w:ascii="Cambria" w:hAnsi="Cambria" w:cs="Times New Roman"/>
          <w:sz w:val="24"/>
          <w:szCs w:val="24"/>
        </w:rPr>
        <w:t xml:space="preserve">, </w:t>
      </w:r>
      <w:r w:rsidR="008233BD">
        <w:rPr>
          <w:rFonts w:ascii="Cambria" w:hAnsi="Cambria" w:cs="Times New Roman"/>
          <w:sz w:val="24"/>
          <w:szCs w:val="24"/>
        </w:rPr>
        <w:t xml:space="preserve">we manually </w:t>
      </w:r>
      <w:r w:rsidR="008233BD">
        <w:rPr>
          <w:rFonts w:ascii="Cambria" w:hAnsi="Cambria" w:cs="Times New Roman"/>
          <w:sz w:val="24"/>
          <w:szCs w:val="24"/>
        </w:rPr>
        <w:lastRenderedPageBreak/>
        <w:t>reviewed 180 randomly selected BirdNET segments for each species</w:t>
      </w:r>
      <w:r>
        <w:rPr>
          <w:rFonts w:ascii="Cambria" w:hAnsi="Cambria" w:cs="Times New Roman"/>
          <w:sz w:val="24"/>
          <w:szCs w:val="24"/>
        </w:rPr>
        <w:t xml:space="preserve">. </w:t>
      </w:r>
      <w:r w:rsidR="00434874">
        <w:rPr>
          <w:rFonts w:ascii="Cambria" w:hAnsi="Cambria" w:cs="Times New Roman"/>
          <w:sz w:val="24"/>
          <w:szCs w:val="24"/>
        </w:rPr>
        <w:t>We reviewed a total of 72 bird species.</w:t>
      </w:r>
    </w:p>
    <w:p w14:paraId="5FEBC228" w14:textId="77777777" w:rsidR="006A3D5F" w:rsidRPr="000D4B41" w:rsidRDefault="006A3D5F" w:rsidP="002023FE">
      <w:pPr>
        <w:tabs>
          <w:tab w:val="left" w:pos="1728"/>
        </w:tabs>
        <w:spacing w:line="360" w:lineRule="auto"/>
        <w:jc w:val="both"/>
        <w:rPr>
          <w:rFonts w:ascii="Cambria" w:hAnsi="Cambria" w:cs="Times New Roman"/>
          <w:i/>
          <w:iCs/>
          <w:sz w:val="24"/>
          <w:szCs w:val="24"/>
        </w:rPr>
      </w:pPr>
      <w:r>
        <w:rPr>
          <w:rFonts w:ascii="Cambria" w:hAnsi="Cambria" w:cs="Times New Roman"/>
          <w:i/>
          <w:iCs/>
          <w:sz w:val="24"/>
          <w:szCs w:val="24"/>
        </w:rPr>
        <w:t>Disturbance History</w:t>
      </w:r>
    </w:p>
    <w:p w14:paraId="72844FF8" w14:textId="77777777" w:rsidR="006A3D5F" w:rsidRPr="000D4B41"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Disturbance histories for each survey point were categorized as years since a disturbance event. With year 0 indicating a disturbance event occurred the same year monitoring took place. At the Mission Mine, disturbances were caused by mining and reclamation, with year 0 indicating complete reclamation of the site (i.e., all seedlings planted). We viewed Sentinel-2 imagery to determine when each point was reclaimed. At Sansavilla WMA and Okefenokee NWR, disturbances were caused by fire. For these locations, year 0 indicated a burn was conducted the same year monitoring occurred. We used fire history data from staff at both locations to assign disturbance histories to our survey points. </w:t>
      </w:r>
    </w:p>
    <w:p w14:paraId="643DC119" w14:textId="77777777" w:rsidR="006A3D5F" w:rsidRDefault="006A3D5F" w:rsidP="002023FE">
      <w:pPr>
        <w:tabs>
          <w:tab w:val="left" w:pos="1728"/>
        </w:tabs>
        <w:spacing w:line="360" w:lineRule="auto"/>
        <w:jc w:val="both"/>
        <w:rPr>
          <w:rFonts w:ascii="Cambria" w:hAnsi="Cambria" w:cs="Times New Roman"/>
          <w:b/>
          <w:bCs/>
          <w:i/>
          <w:iCs/>
          <w:sz w:val="24"/>
          <w:szCs w:val="24"/>
        </w:rPr>
      </w:pPr>
      <w:r>
        <w:rPr>
          <w:rFonts w:ascii="Cambria" w:hAnsi="Cambria" w:cs="Times New Roman"/>
          <w:i/>
          <w:iCs/>
          <w:sz w:val="24"/>
          <w:szCs w:val="24"/>
        </w:rPr>
        <w:t>Environmental Variables</w:t>
      </w:r>
    </w:p>
    <w:p w14:paraId="3025C8E1" w14:textId="7777777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accessed weather data surrounding our study locations using the </w:t>
      </w:r>
      <w:r>
        <w:rPr>
          <w:rFonts w:ascii="Cambria" w:hAnsi="Cambria" w:cs="Times New Roman"/>
          <w:i/>
          <w:iCs/>
          <w:sz w:val="24"/>
          <w:szCs w:val="24"/>
        </w:rPr>
        <w:t>riem</w:t>
      </w:r>
      <w:r>
        <w:rPr>
          <w:rFonts w:ascii="Cambria" w:hAnsi="Cambria" w:cs="Times New Roman"/>
          <w:sz w:val="24"/>
          <w:szCs w:val="24"/>
        </w:rPr>
        <w:t xml:space="preserve"> package in 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{"citationID":"VBklQDOV","properties":{"formattedCitation":"(Salmon and Elchison 2016)","plainCitation":"(Salmon and Elchison 2016)","noteIndex":0},"citationItems":[{"id":1481,"uris":["http://zotero.org/users/16351564/items/RJ3C59NR"],"itemData":{"id":1481,"type":"dataset","abstract":"Allows to get weather data from Automated Surface Observing System (ASOS) stations (airports) in the whole world thanks to the Iowa Environment Mesonet website.","DOI":"10.32614/CRAN.package.riem","language":"en","note":"Institution: Comprehensive R Archive Network\npage: 1.0.0","source":"DOI.org (Crossref)","title":"riem: Accesses Weather Data from the Iowa Environment Mesonet","title-short":"riem","URL":"https://CRAN.R-project.org/package=riem","author":[{"family":"Salmon","given":"Maëlle"},{"family":"Elchison","given":"Jonathan"}],"accessed":{"date-parts":[["2026",4,9]]},"issued":{"date-parts":[["2016",5,28]]}}}],"schema":"https://github.com/citation-style-language/schema/raw/master/csl-citation.json"} </w:instrText>
      </w:r>
      <w:r>
        <w:rPr>
          <w:rFonts w:ascii="Cambria" w:hAnsi="Cambria" w:cs="Times New Roman"/>
          <w:sz w:val="24"/>
          <w:szCs w:val="24"/>
        </w:rPr>
        <w:fldChar w:fldCharType="separate"/>
      </w:r>
      <w:r w:rsidRPr="001635FC">
        <w:rPr>
          <w:rFonts w:ascii="Cambria" w:hAnsi="Cambria"/>
          <w:sz w:val="24"/>
        </w:rPr>
        <w:t>(Salmon and Elchison 2016)</w:t>
      </w:r>
      <w:r>
        <w:rPr>
          <w:rFonts w:ascii="Cambria" w:hAnsi="Cambria" w:cs="Times New Roman"/>
          <w:sz w:val="24"/>
          <w:szCs w:val="24"/>
        </w:rPr>
        <w:fldChar w:fldCharType="end"/>
      </w:r>
      <w:r>
        <w:rPr>
          <w:rFonts w:ascii="Cambria" w:hAnsi="Cambria" w:cs="Times New Roman"/>
          <w:sz w:val="24"/>
          <w:szCs w:val="24"/>
        </w:rPr>
        <w:t xml:space="preserve">. This package provided temperature, wind, relative humidity, and other environmental variables using weather stations from nearby airports. Airports nearest to each survey site were used as indices for weather around the survey point. We averaged temperature, wind, relative humidity, and other measurements across the day from 0500 to 1100. Daily averages for each measurement were then applied to all detections for each day at associated survey points. </w:t>
      </w:r>
    </w:p>
    <w:p w14:paraId="34982FB0" w14:textId="7777777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Mean temperature throughout our study averaged 22.17°C during June. There was little variation in mean daily temperature across the three study locations. Wind speed averaged 0.74 m/s during our study. Average daily wind speeds were higher at the Mission Mine (1.19) and Okefenokee NWR (1.13 m/s) than Sansavilla WMA (0.28 m/s). Relative humidity was continually high during our study, with a mean daily percentage of 92. The Mission Mine (95.1%) and Okefenokee NWR (94.9%) averaged slightly higher relative humidity than Sansavilla WMA (89.8%).</w:t>
      </w:r>
    </w:p>
    <w:p w14:paraId="3D30E8BD" w14:textId="2A37C31E"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 xml:space="preserve">Gamma </w:t>
      </w:r>
      <w:r>
        <w:rPr>
          <w:rFonts w:ascii="Cambria" w:hAnsi="Cambria" w:cs="Times New Roman"/>
          <w:i/>
          <w:iCs/>
          <w:sz w:val="24"/>
          <w:szCs w:val="24"/>
        </w:rPr>
        <w:t xml:space="preserve">and </w:t>
      </w:r>
      <w:r w:rsidR="003E573C">
        <w:rPr>
          <w:rFonts w:ascii="Cambria" w:hAnsi="Cambria" w:cs="Times New Roman"/>
          <w:i/>
          <w:iCs/>
          <w:sz w:val="24"/>
          <w:szCs w:val="24"/>
        </w:rPr>
        <w:t>Alpha Diversity</w:t>
      </w:r>
    </w:p>
    <w:p w14:paraId="225864C0" w14:textId="6FB0BDBC"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lastRenderedPageBreak/>
        <w:t xml:space="preserve">We tested our hypothesis that gamma diversity differed across sampling locations by using generalized linear models with a Conway-Mawell Poisson distribution and logit-link function. Gamma diversity measures annual species richness at a broader level by pooling all survey points and measuring species across sampling locations. We fit models using ecosystem-type (i.e., sampling location) as a fixed effect and accounted for variation in sampling year by including year as a fixed effect in a separate model. We compared both models against a null model. </w:t>
      </w:r>
    </w:p>
    <w:p w14:paraId="0D15D165" w14:textId="1C9DED22" w:rsidR="00837EB2" w:rsidRPr="00837EB2"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alpha diversity differed across sampling locations and with disturbance age </w:t>
      </w:r>
      <w:r w:rsidR="00837EB2">
        <w:rPr>
          <w:rFonts w:ascii="Cambria" w:hAnsi="Cambria" w:cs="Times New Roman"/>
          <w:sz w:val="24"/>
          <w:szCs w:val="24"/>
        </w:rPr>
        <w:t xml:space="preserve">by using generalized linear mixed effects models with a Conway-Maxwell Poisson distribution and logit-link function. Alpha diversity measures species richness at a finer scale, and measures species detected at each survey point over a sampling period. </w:t>
      </w:r>
      <w:r w:rsidR="00837EB2">
        <w:rPr>
          <w:rFonts w:ascii="Cambria" w:hAnsi="Cambria" w:cs="Times New Roman"/>
          <w:sz w:val="24"/>
          <w:szCs w:val="24"/>
        </w:rPr>
        <w:t xml:space="preserve">We fit models using ecosystem-type (i.e., sampling location) </w:t>
      </w:r>
      <w:r w:rsidR="00837EB2">
        <w:rPr>
          <w:rFonts w:ascii="Cambria" w:hAnsi="Cambria" w:cs="Times New Roman"/>
          <w:sz w:val="24"/>
          <w:szCs w:val="24"/>
        </w:rPr>
        <w:t xml:space="preserve">and disturbance age as fixed effects with all their combinations. Survey point was included as a random effect in all models to account for repeated sampling. We compared all models against a null model. </w:t>
      </w:r>
    </w:p>
    <w:p w14:paraId="3A6F7EFC" w14:textId="0FC4D46B"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Community Level Turnover</w:t>
      </w:r>
    </w:p>
    <w:p w14:paraId="2AC12851" w14:textId="0F783B8A" w:rsidR="00434874"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bird communities at reclaimed mining lands experience higher turnover rates compared to mature and young longleaf pine forest by measuring beta diversity using the Jaccard dissimilarity index. This index ranges from 0 to 1, with 0 indicating no change and 1, a completely dissimilar community (CITE). We used the </w:t>
      </w:r>
      <w:r w:rsidRPr="00252E35">
        <w:rPr>
          <w:rFonts w:ascii="Cambria" w:hAnsi="Cambria" w:cs="Times New Roman"/>
          <w:i/>
          <w:iCs/>
          <w:sz w:val="24"/>
          <w:szCs w:val="24"/>
        </w:rPr>
        <w:t>betapart</w:t>
      </w:r>
      <w:r>
        <w:rPr>
          <w:rFonts w:ascii="Cambria" w:hAnsi="Cambria" w:cs="Times New Roman"/>
          <w:sz w:val="24"/>
          <w:szCs w:val="24"/>
        </w:rPr>
        <w:t xml:space="preserve"> (CITE) package in R to calculate total dissimilarity, turnover, and nestedness for every transition year at survey points (CITE). Although these measurements typically compare differences in communities separated by space, they also can be applied to compare how communities change over time (i.e., temporal beta diversity)(CITE). </w:t>
      </w:r>
      <w:r w:rsidR="00C52196">
        <w:rPr>
          <w:rFonts w:ascii="Cambria" w:hAnsi="Cambria" w:cs="Times New Roman"/>
          <w:sz w:val="24"/>
          <w:szCs w:val="24"/>
        </w:rPr>
        <w:t>The Jaccard dissimilarity index works on presence/absence data; therefore, we turned our raw detection data into simples 1s and 0s to match this format.</w:t>
      </w:r>
    </w:p>
    <w:p w14:paraId="2C2B9BE9" w14:textId="6F0C9804" w:rsidR="00434874" w:rsidRDefault="00434874"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calculated a Jaccard dissimilarity value for each survey point during every transition year (i.e., 2023 – 2024 or 2024 – 2025). For each transition year, we calculated total turnover, replacement, and nestedness. Replacement measures species actively replacing those in a community. Nestedness measures species loss or gain, without a replacement. While total </w:t>
      </w:r>
      <w:r>
        <w:rPr>
          <w:rFonts w:ascii="Cambria" w:hAnsi="Cambria" w:cs="Times New Roman"/>
          <w:sz w:val="24"/>
          <w:szCs w:val="24"/>
        </w:rPr>
        <w:lastRenderedPageBreak/>
        <w:t xml:space="preserve">turnover sums both of these values across the whole community, effectively comparing how much the community changed in one year at each survey point. We were most interested in total turnover and modeled all of our turnover data using this statistic. </w:t>
      </w:r>
    </w:p>
    <w:p w14:paraId="62675F43" w14:textId="13C9A2F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w:t>
      </w:r>
      <w:r w:rsidR="00434874">
        <w:rPr>
          <w:rFonts w:ascii="Cambria" w:hAnsi="Cambria" w:cs="Times New Roman"/>
          <w:sz w:val="24"/>
          <w:szCs w:val="24"/>
        </w:rPr>
        <w:t>used</w:t>
      </w:r>
      <w:r>
        <w:rPr>
          <w:rFonts w:ascii="Cambria" w:hAnsi="Cambria" w:cs="Times New Roman"/>
          <w:sz w:val="24"/>
          <w:szCs w:val="24"/>
        </w:rPr>
        <w:t xml:space="preserve"> generalized linear mixed models with </w:t>
      </w:r>
      <w:r w:rsidR="00434874">
        <w:rPr>
          <w:rFonts w:ascii="Cambria" w:hAnsi="Cambria" w:cs="Times New Roman"/>
          <w:sz w:val="24"/>
          <w:szCs w:val="24"/>
        </w:rPr>
        <w:t xml:space="preserve">a beta distribution and logit-link function to model turnover in bird communities. We used two main predictors: </w:t>
      </w:r>
      <w:r>
        <w:rPr>
          <w:rFonts w:ascii="Cambria" w:hAnsi="Cambria" w:cs="Times New Roman"/>
          <w:sz w:val="24"/>
          <w:szCs w:val="24"/>
        </w:rPr>
        <w:t xml:space="preserve">location (i.e., ecosystem-type) </w:t>
      </w:r>
      <w:r w:rsidR="00434874">
        <w:rPr>
          <w:rFonts w:ascii="Cambria" w:hAnsi="Cambria" w:cs="Times New Roman"/>
          <w:sz w:val="24"/>
          <w:szCs w:val="24"/>
        </w:rPr>
        <w:t xml:space="preserve">and disturbance </w:t>
      </w:r>
      <w:r w:rsidR="00837EB2">
        <w:rPr>
          <w:rFonts w:ascii="Cambria" w:hAnsi="Cambria" w:cs="Times New Roman"/>
          <w:sz w:val="24"/>
          <w:szCs w:val="24"/>
        </w:rPr>
        <w:t>age</w:t>
      </w:r>
      <w:r w:rsidR="00434874">
        <w:rPr>
          <w:rFonts w:ascii="Cambria" w:hAnsi="Cambria" w:cs="Times New Roman"/>
          <w:sz w:val="24"/>
          <w:szCs w:val="24"/>
        </w:rPr>
        <w:t xml:space="preserve"> (i.e., years since a disturbance event). </w:t>
      </w:r>
      <w:r w:rsidR="00905F8A">
        <w:rPr>
          <w:rFonts w:ascii="Cambria" w:hAnsi="Cambria" w:cs="Times New Roman"/>
          <w:sz w:val="24"/>
          <w:szCs w:val="24"/>
        </w:rPr>
        <w:t xml:space="preserve">We fit models using each as sole predictors and also additive, interactive, and null models. We used AIC model selection to identify our top models. </w:t>
      </w:r>
    </w:p>
    <w:p w14:paraId="64A238CA" w14:textId="105C5B3A" w:rsidR="000C2F1F" w:rsidRDefault="000C2F1F" w:rsidP="002023FE">
      <w:pPr>
        <w:spacing w:line="360" w:lineRule="auto"/>
        <w:rPr>
          <w:rFonts w:ascii="Cambria" w:hAnsi="Cambria"/>
          <w:sz w:val="24"/>
          <w:szCs w:val="24"/>
        </w:rPr>
      </w:pPr>
      <w:r>
        <w:rPr>
          <w:rFonts w:ascii="Cambria" w:hAnsi="Cambria"/>
          <w:b/>
          <w:bCs/>
          <w:sz w:val="24"/>
          <w:szCs w:val="24"/>
        </w:rPr>
        <w:t>Results</w:t>
      </w:r>
    </w:p>
    <w:p w14:paraId="0E90AF95" w14:textId="6E1C395B" w:rsidR="000C2F1F" w:rsidRDefault="00172B15" w:rsidP="002023FE">
      <w:pPr>
        <w:spacing w:line="360" w:lineRule="auto"/>
        <w:rPr>
          <w:rFonts w:ascii="Cambria" w:hAnsi="Cambria"/>
          <w:sz w:val="24"/>
          <w:szCs w:val="24"/>
        </w:rPr>
      </w:pPr>
      <w:r w:rsidRPr="000B0DBB">
        <w:rPr>
          <w:rFonts w:ascii="Cambria" w:hAnsi="Cambria"/>
          <w:sz w:val="24"/>
          <w:szCs w:val="24"/>
        </w:rPr>
        <w:t xml:space="preserve">We detected 46 species over three years of </w:t>
      </w:r>
      <w:r w:rsidR="00462217" w:rsidRPr="000B0DBB">
        <w:rPr>
          <w:rFonts w:ascii="Cambria" w:hAnsi="Cambria"/>
          <w:sz w:val="24"/>
          <w:szCs w:val="24"/>
        </w:rPr>
        <w:t>acoustic surveys</w:t>
      </w:r>
      <w:r w:rsidRPr="000B0DBB">
        <w:rPr>
          <w:rFonts w:ascii="Cambria" w:hAnsi="Cambria"/>
          <w:sz w:val="24"/>
          <w:szCs w:val="24"/>
        </w:rPr>
        <w:t xml:space="preserve">. </w:t>
      </w:r>
      <w:r w:rsidR="006A787D">
        <w:rPr>
          <w:rFonts w:ascii="Cambria" w:hAnsi="Cambria"/>
          <w:sz w:val="24"/>
          <w:szCs w:val="24"/>
        </w:rPr>
        <w:t>We used observed species richness values because species accumulation curves showed 30 days to be long enough to detect the acoustic community (</w:t>
      </w:r>
      <w:r w:rsidR="006A787D" w:rsidRPr="006A787D">
        <w:rPr>
          <w:rFonts w:ascii="Cambria" w:hAnsi="Cambria"/>
          <w:b/>
          <w:bCs/>
          <w:sz w:val="24"/>
          <w:szCs w:val="24"/>
        </w:rPr>
        <w:t>FIGURE</w:t>
      </w:r>
      <w:r w:rsidR="006A787D">
        <w:rPr>
          <w:rFonts w:ascii="Cambria" w:hAnsi="Cambria"/>
          <w:sz w:val="24"/>
          <w:szCs w:val="24"/>
        </w:rPr>
        <w:t xml:space="preserve">). Community richness estimates using </w:t>
      </w:r>
      <w:r w:rsidR="006A787D" w:rsidRPr="006A787D">
        <w:rPr>
          <w:rFonts w:ascii="Cambria" w:hAnsi="Cambria"/>
          <w:i/>
          <w:iCs/>
          <w:sz w:val="24"/>
          <w:szCs w:val="24"/>
        </w:rPr>
        <w:t>unmarked</w:t>
      </w:r>
      <w:r w:rsidR="006A787D">
        <w:rPr>
          <w:rFonts w:ascii="Cambria" w:hAnsi="Cambria"/>
          <w:sz w:val="24"/>
          <w:szCs w:val="24"/>
        </w:rPr>
        <w:t>::</w:t>
      </w:r>
      <w:r w:rsidR="006A787D" w:rsidRPr="006A787D">
        <w:rPr>
          <w:rFonts w:ascii="Cambria" w:hAnsi="Cambria"/>
          <w:i/>
          <w:iCs/>
          <w:sz w:val="24"/>
          <w:szCs w:val="24"/>
        </w:rPr>
        <w:t>occuComm</w:t>
      </w:r>
      <w:r w:rsidR="006A787D">
        <w:rPr>
          <w:rFonts w:ascii="Cambria" w:hAnsi="Cambria"/>
          <w:sz w:val="24"/>
          <w:szCs w:val="24"/>
        </w:rPr>
        <w:t xml:space="preserve">() were also nearly identical to observed values. </w:t>
      </w:r>
      <w:r w:rsidR="00DE7677">
        <w:rPr>
          <w:rFonts w:ascii="Cambria" w:hAnsi="Cambria"/>
          <w:sz w:val="24"/>
          <w:szCs w:val="24"/>
        </w:rPr>
        <w:t>The top model included only ecosystem-type as a fixed effect. There was support for an additive model including year as a fixed effect with ecosystem-type, but this model did not improve overall fit</w:t>
      </w:r>
      <w:r w:rsidR="003736A1">
        <w:rPr>
          <w:rFonts w:ascii="Cambria" w:hAnsi="Cambria"/>
          <w:sz w:val="24"/>
          <w:szCs w:val="24"/>
        </w:rPr>
        <w:t xml:space="preserve"> and included an extra parameter</w:t>
      </w:r>
      <w:r w:rsidR="00DE7677">
        <w:rPr>
          <w:rFonts w:ascii="Cambria" w:hAnsi="Cambria"/>
          <w:sz w:val="24"/>
          <w:szCs w:val="24"/>
        </w:rPr>
        <w:t xml:space="preserve">. </w:t>
      </w:r>
      <w:r w:rsidRPr="006A787D">
        <w:rPr>
          <w:rFonts w:ascii="Cambria" w:hAnsi="Cambria"/>
          <w:sz w:val="24"/>
          <w:szCs w:val="24"/>
        </w:rPr>
        <w:t>Gamma</w:t>
      </w:r>
      <w:r w:rsidRPr="000B0DBB">
        <w:rPr>
          <w:rFonts w:ascii="Cambria" w:hAnsi="Cambria"/>
          <w:sz w:val="24"/>
          <w:szCs w:val="24"/>
        </w:rPr>
        <w:t xml:space="preserve"> diversity was </w:t>
      </w:r>
      <w:r w:rsidR="007D3BBD">
        <w:rPr>
          <w:rFonts w:ascii="Cambria" w:hAnsi="Cambria"/>
          <w:sz w:val="24"/>
          <w:szCs w:val="24"/>
        </w:rPr>
        <w:t xml:space="preserve">lowest at the Mission Mine (28 </w:t>
      </w:r>
      <w:r w:rsidR="007D3BBD">
        <w:rPr>
          <w:rFonts w:ascii="Cambria" w:hAnsi="Cambria"/>
          <w:sz w:val="24"/>
          <w:szCs w:val="24"/>
        </w:rPr>
        <w:t>±</w:t>
      </w:r>
      <w:r w:rsidR="007D3BBD">
        <w:rPr>
          <w:rFonts w:ascii="Cambria" w:hAnsi="Cambria"/>
          <w:sz w:val="24"/>
          <w:szCs w:val="24"/>
        </w:rPr>
        <w:t xml:space="preserve"> 1.08) and significantly differed from the Okefenokee NWR (33 </w:t>
      </w:r>
      <w:r w:rsidR="007D3BBD">
        <w:rPr>
          <w:rFonts w:ascii="Cambria" w:hAnsi="Cambria"/>
          <w:sz w:val="24"/>
          <w:szCs w:val="24"/>
        </w:rPr>
        <w:t>±</w:t>
      </w:r>
      <w:r w:rsidR="007D3BBD">
        <w:rPr>
          <w:rFonts w:ascii="Cambria" w:hAnsi="Cambria"/>
          <w:sz w:val="24"/>
          <w:szCs w:val="24"/>
        </w:rPr>
        <w:t xml:space="preserve"> 1.44, p = 0.013) and </w:t>
      </w:r>
      <w:r w:rsidRPr="000B0DBB">
        <w:rPr>
          <w:rFonts w:ascii="Cambria" w:hAnsi="Cambria"/>
          <w:sz w:val="24"/>
          <w:szCs w:val="24"/>
        </w:rPr>
        <w:t>Sansavilla WMA</w:t>
      </w:r>
      <w:r w:rsidR="007D3BBD">
        <w:rPr>
          <w:rFonts w:ascii="Cambria" w:hAnsi="Cambria"/>
          <w:sz w:val="24"/>
          <w:szCs w:val="24"/>
        </w:rPr>
        <w:t xml:space="preserve"> (35.7 ± 1.22, p &lt; 0.0001)).</w:t>
      </w:r>
      <w:r w:rsidR="00462217" w:rsidRPr="000B0DBB">
        <w:rPr>
          <w:rFonts w:ascii="Cambria" w:hAnsi="Cambria"/>
          <w:sz w:val="24"/>
          <w:szCs w:val="24"/>
        </w:rPr>
        <w:t xml:space="preserve"> </w:t>
      </w:r>
      <w:r w:rsidR="00BF7B74">
        <w:rPr>
          <w:rFonts w:ascii="Cambria" w:hAnsi="Cambria"/>
          <w:sz w:val="24"/>
          <w:szCs w:val="24"/>
        </w:rPr>
        <w:t>There was no significant difference in mean gamma diversity between the Okefenokee NWR and Sansavilla WMA (p = 0.339).</w:t>
      </w:r>
    </w:p>
    <w:p w14:paraId="05362EDF" w14:textId="0CCBD334" w:rsidR="006A787D" w:rsidRPr="006A787D" w:rsidRDefault="006A787D" w:rsidP="002023FE">
      <w:pPr>
        <w:spacing w:line="360" w:lineRule="auto"/>
        <w:rPr>
          <w:rFonts w:ascii="Cambria" w:hAnsi="Cambria"/>
          <w:sz w:val="24"/>
          <w:szCs w:val="24"/>
        </w:rPr>
      </w:pPr>
      <w:r w:rsidRPr="006A787D">
        <w:rPr>
          <w:rFonts w:ascii="Cambria" w:hAnsi="Cambria"/>
          <w:sz w:val="24"/>
          <w:szCs w:val="24"/>
        </w:rPr>
        <w:drawing>
          <wp:inline distT="0" distB="0" distL="0" distR="0" wp14:anchorId="2779C2E2" wp14:editId="7E93F285">
            <wp:extent cx="5943600" cy="2585085"/>
            <wp:effectExtent l="0" t="0" r="0" b="5715"/>
            <wp:docPr id="1250789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585085"/>
                    </a:xfrm>
                    <a:prstGeom prst="rect">
                      <a:avLst/>
                    </a:prstGeom>
                    <a:noFill/>
                    <a:ln>
                      <a:noFill/>
                    </a:ln>
                  </pic:spPr>
                </pic:pic>
              </a:graphicData>
            </a:graphic>
          </wp:inline>
        </w:drawing>
      </w:r>
    </w:p>
    <w:p w14:paraId="63CCFD96" w14:textId="77777777" w:rsidR="006A787D" w:rsidRPr="000B0DBB" w:rsidRDefault="006A787D" w:rsidP="002023FE">
      <w:pPr>
        <w:spacing w:line="360" w:lineRule="auto"/>
        <w:rPr>
          <w:rFonts w:ascii="Cambria" w:hAnsi="Cambria"/>
          <w:sz w:val="24"/>
          <w:szCs w:val="24"/>
        </w:rPr>
      </w:pPr>
    </w:p>
    <w:p w14:paraId="4C570B0B" w14:textId="540A8A0C" w:rsidR="0042190E" w:rsidRPr="0042190E" w:rsidRDefault="0042190E" w:rsidP="002023FE">
      <w:pPr>
        <w:spacing w:line="360" w:lineRule="auto"/>
        <w:rPr>
          <w:rFonts w:ascii="Cambria" w:hAnsi="Cambria"/>
          <w:sz w:val="24"/>
          <w:szCs w:val="24"/>
        </w:rPr>
      </w:pPr>
      <w:r w:rsidRPr="0042190E">
        <w:rPr>
          <w:rFonts w:ascii="Cambria" w:hAnsi="Cambria"/>
          <w:sz w:val="24"/>
          <w:szCs w:val="24"/>
        </w:rPr>
        <w:drawing>
          <wp:inline distT="0" distB="0" distL="0" distR="0" wp14:anchorId="69B127F6" wp14:editId="20C967B3">
            <wp:extent cx="5943600" cy="2973070"/>
            <wp:effectExtent l="0" t="0" r="0" b="0"/>
            <wp:docPr id="4679907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74F52307" w14:textId="77777777" w:rsidR="0042190E" w:rsidRDefault="0042190E" w:rsidP="002023FE">
      <w:pPr>
        <w:spacing w:line="360" w:lineRule="auto"/>
        <w:rPr>
          <w:rFonts w:ascii="Cambria" w:hAnsi="Cambria"/>
          <w:sz w:val="24"/>
          <w:szCs w:val="24"/>
        </w:rPr>
      </w:pPr>
    </w:p>
    <w:p w14:paraId="01530C8F" w14:textId="621E4B76" w:rsidR="003E573C" w:rsidRPr="000B0DBB" w:rsidRDefault="003E573C" w:rsidP="002023FE">
      <w:pPr>
        <w:spacing w:line="360" w:lineRule="auto"/>
        <w:rPr>
          <w:rFonts w:ascii="Cambria" w:hAnsi="Cambria"/>
          <w:sz w:val="24"/>
          <w:szCs w:val="24"/>
        </w:rPr>
      </w:pPr>
      <w:r w:rsidRPr="000B0DBB">
        <w:rPr>
          <w:rFonts w:ascii="Cambria" w:hAnsi="Cambria"/>
          <w:sz w:val="24"/>
          <w:szCs w:val="24"/>
        </w:rPr>
        <w:t>Alpha diversity varied across sampling locations (</w:t>
      </w:r>
      <w:r w:rsidR="000B0DBB" w:rsidRPr="000B0DBB">
        <w:rPr>
          <w:rFonts w:ascii="Cambria" w:hAnsi="Cambria"/>
          <w:b/>
          <w:bCs/>
          <w:sz w:val="24"/>
          <w:szCs w:val="24"/>
        </w:rPr>
        <w:t>FIGURE</w:t>
      </w:r>
      <w:r w:rsidRPr="000B0DBB">
        <w:rPr>
          <w:rFonts w:ascii="Cambria" w:hAnsi="Cambria"/>
          <w:sz w:val="24"/>
          <w:szCs w:val="24"/>
        </w:rPr>
        <w:t xml:space="preserve">). </w:t>
      </w:r>
      <w:r w:rsidR="00DE7677">
        <w:rPr>
          <w:rFonts w:ascii="Cambria" w:hAnsi="Cambria"/>
          <w:sz w:val="24"/>
          <w:szCs w:val="24"/>
        </w:rPr>
        <w:t xml:space="preserve">The top model included only ecosystem-type as a fixed effect. </w:t>
      </w:r>
      <w:r w:rsidRPr="000B0DBB">
        <w:rPr>
          <w:rFonts w:ascii="Cambria" w:hAnsi="Cambria"/>
          <w:sz w:val="24"/>
          <w:szCs w:val="24"/>
        </w:rPr>
        <w:t>Alpha diversity was significantly lower at the Mission Mine (20</w:t>
      </w:r>
      <w:r w:rsidR="00DE7677">
        <w:rPr>
          <w:rFonts w:ascii="Cambria" w:hAnsi="Cambria"/>
          <w:sz w:val="24"/>
          <w:szCs w:val="24"/>
        </w:rPr>
        <w:t xml:space="preserve"> </w:t>
      </w:r>
      <w:r w:rsidR="00DE7677">
        <w:rPr>
          <w:rFonts w:ascii="Cambria" w:hAnsi="Cambria"/>
          <w:sz w:val="24"/>
          <w:szCs w:val="24"/>
        </w:rPr>
        <w:t>±</w:t>
      </w:r>
      <w:r w:rsidR="00DE7677">
        <w:rPr>
          <w:rFonts w:ascii="Cambria" w:hAnsi="Cambria"/>
          <w:sz w:val="24"/>
          <w:szCs w:val="24"/>
        </w:rPr>
        <w:t xml:space="preserve"> 0.615</w:t>
      </w:r>
      <w:r w:rsidRPr="000B0DBB">
        <w:rPr>
          <w:rFonts w:ascii="Cambria" w:hAnsi="Cambria"/>
          <w:sz w:val="24"/>
          <w:szCs w:val="24"/>
        </w:rPr>
        <w:t xml:space="preserve">) compared to </w:t>
      </w:r>
      <w:r w:rsidR="00DE7677">
        <w:rPr>
          <w:rFonts w:ascii="Cambria" w:hAnsi="Cambria"/>
          <w:sz w:val="24"/>
          <w:szCs w:val="24"/>
        </w:rPr>
        <w:t xml:space="preserve">the </w:t>
      </w:r>
      <w:r w:rsidR="00DE7677" w:rsidRPr="000B0DBB">
        <w:rPr>
          <w:rFonts w:ascii="Cambria" w:hAnsi="Cambria"/>
          <w:sz w:val="24"/>
          <w:szCs w:val="24"/>
        </w:rPr>
        <w:t xml:space="preserve">Sansavilla </w:t>
      </w:r>
      <w:r w:rsidR="00DE7677">
        <w:rPr>
          <w:rFonts w:ascii="Cambria" w:hAnsi="Cambria"/>
          <w:sz w:val="24"/>
          <w:szCs w:val="24"/>
        </w:rPr>
        <w:t xml:space="preserve">WMA </w:t>
      </w:r>
      <w:r w:rsidR="00DE7677" w:rsidRPr="000B0DBB">
        <w:rPr>
          <w:rFonts w:ascii="Cambria" w:hAnsi="Cambria"/>
          <w:sz w:val="24"/>
          <w:szCs w:val="24"/>
        </w:rPr>
        <w:t>(25.9</w:t>
      </w:r>
      <w:r w:rsidR="00DE7677">
        <w:rPr>
          <w:rFonts w:ascii="Cambria" w:hAnsi="Cambria"/>
          <w:sz w:val="24"/>
          <w:szCs w:val="24"/>
        </w:rPr>
        <w:t xml:space="preserve"> ± 0.707</w:t>
      </w:r>
      <w:r w:rsidR="00DE7677" w:rsidRPr="000B0DBB">
        <w:rPr>
          <w:rFonts w:ascii="Cambria" w:hAnsi="Cambria"/>
          <w:sz w:val="24"/>
          <w:szCs w:val="24"/>
        </w:rPr>
        <w:t>, p &lt; 0.0001)</w:t>
      </w:r>
      <w:r w:rsidR="00DE7677">
        <w:rPr>
          <w:rFonts w:ascii="Cambria" w:hAnsi="Cambria"/>
          <w:sz w:val="24"/>
          <w:szCs w:val="24"/>
        </w:rPr>
        <w:t xml:space="preserve"> and </w:t>
      </w:r>
      <w:r w:rsidRPr="000B0DBB">
        <w:rPr>
          <w:rFonts w:ascii="Cambria" w:hAnsi="Cambria"/>
          <w:sz w:val="24"/>
          <w:szCs w:val="24"/>
        </w:rPr>
        <w:t>Okefenokee</w:t>
      </w:r>
      <w:r w:rsidR="00DE7677">
        <w:rPr>
          <w:rFonts w:ascii="Cambria" w:hAnsi="Cambria"/>
          <w:sz w:val="24"/>
          <w:szCs w:val="24"/>
        </w:rPr>
        <w:t xml:space="preserve"> NWR</w:t>
      </w:r>
      <w:r w:rsidRPr="000B0DBB">
        <w:rPr>
          <w:rFonts w:ascii="Cambria" w:hAnsi="Cambria"/>
          <w:sz w:val="24"/>
          <w:szCs w:val="24"/>
        </w:rPr>
        <w:t xml:space="preserve"> (27.2</w:t>
      </w:r>
      <w:r w:rsidR="00DE7677">
        <w:rPr>
          <w:rFonts w:ascii="Cambria" w:hAnsi="Cambria"/>
          <w:sz w:val="24"/>
          <w:szCs w:val="24"/>
        </w:rPr>
        <w:t xml:space="preserve"> </w:t>
      </w:r>
      <w:r w:rsidR="00DE7677">
        <w:rPr>
          <w:rFonts w:ascii="Cambria" w:hAnsi="Cambria"/>
          <w:sz w:val="24"/>
          <w:szCs w:val="24"/>
        </w:rPr>
        <w:t>±</w:t>
      </w:r>
      <w:r w:rsidR="00DE7677">
        <w:rPr>
          <w:rFonts w:ascii="Cambria" w:hAnsi="Cambria"/>
          <w:sz w:val="24"/>
          <w:szCs w:val="24"/>
        </w:rPr>
        <w:t xml:space="preserve"> 0.928</w:t>
      </w:r>
      <w:r w:rsidRPr="000B0DBB">
        <w:rPr>
          <w:rFonts w:ascii="Cambria" w:hAnsi="Cambria"/>
          <w:sz w:val="24"/>
          <w:szCs w:val="24"/>
        </w:rPr>
        <w:t>, p &lt; 0.0001)</w:t>
      </w:r>
      <w:r w:rsidR="00DE7677">
        <w:rPr>
          <w:rFonts w:ascii="Cambria" w:hAnsi="Cambria"/>
          <w:sz w:val="24"/>
          <w:szCs w:val="24"/>
        </w:rPr>
        <w:t xml:space="preserve">. </w:t>
      </w:r>
      <w:r w:rsidRPr="000B0DBB">
        <w:rPr>
          <w:rFonts w:ascii="Cambria" w:hAnsi="Cambria"/>
          <w:sz w:val="24"/>
          <w:szCs w:val="24"/>
        </w:rPr>
        <w:t xml:space="preserve">Meanwhile, </w:t>
      </w:r>
      <w:r w:rsidR="00DE7677">
        <w:rPr>
          <w:rFonts w:ascii="Cambria" w:hAnsi="Cambria"/>
          <w:sz w:val="24"/>
          <w:szCs w:val="24"/>
        </w:rPr>
        <w:t>we detected no difference in alpha diversity between the Sansavilla WMA and Okefenokee NWR</w:t>
      </w:r>
      <w:r w:rsidRPr="000B0DBB">
        <w:rPr>
          <w:rFonts w:ascii="Cambria" w:hAnsi="Cambria"/>
          <w:sz w:val="24"/>
          <w:szCs w:val="24"/>
        </w:rPr>
        <w:t xml:space="preserve"> (p = 0.484). An interactive model of </w:t>
      </w:r>
      <w:r w:rsidR="00DE7677">
        <w:rPr>
          <w:rFonts w:ascii="Cambria" w:hAnsi="Cambria"/>
          <w:sz w:val="24"/>
          <w:szCs w:val="24"/>
        </w:rPr>
        <w:t>ecosystem-type</w:t>
      </w:r>
      <w:r w:rsidRPr="000B0DBB">
        <w:rPr>
          <w:rFonts w:ascii="Cambria" w:hAnsi="Cambria"/>
          <w:sz w:val="24"/>
          <w:szCs w:val="24"/>
        </w:rPr>
        <w:t xml:space="preserve"> and disturbance age was within 2 ΔAIC of the top model, suggesting a possible influence of disturbance age on alpha diversity. The effect of disturbance age varied across sampling locations (</w:t>
      </w:r>
      <w:r w:rsidR="000B0DBB" w:rsidRPr="000B0DBB">
        <w:rPr>
          <w:rFonts w:ascii="Cambria" w:hAnsi="Cambria"/>
          <w:b/>
          <w:bCs/>
          <w:sz w:val="24"/>
          <w:szCs w:val="24"/>
        </w:rPr>
        <w:t>FIGURE</w:t>
      </w:r>
      <w:r w:rsidRPr="000B0DBB">
        <w:rPr>
          <w:rFonts w:ascii="Cambria" w:hAnsi="Cambria"/>
          <w:sz w:val="24"/>
          <w:szCs w:val="24"/>
        </w:rPr>
        <w:t>). The Mission Mine showed a slight positive trend (β = 0.028</w:t>
      </w:r>
      <w:r w:rsidR="00C43BDE">
        <w:rPr>
          <w:rFonts w:ascii="Cambria" w:hAnsi="Cambria"/>
          <w:sz w:val="24"/>
          <w:szCs w:val="24"/>
        </w:rPr>
        <w:t xml:space="preserve"> </w:t>
      </w:r>
      <w:r w:rsidR="00C43BDE">
        <w:rPr>
          <w:rFonts w:ascii="Cambria" w:hAnsi="Cambria"/>
          <w:sz w:val="24"/>
          <w:szCs w:val="24"/>
        </w:rPr>
        <w:t>±</w:t>
      </w:r>
      <w:r w:rsidR="00C43BDE">
        <w:rPr>
          <w:rFonts w:ascii="Cambria" w:hAnsi="Cambria"/>
          <w:sz w:val="24"/>
          <w:szCs w:val="24"/>
        </w:rPr>
        <w:t xml:space="preserve"> 0.017</w:t>
      </w:r>
      <w:r w:rsidRPr="000B0DBB">
        <w:rPr>
          <w:rFonts w:ascii="Cambria" w:hAnsi="Cambria"/>
          <w:sz w:val="24"/>
          <w:szCs w:val="24"/>
        </w:rPr>
        <w:t>), while Okefenokee (β = −0.015</w:t>
      </w:r>
      <w:r w:rsidR="00C43BDE">
        <w:rPr>
          <w:rFonts w:ascii="Cambria" w:hAnsi="Cambria"/>
          <w:sz w:val="24"/>
          <w:szCs w:val="24"/>
        </w:rPr>
        <w:t xml:space="preserve"> </w:t>
      </w:r>
      <w:r w:rsidR="00C43BDE">
        <w:rPr>
          <w:rFonts w:ascii="Cambria" w:hAnsi="Cambria"/>
          <w:sz w:val="24"/>
          <w:szCs w:val="24"/>
        </w:rPr>
        <w:t>±</w:t>
      </w:r>
      <w:r w:rsidR="00C43BDE">
        <w:rPr>
          <w:rFonts w:ascii="Cambria" w:hAnsi="Cambria"/>
          <w:sz w:val="24"/>
          <w:szCs w:val="24"/>
        </w:rPr>
        <w:t xml:space="preserve"> 0.041</w:t>
      </w:r>
      <w:r w:rsidRPr="000B0DBB">
        <w:rPr>
          <w:rFonts w:ascii="Cambria" w:hAnsi="Cambria"/>
          <w:sz w:val="24"/>
          <w:szCs w:val="24"/>
        </w:rPr>
        <w:t>) and Sansavilla (β = −0.023</w:t>
      </w:r>
      <w:r w:rsidR="00C43BDE">
        <w:rPr>
          <w:rFonts w:ascii="Cambria" w:hAnsi="Cambria"/>
          <w:sz w:val="24"/>
          <w:szCs w:val="24"/>
        </w:rPr>
        <w:t xml:space="preserve"> </w:t>
      </w:r>
      <w:r w:rsidR="00C43BDE">
        <w:rPr>
          <w:rFonts w:ascii="Cambria" w:hAnsi="Cambria"/>
          <w:sz w:val="24"/>
          <w:szCs w:val="24"/>
        </w:rPr>
        <w:t>±</w:t>
      </w:r>
      <w:r w:rsidR="00C43BDE">
        <w:rPr>
          <w:rFonts w:ascii="Cambria" w:hAnsi="Cambria"/>
          <w:sz w:val="24"/>
          <w:szCs w:val="24"/>
        </w:rPr>
        <w:t xml:space="preserve"> 0.016</w:t>
      </w:r>
      <w:r w:rsidRPr="000B0DBB">
        <w:rPr>
          <w:rFonts w:ascii="Cambria" w:hAnsi="Cambria"/>
          <w:sz w:val="24"/>
          <w:szCs w:val="24"/>
        </w:rPr>
        <w:t xml:space="preserve">) showed negative trends. </w:t>
      </w:r>
      <w:r w:rsidR="00C43BDE">
        <w:rPr>
          <w:rFonts w:ascii="Cambria" w:hAnsi="Cambria"/>
          <w:sz w:val="24"/>
          <w:szCs w:val="24"/>
        </w:rPr>
        <w:t xml:space="preserve">However, all of these estimates overlapped </w:t>
      </w:r>
      <w:r w:rsidR="003736A1">
        <w:rPr>
          <w:rFonts w:ascii="Cambria" w:hAnsi="Cambria"/>
          <w:sz w:val="24"/>
          <w:szCs w:val="24"/>
        </w:rPr>
        <w:t>zero</w:t>
      </w:r>
      <w:r w:rsidR="00C43BDE">
        <w:rPr>
          <w:rFonts w:ascii="Cambria" w:hAnsi="Cambria"/>
          <w:sz w:val="24"/>
          <w:szCs w:val="24"/>
        </w:rPr>
        <w:t xml:space="preserve">. </w:t>
      </w:r>
      <w:r w:rsidRPr="000B0DBB">
        <w:rPr>
          <w:rFonts w:ascii="Cambria" w:hAnsi="Cambria"/>
          <w:sz w:val="24"/>
          <w:szCs w:val="24"/>
        </w:rPr>
        <w:t>Pairwise slope comparisons of disturbance age revealed no significant differences among locations. However, Sansavilla and the Mine had marginally significant differences in their slopes (p = 0.072).</w:t>
      </w:r>
      <w:r w:rsidR="00DE7677">
        <w:rPr>
          <w:rFonts w:ascii="Cambria" w:hAnsi="Cambria"/>
          <w:sz w:val="24"/>
          <w:szCs w:val="24"/>
        </w:rPr>
        <w:t xml:space="preserve"> Mean alpha diversity </w:t>
      </w:r>
      <w:r w:rsidR="003736A1">
        <w:rPr>
          <w:rFonts w:ascii="Cambria" w:hAnsi="Cambria"/>
          <w:sz w:val="24"/>
          <w:szCs w:val="24"/>
        </w:rPr>
        <w:t xml:space="preserve">was </w:t>
      </w:r>
      <w:r w:rsidR="00DE7677">
        <w:rPr>
          <w:rFonts w:ascii="Cambria" w:hAnsi="Cambria"/>
          <w:sz w:val="24"/>
          <w:szCs w:val="24"/>
        </w:rPr>
        <w:t xml:space="preserve">still significantly </w:t>
      </w:r>
      <w:r w:rsidR="003736A1">
        <w:rPr>
          <w:rFonts w:ascii="Cambria" w:hAnsi="Cambria"/>
          <w:sz w:val="24"/>
          <w:szCs w:val="24"/>
        </w:rPr>
        <w:t>different</w:t>
      </w:r>
      <w:r w:rsidR="00DE7677">
        <w:rPr>
          <w:rFonts w:ascii="Cambria" w:hAnsi="Cambria"/>
          <w:sz w:val="24"/>
          <w:szCs w:val="24"/>
        </w:rPr>
        <w:t xml:space="preserve"> between the Mission Mine and other sampling locations (</w:t>
      </w:r>
      <w:r w:rsidR="00C43BDE">
        <w:rPr>
          <w:rFonts w:ascii="Cambria" w:hAnsi="Cambria"/>
          <w:sz w:val="24"/>
          <w:szCs w:val="24"/>
        </w:rPr>
        <w:t xml:space="preserve">p &lt; 0.0002 for both) while accounting for disturbance age in this model. </w:t>
      </w:r>
    </w:p>
    <w:p w14:paraId="543C1D0F" w14:textId="48B1AE75" w:rsidR="00392CBB" w:rsidRDefault="00392CBB" w:rsidP="002023FE">
      <w:pPr>
        <w:spacing w:line="360" w:lineRule="auto"/>
        <w:rPr>
          <w:rFonts w:ascii="Cambria" w:hAnsi="Cambria" w:cs="Times New Roman"/>
          <w:sz w:val="24"/>
          <w:szCs w:val="24"/>
        </w:rPr>
      </w:pPr>
      <w:r w:rsidRPr="00392CBB">
        <w:rPr>
          <w:rFonts w:ascii="Cambria" w:hAnsi="Cambria" w:cs="Times New Roman"/>
          <w:sz w:val="24"/>
          <w:szCs w:val="24"/>
        </w:rPr>
        <w:lastRenderedPageBreak/>
        <w:t>Turnover differed among ecosystem types (</w:t>
      </w:r>
      <w:r>
        <w:rPr>
          <w:rFonts w:ascii="Cambria" w:hAnsi="Cambria" w:cs="Times New Roman"/>
          <w:b/>
          <w:bCs/>
          <w:sz w:val="24"/>
          <w:szCs w:val="24"/>
        </w:rPr>
        <w:t>FIGURE</w:t>
      </w:r>
      <w:r w:rsidRPr="00392CBB">
        <w:rPr>
          <w:rFonts w:ascii="Cambria" w:hAnsi="Cambria" w:cs="Times New Roman"/>
          <w:sz w:val="24"/>
          <w:szCs w:val="24"/>
        </w:rPr>
        <w:t>). We fit a candidate model set including ecosystem type, disturbance age, their additive combination, their interaction, and an intercept-only null model</w:t>
      </w:r>
      <w:r>
        <w:rPr>
          <w:rFonts w:ascii="Cambria" w:hAnsi="Cambria" w:cs="Times New Roman"/>
          <w:sz w:val="24"/>
          <w:szCs w:val="24"/>
        </w:rPr>
        <w:t xml:space="preserve">, </w:t>
      </w:r>
      <w:r w:rsidRPr="00392CBB">
        <w:rPr>
          <w:rFonts w:ascii="Cambria" w:hAnsi="Cambria" w:cs="Times New Roman"/>
          <w:sz w:val="24"/>
          <w:szCs w:val="24"/>
        </w:rPr>
        <w:t xml:space="preserve">all with </w:t>
      </w:r>
      <w:r>
        <w:rPr>
          <w:rFonts w:ascii="Cambria" w:hAnsi="Cambria" w:cs="Times New Roman"/>
          <w:sz w:val="24"/>
          <w:szCs w:val="24"/>
        </w:rPr>
        <w:t>survey point</w:t>
      </w:r>
      <w:r w:rsidRPr="00392CBB">
        <w:rPr>
          <w:rFonts w:ascii="Cambria" w:hAnsi="Cambria" w:cs="Times New Roman"/>
          <w:sz w:val="24"/>
          <w:szCs w:val="24"/>
        </w:rPr>
        <w:t xml:space="preserve"> as a random effect. The ecosystem-type model and the additive model received the most support by AIC (ΔAIC &lt; 2 from one another), while all other models ranked lower. We selected the more parsimonious ecosystem-type model </w:t>
      </w:r>
      <w:r>
        <w:rPr>
          <w:rFonts w:ascii="Cambria" w:hAnsi="Cambria" w:cs="Times New Roman"/>
          <w:sz w:val="24"/>
          <w:szCs w:val="24"/>
        </w:rPr>
        <w:t>because this model fits better with prior hypotheses</w:t>
      </w:r>
      <w:r w:rsidRPr="00392CBB">
        <w:rPr>
          <w:rFonts w:ascii="Cambria" w:hAnsi="Cambria" w:cs="Times New Roman"/>
          <w:sz w:val="24"/>
          <w:szCs w:val="24"/>
        </w:rPr>
        <w:t xml:space="preserve">. Mean turnover at Okefenokee (0.192 ± 0.024 SE) was significantly lower than at Mission Mine (0.296 ± 0.018 SE, p = 0.003) and Sansavilla WMA (0.280 ± 0.017 SE, p = 0.012). Turnover at </w:t>
      </w:r>
      <w:r>
        <w:rPr>
          <w:rFonts w:ascii="Cambria" w:hAnsi="Cambria" w:cs="Times New Roman"/>
          <w:sz w:val="24"/>
          <w:szCs w:val="24"/>
        </w:rPr>
        <w:t>S</w:t>
      </w:r>
      <w:r w:rsidRPr="00392CBB">
        <w:rPr>
          <w:rFonts w:ascii="Cambria" w:hAnsi="Cambria" w:cs="Times New Roman"/>
          <w:sz w:val="24"/>
          <w:szCs w:val="24"/>
        </w:rPr>
        <w:t>ansavilla did not significantly differ from the Mission Mine (p = 0.785).</w:t>
      </w:r>
      <w:r w:rsidR="00E4529B">
        <w:rPr>
          <w:rFonts w:ascii="Cambria" w:hAnsi="Cambria" w:cs="Times New Roman"/>
          <w:sz w:val="24"/>
          <w:szCs w:val="24"/>
        </w:rPr>
        <w:t xml:space="preserve"> </w:t>
      </w:r>
      <w:r w:rsidR="00E4529B" w:rsidRPr="00E4529B">
        <w:rPr>
          <w:rFonts w:ascii="Cambria" w:hAnsi="Cambria" w:cs="Times New Roman"/>
          <w:sz w:val="24"/>
          <w:szCs w:val="24"/>
        </w:rPr>
        <w:t xml:space="preserve">When modeled in isolation, disturbance age was positively associated with turnover (β = 0.064 ± 0.027, p = 0.017), though this effect was </w:t>
      </w:r>
      <w:r w:rsidR="00766A22">
        <w:rPr>
          <w:rFonts w:ascii="Cambria" w:hAnsi="Cambria" w:cs="Times New Roman"/>
          <w:sz w:val="24"/>
          <w:szCs w:val="24"/>
        </w:rPr>
        <w:t>weakened</w:t>
      </w:r>
      <w:r w:rsidR="00E4529B" w:rsidRPr="00E4529B">
        <w:rPr>
          <w:rFonts w:ascii="Cambria" w:hAnsi="Cambria" w:cs="Times New Roman"/>
          <w:sz w:val="24"/>
          <w:szCs w:val="24"/>
        </w:rPr>
        <w:t xml:space="preserve"> after accounting for ecosystem type</w:t>
      </w:r>
      <w:r w:rsidR="00766A22">
        <w:rPr>
          <w:rFonts w:ascii="Cambria" w:hAnsi="Cambria" w:cs="Times New Roman"/>
          <w:sz w:val="24"/>
          <w:szCs w:val="24"/>
        </w:rPr>
        <w:t xml:space="preserve"> in </w:t>
      </w:r>
      <w:r w:rsidR="003736A1">
        <w:rPr>
          <w:rFonts w:ascii="Cambria" w:hAnsi="Cambria" w:cs="Times New Roman"/>
          <w:sz w:val="24"/>
          <w:szCs w:val="24"/>
        </w:rPr>
        <w:t xml:space="preserve">the </w:t>
      </w:r>
      <w:r w:rsidR="00766A22">
        <w:rPr>
          <w:rFonts w:ascii="Cambria" w:hAnsi="Cambria" w:cs="Times New Roman"/>
          <w:sz w:val="24"/>
          <w:szCs w:val="24"/>
        </w:rPr>
        <w:t>interactive model (</w:t>
      </w:r>
      <w:r w:rsidR="00766A22" w:rsidRPr="00E4529B">
        <w:rPr>
          <w:rFonts w:ascii="Cambria" w:hAnsi="Cambria" w:cs="Times New Roman"/>
          <w:sz w:val="24"/>
          <w:szCs w:val="24"/>
        </w:rPr>
        <w:t>β = 0.</w:t>
      </w:r>
      <w:r w:rsidR="00766A22">
        <w:rPr>
          <w:rFonts w:ascii="Cambria" w:hAnsi="Cambria" w:cs="Times New Roman"/>
          <w:sz w:val="24"/>
          <w:szCs w:val="24"/>
        </w:rPr>
        <w:t>084</w:t>
      </w:r>
      <w:r w:rsidR="00766A22" w:rsidRPr="00E4529B">
        <w:rPr>
          <w:rFonts w:ascii="Cambria" w:hAnsi="Cambria" w:cs="Times New Roman"/>
          <w:sz w:val="24"/>
          <w:szCs w:val="24"/>
        </w:rPr>
        <w:t xml:space="preserve"> ± 0.</w:t>
      </w:r>
      <w:r w:rsidR="00766A22">
        <w:rPr>
          <w:rFonts w:ascii="Cambria" w:hAnsi="Cambria" w:cs="Times New Roman"/>
          <w:sz w:val="24"/>
          <w:szCs w:val="24"/>
        </w:rPr>
        <w:t xml:space="preserve">053, p = 0.113). </w:t>
      </w:r>
      <w:r w:rsidR="00766A22" w:rsidRPr="00766A22">
        <w:rPr>
          <w:rFonts w:ascii="Cambria" w:hAnsi="Cambria" w:cs="Times New Roman"/>
          <w:sz w:val="24"/>
          <w:szCs w:val="24"/>
        </w:rPr>
        <w:t>Although turnover tended to increase with disturbance age at Mission Mine (</w:t>
      </w:r>
      <w:r w:rsidR="00766A22" w:rsidRPr="00E4529B">
        <w:rPr>
          <w:rFonts w:ascii="Cambria" w:hAnsi="Cambria" w:cs="Times New Roman"/>
          <w:sz w:val="24"/>
          <w:szCs w:val="24"/>
        </w:rPr>
        <w:t xml:space="preserve">β </w:t>
      </w:r>
      <w:r w:rsidR="00766A22" w:rsidRPr="00766A22">
        <w:rPr>
          <w:rFonts w:ascii="Cambria" w:hAnsi="Cambria" w:cs="Times New Roman"/>
          <w:sz w:val="24"/>
          <w:szCs w:val="24"/>
        </w:rPr>
        <w:t>= 0.084 ± 0.053) and Sansavilla (</w:t>
      </w:r>
      <w:r w:rsidR="00766A22" w:rsidRPr="00E4529B">
        <w:rPr>
          <w:rFonts w:ascii="Cambria" w:hAnsi="Cambria" w:cs="Times New Roman"/>
          <w:sz w:val="24"/>
          <w:szCs w:val="24"/>
        </w:rPr>
        <w:t xml:space="preserve">β </w:t>
      </w:r>
      <w:r w:rsidR="00766A22">
        <w:rPr>
          <w:rFonts w:ascii="Cambria" w:hAnsi="Cambria" w:cs="Times New Roman"/>
          <w:sz w:val="24"/>
          <w:szCs w:val="24"/>
        </w:rPr>
        <w:t xml:space="preserve">= </w:t>
      </w:r>
      <w:r w:rsidR="00766A22" w:rsidRPr="00766A22">
        <w:rPr>
          <w:rFonts w:ascii="Cambria" w:hAnsi="Cambria" w:cs="Times New Roman"/>
          <w:sz w:val="24"/>
          <w:szCs w:val="24"/>
        </w:rPr>
        <w:t>0.043 ± 0.055), slopes did not differ significantly among ecosystem types (all pairwise contrasts p &gt; 0.84), and all confidence intervals overlapped zero.</w:t>
      </w:r>
    </w:p>
    <w:p w14:paraId="5A8AA3CE" w14:textId="0812A023" w:rsidR="00EE45D3" w:rsidRPr="00EE45D3" w:rsidRDefault="00EE45D3" w:rsidP="002023FE">
      <w:pPr>
        <w:spacing w:line="360" w:lineRule="auto"/>
        <w:rPr>
          <w:rFonts w:ascii="Cambria" w:hAnsi="Cambria"/>
          <w:sz w:val="24"/>
          <w:szCs w:val="24"/>
        </w:rPr>
      </w:pPr>
      <w:r w:rsidRPr="00EE45D3">
        <w:rPr>
          <w:rFonts w:ascii="Cambria" w:hAnsi="Cambria"/>
          <w:sz w:val="24"/>
          <w:szCs w:val="24"/>
        </w:rPr>
        <w:drawing>
          <wp:inline distT="0" distB="0" distL="0" distR="0" wp14:anchorId="7B5081A5" wp14:editId="4B7D70B8">
            <wp:extent cx="5943600" cy="3396615"/>
            <wp:effectExtent l="0" t="0" r="0" b="0"/>
            <wp:docPr id="167977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063781E4" w14:textId="77777777" w:rsidR="000B0DBB" w:rsidRDefault="000B0DBB" w:rsidP="002023FE">
      <w:pPr>
        <w:spacing w:line="360" w:lineRule="auto"/>
        <w:rPr>
          <w:rFonts w:ascii="Cambria" w:hAnsi="Cambria"/>
          <w:sz w:val="24"/>
          <w:szCs w:val="24"/>
        </w:rPr>
      </w:pPr>
    </w:p>
    <w:p w14:paraId="7C6BF5B3" w14:textId="6F5D738D" w:rsidR="000C2F1F" w:rsidRDefault="000C2F1F" w:rsidP="002023FE">
      <w:pPr>
        <w:spacing w:line="360" w:lineRule="auto"/>
        <w:rPr>
          <w:rFonts w:ascii="Cambria" w:hAnsi="Cambria"/>
          <w:sz w:val="24"/>
          <w:szCs w:val="24"/>
        </w:rPr>
      </w:pPr>
      <w:r>
        <w:rPr>
          <w:rFonts w:ascii="Cambria" w:hAnsi="Cambria"/>
          <w:b/>
          <w:bCs/>
          <w:sz w:val="24"/>
          <w:szCs w:val="24"/>
        </w:rPr>
        <w:lastRenderedPageBreak/>
        <w:t>Discussion</w:t>
      </w:r>
    </w:p>
    <w:p w14:paraId="76298D19" w14:textId="77777777" w:rsidR="000C2F1F" w:rsidRDefault="000C2F1F" w:rsidP="002023FE">
      <w:pPr>
        <w:spacing w:line="360" w:lineRule="auto"/>
        <w:rPr>
          <w:rFonts w:ascii="Cambria" w:hAnsi="Cambria"/>
          <w:sz w:val="24"/>
          <w:szCs w:val="24"/>
        </w:rPr>
      </w:pPr>
    </w:p>
    <w:p w14:paraId="1037BD30" w14:textId="5FAC125E" w:rsidR="000C2F1F" w:rsidRDefault="000C2F1F" w:rsidP="002023FE">
      <w:pPr>
        <w:spacing w:line="360" w:lineRule="auto"/>
        <w:rPr>
          <w:rFonts w:ascii="Cambria" w:hAnsi="Cambria"/>
          <w:sz w:val="24"/>
          <w:szCs w:val="24"/>
        </w:rPr>
      </w:pPr>
      <w:r>
        <w:rPr>
          <w:rFonts w:ascii="Cambria" w:hAnsi="Cambria"/>
          <w:b/>
          <w:bCs/>
          <w:sz w:val="24"/>
          <w:szCs w:val="24"/>
        </w:rPr>
        <w:t>Bibliography</w:t>
      </w:r>
    </w:p>
    <w:p w14:paraId="0D5D3C99" w14:textId="77777777" w:rsidR="000C2F1F" w:rsidRDefault="000C2F1F" w:rsidP="002023FE">
      <w:pPr>
        <w:spacing w:line="360" w:lineRule="auto"/>
        <w:rPr>
          <w:rFonts w:ascii="Cambria" w:hAnsi="Cambria"/>
          <w:sz w:val="24"/>
          <w:szCs w:val="24"/>
        </w:rPr>
      </w:pPr>
    </w:p>
    <w:p w14:paraId="5747370D" w14:textId="77777777" w:rsidR="000C2F1F" w:rsidRPr="000C2F1F" w:rsidRDefault="000C2F1F" w:rsidP="002023FE">
      <w:pPr>
        <w:spacing w:line="360" w:lineRule="auto"/>
        <w:rPr>
          <w:rFonts w:ascii="Cambria" w:hAnsi="Cambria"/>
          <w:sz w:val="24"/>
          <w:szCs w:val="24"/>
        </w:rPr>
      </w:pPr>
    </w:p>
    <w:sectPr w:rsidR="000C2F1F" w:rsidRPr="000C2F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F1F"/>
    <w:rsid w:val="000B0DBB"/>
    <w:rsid w:val="000C2F1F"/>
    <w:rsid w:val="00172B15"/>
    <w:rsid w:val="001C0B74"/>
    <w:rsid w:val="002023FE"/>
    <w:rsid w:val="00306499"/>
    <w:rsid w:val="003736A1"/>
    <w:rsid w:val="00392CBB"/>
    <w:rsid w:val="003E573C"/>
    <w:rsid w:val="0042190E"/>
    <w:rsid w:val="00434874"/>
    <w:rsid w:val="00462217"/>
    <w:rsid w:val="004706AA"/>
    <w:rsid w:val="004B45F9"/>
    <w:rsid w:val="00591F53"/>
    <w:rsid w:val="00667110"/>
    <w:rsid w:val="006748F8"/>
    <w:rsid w:val="006A3D5F"/>
    <w:rsid w:val="006A787D"/>
    <w:rsid w:val="00766A22"/>
    <w:rsid w:val="00794566"/>
    <w:rsid w:val="007D08BE"/>
    <w:rsid w:val="007D3BBD"/>
    <w:rsid w:val="008233BD"/>
    <w:rsid w:val="00837EB2"/>
    <w:rsid w:val="00890E01"/>
    <w:rsid w:val="00905F8A"/>
    <w:rsid w:val="00B309A0"/>
    <w:rsid w:val="00BF7B74"/>
    <w:rsid w:val="00C10469"/>
    <w:rsid w:val="00C35E08"/>
    <w:rsid w:val="00C43BDE"/>
    <w:rsid w:val="00C52196"/>
    <w:rsid w:val="00CE7F4A"/>
    <w:rsid w:val="00DE7677"/>
    <w:rsid w:val="00E4529B"/>
    <w:rsid w:val="00E961F9"/>
    <w:rsid w:val="00EE45D3"/>
    <w:rsid w:val="00F127B0"/>
    <w:rsid w:val="00F249B4"/>
    <w:rsid w:val="00F64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6D01B"/>
  <w15:chartTrackingRefBased/>
  <w15:docId w15:val="{D1CAA63F-41B1-465A-8C98-2496FD7D0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2F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2F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2F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2F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2F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2F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2F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2F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2F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2F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2F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2F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2F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2F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2F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2F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2F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2F1F"/>
    <w:rPr>
      <w:rFonts w:eastAsiaTheme="majorEastAsia" w:cstheme="majorBidi"/>
      <w:color w:val="272727" w:themeColor="text1" w:themeTint="D8"/>
    </w:rPr>
  </w:style>
  <w:style w:type="paragraph" w:styleId="Title">
    <w:name w:val="Title"/>
    <w:basedOn w:val="Normal"/>
    <w:next w:val="Normal"/>
    <w:link w:val="TitleChar"/>
    <w:uiPriority w:val="10"/>
    <w:qFormat/>
    <w:rsid w:val="000C2F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2F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2F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2F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2F1F"/>
    <w:pPr>
      <w:spacing w:before="160"/>
      <w:jc w:val="center"/>
    </w:pPr>
    <w:rPr>
      <w:i/>
      <w:iCs/>
      <w:color w:val="404040" w:themeColor="text1" w:themeTint="BF"/>
    </w:rPr>
  </w:style>
  <w:style w:type="character" w:customStyle="1" w:styleId="QuoteChar">
    <w:name w:val="Quote Char"/>
    <w:basedOn w:val="DefaultParagraphFont"/>
    <w:link w:val="Quote"/>
    <w:uiPriority w:val="29"/>
    <w:rsid w:val="000C2F1F"/>
    <w:rPr>
      <w:i/>
      <w:iCs/>
      <w:color w:val="404040" w:themeColor="text1" w:themeTint="BF"/>
    </w:rPr>
  </w:style>
  <w:style w:type="paragraph" w:styleId="ListParagraph">
    <w:name w:val="List Paragraph"/>
    <w:basedOn w:val="Normal"/>
    <w:uiPriority w:val="34"/>
    <w:qFormat/>
    <w:rsid w:val="000C2F1F"/>
    <w:pPr>
      <w:ind w:left="720"/>
      <w:contextualSpacing/>
    </w:pPr>
  </w:style>
  <w:style w:type="character" w:styleId="IntenseEmphasis">
    <w:name w:val="Intense Emphasis"/>
    <w:basedOn w:val="DefaultParagraphFont"/>
    <w:uiPriority w:val="21"/>
    <w:qFormat/>
    <w:rsid w:val="000C2F1F"/>
    <w:rPr>
      <w:i/>
      <w:iCs/>
      <w:color w:val="2F5496" w:themeColor="accent1" w:themeShade="BF"/>
    </w:rPr>
  </w:style>
  <w:style w:type="paragraph" w:styleId="IntenseQuote">
    <w:name w:val="Intense Quote"/>
    <w:basedOn w:val="Normal"/>
    <w:next w:val="Normal"/>
    <w:link w:val="IntenseQuoteChar"/>
    <w:uiPriority w:val="30"/>
    <w:qFormat/>
    <w:rsid w:val="000C2F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2F1F"/>
    <w:rPr>
      <w:i/>
      <w:iCs/>
      <w:color w:val="2F5496" w:themeColor="accent1" w:themeShade="BF"/>
    </w:rPr>
  </w:style>
  <w:style w:type="character" w:styleId="IntenseReference">
    <w:name w:val="Intense Reference"/>
    <w:basedOn w:val="DefaultParagraphFont"/>
    <w:uiPriority w:val="32"/>
    <w:qFormat/>
    <w:rsid w:val="000C2F1F"/>
    <w:rPr>
      <w:b/>
      <w:bCs/>
      <w:smallCaps/>
      <w:color w:val="2F5496" w:themeColor="accent1" w:themeShade="BF"/>
      <w:spacing w:val="5"/>
    </w:rPr>
  </w:style>
  <w:style w:type="paragraph" w:styleId="Caption">
    <w:name w:val="caption"/>
    <w:basedOn w:val="Normal"/>
    <w:next w:val="Normal"/>
    <w:uiPriority w:val="35"/>
    <w:unhideWhenUsed/>
    <w:qFormat/>
    <w:rsid w:val="006A3D5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11</Pages>
  <Words>11108</Words>
  <Characters>63320</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Stalheim</dc:creator>
  <cp:keywords/>
  <dc:description/>
  <cp:lastModifiedBy>Benjamin Stalheim</cp:lastModifiedBy>
  <cp:revision>21</cp:revision>
  <dcterms:created xsi:type="dcterms:W3CDTF">2026-04-27T16:51:00Z</dcterms:created>
  <dcterms:modified xsi:type="dcterms:W3CDTF">2026-04-28T15:34:00Z</dcterms:modified>
</cp:coreProperties>
</file>