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Ficha técnica — Compresor de tornillo NV-2240</w:t>
      </w:r>
    </w:p>
    <w:p>
      <w:pPr>
        <w:pBdr>
          <w:bottom w:val="single" w:color="1F3A5F" w:sz="6" w:space="4"/>
        </w:pBdr>
        <w:spacing w:after="240"/>
      </w:pPr>
      <w:r>
        <w:rPr>
          <w:rFonts w:ascii="Calibri" w:cs="Calibri" w:eastAsia="Calibri" w:hAnsi="Calibri"/>
          <w:color w:val="666666"/>
          <w:sz w:val="18"/>
          <w:szCs w:val="18"/>
        </w:rPr>
        <w:t xml:space="preserve">Documento FT-NV-2240 · Revisión 2 · 06/05/2024 · Norvent Industrial S.A.</w:t>
      </w:r>
    </w:p>
    <w:p>
      <w:pPr>
        <w:pStyle w:val="Heading2"/>
        <w:spacing w:after="100" w:before="220"/>
      </w:pPr>
      <w:r>
        <w:rPr>
          <w:rFonts w:ascii="Calibri" w:cs="Calibri" w:eastAsia="Calibri" w:hAnsi="Calibri"/>
        </w:rPr>
        <w:t xml:space="preserve">1. Descripción general</w:t>
      </w:r>
    </w:p>
    <w:p>
      <w:pPr>
        <w:spacing w:after="140"/>
      </w:pPr>
      <w:r>
        <w:rPr>
          <w:rFonts w:ascii="Calibri" w:cs="Calibri" w:eastAsia="Calibri" w:hAnsi="Calibri"/>
          <w:sz w:val="21"/>
          <w:szCs w:val="21"/>
        </w:rPr>
        <w:t xml:space="preserve">El NV-2240 es un compresor de tornillo rotativo con inyección de aceite, diseñado para funcionamiento continuo en entornos industriales. Integra motor eléctrico de alta eficiencia, secador frigorífico opcional y controlador electrónico Norvent Control. Está indicado para aplicaciones de aire comprimido en líneas de ensamblaje, talleres de mecanizado y plantas de envasado.</w:t>
      </w:r>
    </w:p>
    <w:p>
      <w:pPr>
        <w:spacing w:after="140"/>
      </w:pPr>
      <w:r>
        <w:rPr>
          <w:rFonts w:ascii="Calibri" w:cs="Calibri" w:eastAsia="Calibri" w:hAnsi="Calibri"/>
          <w:sz w:val="21"/>
          <w:szCs w:val="21"/>
        </w:rPr>
        <w:t xml:space="preserve">La unidad se suministra montada sobre bancada con amortiguadores y carenado insonorizado. La potencia nominal del motor es de 30 kW y el caudal de aire libre entregado es de 5,1 m³/min a la presión de trabajo nominal de 8,0 bar. La presión máxima admisible de trabajo es de 10,0 bar.</w:t>
      </w:r>
    </w:p>
    <w:p>
      <w:pPr>
        <w:pStyle w:val="Heading2"/>
        <w:spacing w:after="100" w:before="220"/>
      </w:pPr>
      <w:r>
        <w:rPr>
          <w:rFonts w:ascii="Calibri" w:cs="Calibri" w:eastAsia="Calibri" w:hAnsi="Calibri"/>
        </w:rPr>
        <w:t xml:space="preserve">2. Condiciones de instalación</w:t>
      </w:r>
    </w:p>
    <w:p>
      <w:pPr>
        <w:spacing w:after="140"/>
      </w:pPr>
      <w:r>
        <w:rPr>
          <w:rFonts w:ascii="Calibri" w:cs="Calibri" w:eastAsia="Calibri" w:hAnsi="Calibri"/>
          <w:sz w:val="21"/>
          <w:szCs w:val="21"/>
        </w:rPr>
        <w:t xml:space="preserve">El equipo debe instalarse en sala ventilada con temperatura ambiente comprendida entre 5 °C y 45 °C. El nivel de presión sonora a 1 metro es de 69 dB(A). El peso en orden de marcha es de 610 kg y las dimensiones exteriores son 1550 × 900 × 1350 mm (largo × ancho × alto). La alimentación eléctrica requerida es trifásica 400 V / 50 Hz.</w:t>
      </w:r>
    </w:p>
    <w:p>
      <w:pPr>
        <w:spacing w:after="140"/>
      </w:pPr>
      <w:r>
        <w:rPr>
          <w:rFonts w:ascii="Calibri" w:cs="Calibri" w:eastAsia="Calibri" w:hAnsi="Calibri"/>
          <w:sz w:val="21"/>
          <w:szCs w:val="21"/>
        </w:rPr>
        <w:t xml:space="preserve">Se recomienda dejar un espacio libre mínimo de 800 mm en los laterales de acceso para mantenimiento. La conexión de salida de aire es de G 1 1/4".</w:t>
      </w:r>
    </w:p>
    <w:p>
      <w:pPr>
        <w:pStyle w:val="Heading2"/>
        <w:spacing w:after="100" w:before="220"/>
      </w:pPr>
      <w:r>
        <w:rPr>
          <w:rFonts w:ascii="Calibri" w:cs="Calibri" w:eastAsia="Calibri" w:hAnsi="Calibri"/>
        </w:rPr>
        <w:t xml:space="preserve">3. Control y supervisión</w:t>
      </w:r>
    </w:p>
    <w:p>
      <w:pPr>
        <w:spacing w:after="140"/>
      </w:pPr>
      <w:r>
        <w:rPr>
          <w:rFonts w:ascii="Calibri" w:cs="Calibri" w:eastAsia="Calibri" w:hAnsi="Calibri"/>
          <w:sz w:val="21"/>
          <w:szCs w:val="21"/>
        </w:rPr>
        <w:t xml:space="preserve">El controlador Norvent Control monitoriza presión, temperatura de descarga, horas de funcionamiento y nivel de vibración en el rodamiento del lado de accionamiento. La versión mínima de firmware compatible con este modelo es la 3.4.2. El umbral de alarma por vibración configurado de fábrica es de 8,0 mm/s RMS; al superarlo, el equipo pasa a modo de descarga y registra el evento.</w:t>
      </w:r>
    </w:p>
    <w:p>
      <w:pPr>
        <w:pStyle w:val="Heading2"/>
        <w:spacing w:after="100" w:before="220"/>
      </w:pPr>
      <w:r>
        <w:rPr>
          <w:rFonts w:ascii="Calibri" w:cs="Calibri" w:eastAsia="Calibri" w:hAnsi="Calibri"/>
        </w:rPr>
        <w:t xml:space="preserve">4. Mantenimiento</w:t>
      </w:r>
    </w:p>
    <w:p>
      <w:pPr>
        <w:spacing w:after="140"/>
      </w:pPr>
      <w:r>
        <w:rPr>
          <w:rFonts w:ascii="Calibri" w:cs="Calibri" w:eastAsia="Calibri" w:hAnsi="Calibri"/>
          <w:sz w:val="21"/>
          <w:szCs w:val="21"/>
        </w:rPr>
        <w:t xml:space="preserve">El cambio de aceite debe realizarse cada 4000 horas de funcionamiento utilizando aceite Norvent Lube S-46. El filtro de aire se sustituye cada 2000 horas y el separador aire-aceite cada 4000 horas. La inspección de rodamientos está prevista cada 8000 horas o cada 6 meses, lo que antes se cumpla.</w:t>
      </w:r>
    </w:p>
    <w:p>
      <w:pPr>
        <w:spacing w:after="140"/>
      </w:pPr>
      <w:r>
        <w:rPr>
          <w:rFonts w:ascii="Calibri" w:cs="Calibri" w:eastAsia="Calibri" w:hAnsi="Calibri"/>
          <w:sz w:val="21"/>
          <w:szCs w:val="21"/>
        </w:rPr>
        <w:t xml:space="preserve">La garantía estándar es de 24 meses desde la puesta en marcha, ampliable con contrato de mantenimiento Norvent Care.</w:t>
      </w:r>
    </w:p>
    <w:p>
      <w:pPr>
        <w:pStyle w:val="Heading2"/>
        <w:spacing w:after="100" w:before="220"/>
      </w:pPr>
      <w:r>
        <w:rPr>
          <w:rFonts w:ascii="Calibri" w:cs="Calibri" w:eastAsia="Calibri" w:hAnsi="Calibri"/>
        </w:rPr>
        <w:t xml:space="preserve">5. Identificación</w:t>
      </w:r>
    </w:p>
    <w:p>
      <w:pPr>
        <w:spacing w:after="140"/>
      </w:pPr>
      <w:r>
        <w:rPr>
          <w:rFonts w:ascii="Calibri" w:cs="Calibri" w:eastAsia="Calibri" w:hAnsi="Calibri"/>
          <w:sz w:val="21"/>
          <w:szCs w:val="21"/>
        </w:rPr>
        <w:t xml:space="preserve">Las unidades de este modelo fabricadas con esta revisión de ficha corresponden a los números de serie 24A-1200 en adelante. Referencia de pedido: NVI-30-080.</w:t>
      </w:r>
    </w:p>
    <w:p>
      <w:pPr>
        <w:pStyle w:val="Heading2"/>
        <w:spacing w:after="100" w:before="220"/>
      </w:pPr>
      <w:r>
        <w:rPr>
          <w:rFonts w:ascii="Calibri" w:cs="Calibri" w:eastAsia="Calibri" w:hAnsi="Calibri"/>
        </w:rPr>
        <w:t xml:space="preserve">6. Cambios respecto a la revisión anterior</w:t>
      </w:r>
    </w:p>
    <w:p>
      <w:pPr>
        <w:spacing w:after="140"/>
      </w:pPr>
      <w:r>
        <w:rPr>
          <w:rFonts w:ascii="Calibri" w:cs="Calibri" w:eastAsia="Calibri" w:hAnsi="Calibri"/>
          <w:sz w:val="21"/>
          <w:szCs w:val="21"/>
        </w:rPr>
        <w:t xml:space="preserve">Actualización de firmware mínimo, reducción del umbral de alarma por vibración e intervalo de inspección de rodamientos reducido, conforme a la orden de cambio OC-2024-022. Especificación de rodamiento del lado de accionamiento con holgura interna C3 obligatoria.</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FT-NV-2240 Rev.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2026-09-16T17:25:17.394Z</dcterms:created>
  <dcterms:modified xsi:type="dcterms:W3CDTF">2026-09-16T17:25:17.394Z</dcterms:modified>
</cp:coreProperties>
</file>

<file path=docProps/custom.xml><?xml version="1.0" encoding="utf-8"?>
<Properties xmlns="http://schemas.openxmlformats.org/officeDocument/2006/custom-properties" xmlns:vt="http://schemas.openxmlformats.org/officeDocument/2006/docPropsVTypes"/>
</file>