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56"/>
        <w:gridCol w:w="9910"/>
      </w:tblGrid>
      <w:tr w:rsidR="00F35254" w14:paraId="05598B60" w14:textId="77777777" w:rsidTr="00853025">
        <w:trPr>
          <w:tblCellSpacing w:w="15" w:type="dxa"/>
        </w:trPr>
        <w:tc>
          <w:tcPr>
            <w:tcW w:w="0" w:type="auto"/>
            <w:gridSpan w:val="2"/>
            <w:vAlign w:val="center"/>
            <w:hideMark/>
          </w:tcPr>
          <w:p w14:paraId="58C7D595" w14:textId="77777777" w:rsidR="00F35254" w:rsidRDefault="00000000" w:rsidP="00853025">
            <w:pPr>
              <w:rPr>
                <w:rFonts w:eastAsia="Times New Roman"/>
                <w:sz w:val="24"/>
                <w:szCs w:val="24"/>
              </w:rPr>
            </w:pPr>
            <w:r>
              <w:rPr>
                <w:rFonts w:eastAsia="Times New Roman"/>
              </w:rPr>
              <w:pict w14:anchorId="423B3F0C">
                <v:rect id="_x0000_i1025" style="width:0;height:1.5pt" o:hralign="center" o:hrstd="t" o:hr="t" fillcolor="#a0a0a0" stroked="f"/>
              </w:pict>
            </w:r>
          </w:p>
        </w:tc>
      </w:tr>
      <w:tr w:rsidR="00F35254" w14:paraId="40B7BCB6" w14:textId="77777777" w:rsidTr="00853025">
        <w:trPr>
          <w:tblCellSpacing w:w="15" w:type="dxa"/>
        </w:trPr>
        <w:tc>
          <w:tcPr>
            <w:tcW w:w="0" w:type="auto"/>
            <w:gridSpan w:val="2"/>
            <w:vAlign w:val="center"/>
            <w:hideMark/>
          </w:tcPr>
          <w:p w14:paraId="574497F9" w14:textId="77777777" w:rsidR="00F35254" w:rsidRDefault="00F35254" w:rsidP="00853025">
            <w:pPr>
              <w:pStyle w:val="Heading1"/>
              <w:rPr>
                <w:rFonts w:eastAsia="Times New Roman"/>
              </w:rPr>
            </w:pPr>
            <w:r>
              <w:rPr>
                <w:rFonts w:eastAsia="Times New Roman"/>
              </w:rPr>
              <w:t xml:space="preserve">Connecting complex and simplified models of tipping elements: a nonlinear two-forcing emulator for the Atlantic meridional overturning circulation </w:t>
            </w:r>
          </w:p>
          <w:p w14:paraId="7D870AD6" w14:textId="10F9F3ED" w:rsidR="00F35254" w:rsidRDefault="00F35254" w:rsidP="00853025">
            <w:pPr>
              <w:pStyle w:val="footnote"/>
              <w:outlineLvl w:val="1"/>
              <w:rPr>
                <w:b/>
                <w:bCs/>
                <w:kern w:val="36"/>
                <w:sz w:val="48"/>
                <w:szCs w:val="48"/>
              </w:rPr>
            </w:pPr>
            <w:r>
              <w:rPr>
                <w:b/>
                <w:bCs/>
                <w:kern w:val="36"/>
                <w:sz w:val="48"/>
                <w:szCs w:val="48"/>
              </w:rPr>
              <w:t>[version 1; peer review: 1 approved, 1 approved with reservations]</w:t>
            </w:r>
          </w:p>
        </w:tc>
      </w:tr>
      <w:tr w:rsidR="00F35254" w14:paraId="5693F6D2" w14:textId="77777777" w:rsidTr="00853025">
        <w:trPr>
          <w:tblCellSpacing w:w="15" w:type="dxa"/>
        </w:trPr>
        <w:tc>
          <w:tcPr>
            <w:tcW w:w="0" w:type="auto"/>
            <w:gridSpan w:val="2"/>
            <w:vAlign w:val="center"/>
            <w:hideMark/>
          </w:tcPr>
          <w:p w14:paraId="63CF6D74" w14:textId="77777777" w:rsidR="00F35254" w:rsidRDefault="00F35254" w:rsidP="00853025">
            <w:pPr>
              <w:jc w:val="center"/>
              <w:rPr>
                <w:rStyle w:val="metadata-group"/>
                <w:rFonts w:eastAsia="Times New Roman"/>
                <w:sz w:val="24"/>
                <w:szCs w:val="24"/>
              </w:rPr>
            </w:pPr>
            <w:r>
              <w:rPr>
                <w:rStyle w:val="metadata-entry"/>
                <w:rFonts w:eastAsia="Times New Roman"/>
              </w:rPr>
              <w:t>Amaury Laridon</w:t>
            </w:r>
            <w:hyperlink w:anchor="c1" w:history="1">
              <w:r>
                <w:rPr>
                  <w:rStyle w:val="Hyperlink"/>
                  <w:rFonts w:eastAsia="Times New Roman"/>
                  <w:vertAlign w:val="superscript"/>
                </w:rPr>
                <w:t>a</w:t>
              </w:r>
            </w:hyperlink>
            <w:hyperlink w:anchor="a1" w:history="1">
              <w:r>
                <w:rPr>
                  <w:rStyle w:val="Hyperlink"/>
                  <w:rFonts w:eastAsia="Times New Roman"/>
                  <w:vertAlign w:val="superscript"/>
                </w:rPr>
                <w:t>1</w:t>
              </w:r>
            </w:hyperlink>
            <w:hyperlink w:anchor="a2" w:history="1">
              <w:r>
                <w:rPr>
                  <w:rStyle w:val="Hyperlink"/>
                  <w:rFonts w:eastAsia="Times New Roman"/>
                  <w:vertAlign w:val="superscript"/>
                </w:rPr>
                <w:t>2</w:t>
              </w:r>
            </w:hyperlink>
          </w:p>
          <w:p w14:paraId="27A6E517" w14:textId="77777777" w:rsidR="00F35254" w:rsidRDefault="00F35254" w:rsidP="00853025">
            <w:pPr>
              <w:pStyle w:val="metadata-entry1"/>
              <w:jc w:val="center"/>
            </w:pPr>
            <w:r>
              <w:t>Conceptualization</w:t>
            </w:r>
          </w:p>
          <w:p w14:paraId="48AF770D" w14:textId="77777777" w:rsidR="00F35254" w:rsidRDefault="00F35254" w:rsidP="00853025">
            <w:pPr>
              <w:pStyle w:val="metadata-entry1"/>
              <w:jc w:val="center"/>
            </w:pPr>
            <w:r>
              <w:t>Data Curation</w:t>
            </w:r>
          </w:p>
          <w:p w14:paraId="0E770372" w14:textId="77777777" w:rsidR="00F35254" w:rsidRDefault="00F35254" w:rsidP="00853025">
            <w:pPr>
              <w:pStyle w:val="metadata-entry1"/>
              <w:jc w:val="center"/>
            </w:pPr>
            <w:r>
              <w:t>Formal Analysis</w:t>
            </w:r>
          </w:p>
          <w:p w14:paraId="06CBD81A" w14:textId="77777777" w:rsidR="00F35254" w:rsidRDefault="00F35254" w:rsidP="00853025">
            <w:pPr>
              <w:pStyle w:val="metadata-entry1"/>
              <w:jc w:val="center"/>
            </w:pPr>
            <w:r>
              <w:t>Funding Acquisition</w:t>
            </w:r>
          </w:p>
          <w:p w14:paraId="552E0CF3" w14:textId="77777777" w:rsidR="00F35254" w:rsidRDefault="00F35254" w:rsidP="00853025">
            <w:pPr>
              <w:pStyle w:val="metadata-entry1"/>
              <w:jc w:val="center"/>
            </w:pPr>
            <w:r>
              <w:t>Investigation</w:t>
            </w:r>
          </w:p>
          <w:p w14:paraId="62B3A642" w14:textId="77777777" w:rsidR="00F35254" w:rsidRDefault="00F35254" w:rsidP="00853025">
            <w:pPr>
              <w:pStyle w:val="metadata-entry1"/>
              <w:jc w:val="center"/>
            </w:pPr>
            <w:r>
              <w:t>Methodology</w:t>
            </w:r>
          </w:p>
          <w:p w14:paraId="20FE25F8" w14:textId="77777777" w:rsidR="00F35254" w:rsidRDefault="00F35254" w:rsidP="00853025">
            <w:pPr>
              <w:pStyle w:val="metadata-entry1"/>
              <w:jc w:val="center"/>
            </w:pPr>
            <w:r>
              <w:t>Project Administration</w:t>
            </w:r>
          </w:p>
          <w:p w14:paraId="51035576" w14:textId="77777777" w:rsidR="00F35254" w:rsidRDefault="00F35254" w:rsidP="00853025">
            <w:pPr>
              <w:pStyle w:val="metadata-entry1"/>
              <w:jc w:val="center"/>
            </w:pPr>
            <w:r>
              <w:t>Software</w:t>
            </w:r>
          </w:p>
          <w:p w14:paraId="07F27CD1" w14:textId="77777777" w:rsidR="00F35254" w:rsidRDefault="00F35254" w:rsidP="00853025">
            <w:pPr>
              <w:pStyle w:val="metadata-entry1"/>
              <w:jc w:val="center"/>
            </w:pPr>
            <w:r>
              <w:t>Supervision</w:t>
            </w:r>
          </w:p>
          <w:p w14:paraId="7CAB1572" w14:textId="77777777" w:rsidR="00F35254" w:rsidRDefault="00F35254" w:rsidP="00853025">
            <w:pPr>
              <w:pStyle w:val="metadata-entry1"/>
              <w:jc w:val="center"/>
            </w:pPr>
            <w:r>
              <w:t>Validation</w:t>
            </w:r>
          </w:p>
          <w:p w14:paraId="4A62A71B" w14:textId="77777777" w:rsidR="00F35254" w:rsidRDefault="00F35254" w:rsidP="00853025">
            <w:pPr>
              <w:pStyle w:val="metadata-entry1"/>
              <w:jc w:val="center"/>
            </w:pPr>
            <w:r>
              <w:t>Visualization</w:t>
            </w:r>
          </w:p>
          <w:p w14:paraId="45B197D7" w14:textId="77777777" w:rsidR="00F35254" w:rsidRDefault="00F35254" w:rsidP="00853025">
            <w:pPr>
              <w:pStyle w:val="metadata-entry1"/>
              <w:jc w:val="center"/>
            </w:pPr>
            <w:r>
              <w:t>Writing – Original Draft Preparation</w:t>
            </w:r>
          </w:p>
          <w:p w14:paraId="491AF590" w14:textId="77777777" w:rsidR="00F35254" w:rsidRDefault="00F35254" w:rsidP="00853025">
            <w:pPr>
              <w:pStyle w:val="metadata-entry1"/>
              <w:jc w:val="center"/>
            </w:pPr>
            <w:r>
              <w:t>Writing – Review &amp; Editing</w:t>
            </w:r>
          </w:p>
          <w:p w14:paraId="2A4B62B7" w14:textId="77777777" w:rsidR="00F35254" w:rsidRDefault="00F35254" w:rsidP="00853025">
            <w:pPr>
              <w:pStyle w:val="metadata-entry1"/>
              <w:jc w:val="center"/>
            </w:pPr>
            <w:r>
              <w:rPr>
                <w:rStyle w:val="generated"/>
              </w:rPr>
              <w:t xml:space="preserve">URI: </w:t>
            </w:r>
            <w:hyperlink r:id="rId11" w:tgtFrame="xrefwindow" w:history="1">
              <w:r>
                <w:rPr>
                  <w:rStyle w:val="Hyperlink"/>
                </w:rPr>
                <w:t>https://orcid.org/0009-0009-6559-9249</w:t>
              </w:r>
            </w:hyperlink>
          </w:p>
          <w:p w14:paraId="2916D24F" w14:textId="77777777" w:rsidR="00F35254" w:rsidRDefault="00F35254" w:rsidP="00853025">
            <w:pPr>
              <w:jc w:val="center"/>
              <w:rPr>
                <w:rStyle w:val="metadata-group"/>
                <w:rFonts w:eastAsia="Times New Roman"/>
              </w:rPr>
            </w:pPr>
            <w:r>
              <w:rPr>
                <w:rFonts w:eastAsia="Times New Roman"/>
              </w:rPr>
              <w:t xml:space="preserve">, </w:t>
            </w:r>
            <w:bookmarkStart w:id="0" w:name="d4086e114"/>
            <w:bookmarkEnd w:id="0"/>
            <w:r>
              <w:rPr>
                <w:rStyle w:val="metadata-entry"/>
                <w:rFonts w:eastAsia="Times New Roman"/>
              </w:rPr>
              <w:t>Victor Couplet</w:t>
            </w:r>
            <w:hyperlink w:anchor="a2" w:history="1">
              <w:r>
                <w:rPr>
                  <w:rStyle w:val="Hyperlink"/>
                  <w:rFonts w:eastAsia="Times New Roman"/>
                  <w:vertAlign w:val="superscript"/>
                </w:rPr>
                <w:t>2</w:t>
              </w:r>
            </w:hyperlink>
          </w:p>
          <w:p w14:paraId="6B8EF3A4" w14:textId="77777777" w:rsidR="00F35254" w:rsidRDefault="00F35254" w:rsidP="00853025">
            <w:pPr>
              <w:pStyle w:val="metadata-entry1"/>
              <w:jc w:val="center"/>
            </w:pPr>
            <w:r>
              <w:t>Conceptualization</w:t>
            </w:r>
          </w:p>
          <w:p w14:paraId="6625DDB3" w14:textId="77777777" w:rsidR="00F35254" w:rsidRDefault="00F35254" w:rsidP="00853025">
            <w:pPr>
              <w:pStyle w:val="metadata-entry1"/>
              <w:jc w:val="center"/>
            </w:pPr>
            <w:r>
              <w:t>Formal Analysis</w:t>
            </w:r>
          </w:p>
          <w:p w14:paraId="55B7176F" w14:textId="77777777" w:rsidR="00F35254" w:rsidRDefault="00F35254" w:rsidP="00853025">
            <w:pPr>
              <w:pStyle w:val="metadata-entry1"/>
              <w:jc w:val="center"/>
            </w:pPr>
            <w:r>
              <w:t>Methodology</w:t>
            </w:r>
          </w:p>
          <w:p w14:paraId="6C0ADD61" w14:textId="77777777" w:rsidR="00F35254" w:rsidRDefault="00F35254" w:rsidP="00853025">
            <w:pPr>
              <w:pStyle w:val="metadata-entry1"/>
              <w:jc w:val="center"/>
            </w:pPr>
            <w:r>
              <w:t>Project Administration</w:t>
            </w:r>
          </w:p>
          <w:p w14:paraId="77DBCD31" w14:textId="77777777" w:rsidR="00F35254" w:rsidRDefault="00F35254" w:rsidP="00853025">
            <w:pPr>
              <w:pStyle w:val="metadata-entry1"/>
              <w:jc w:val="center"/>
            </w:pPr>
            <w:r>
              <w:t>Resources</w:t>
            </w:r>
          </w:p>
          <w:p w14:paraId="465BD3DA" w14:textId="77777777" w:rsidR="00F35254" w:rsidRDefault="00F35254" w:rsidP="00853025">
            <w:pPr>
              <w:pStyle w:val="metadata-entry1"/>
              <w:jc w:val="center"/>
            </w:pPr>
            <w:r>
              <w:lastRenderedPageBreak/>
              <w:t>Software</w:t>
            </w:r>
          </w:p>
          <w:p w14:paraId="4BDB2032" w14:textId="77777777" w:rsidR="00F35254" w:rsidRDefault="00F35254" w:rsidP="00853025">
            <w:pPr>
              <w:pStyle w:val="metadata-entry1"/>
              <w:jc w:val="center"/>
            </w:pPr>
            <w:r>
              <w:t>Supervision</w:t>
            </w:r>
          </w:p>
          <w:p w14:paraId="306EFB60" w14:textId="77777777" w:rsidR="00F35254" w:rsidRDefault="00F35254" w:rsidP="00853025">
            <w:pPr>
              <w:pStyle w:val="metadata-entry1"/>
              <w:jc w:val="center"/>
            </w:pPr>
            <w:r>
              <w:t>Writing – Review &amp; Editing</w:t>
            </w:r>
          </w:p>
          <w:p w14:paraId="2CAE6A38" w14:textId="77777777" w:rsidR="00F35254" w:rsidRDefault="00F35254" w:rsidP="00853025">
            <w:pPr>
              <w:jc w:val="center"/>
              <w:rPr>
                <w:rStyle w:val="metadata-group"/>
                <w:rFonts w:eastAsia="Times New Roman"/>
              </w:rPr>
            </w:pPr>
            <w:r>
              <w:rPr>
                <w:rFonts w:eastAsia="Times New Roman"/>
              </w:rPr>
              <w:t xml:space="preserve">, </w:t>
            </w:r>
            <w:bookmarkStart w:id="1" w:name="d4086e154"/>
            <w:bookmarkEnd w:id="1"/>
            <w:r>
              <w:rPr>
                <w:rStyle w:val="metadata-entry"/>
                <w:rFonts w:eastAsia="Times New Roman"/>
              </w:rPr>
              <w:t>Justin Gérard</w:t>
            </w:r>
            <w:hyperlink w:anchor="a2" w:history="1">
              <w:r>
                <w:rPr>
                  <w:rStyle w:val="Hyperlink"/>
                  <w:rFonts w:eastAsia="Times New Roman"/>
                  <w:vertAlign w:val="superscript"/>
                </w:rPr>
                <w:t>2</w:t>
              </w:r>
            </w:hyperlink>
          </w:p>
          <w:p w14:paraId="3A2D9FBD" w14:textId="77777777" w:rsidR="00F35254" w:rsidRDefault="00F35254" w:rsidP="00853025">
            <w:pPr>
              <w:pStyle w:val="metadata-entry1"/>
              <w:jc w:val="center"/>
            </w:pPr>
            <w:r>
              <w:t>Resources</w:t>
            </w:r>
          </w:p>
          <w:p w14:paraId="0355F4C0" w14:textId="77777777" w:rsidR="00F35254" w:rsidRDefault="00F35254" w:rsidP="00853025">
            <w:pPr>
              <w:pStyle w:val="metadata-entry1"/>
              <w:jc w:val="center"/>
            </w:pPr>
            <w:r>
              <w:t>Writing – Review &amp; Editing</w:t>
            </w:r>
          </w:p>
          <w:p w14:paraId="139B0A1F" w14:textId="77777777" w:rsidR="00F35254" w:rsidRDefault="00F35254" w:rsidP="00853025">
            <w:pPr>
              <w:jc w:val="center"/>
              <w:rPr>
                <w:rStyle w:val="metadata-group"/>
                <w:rFonts w:eastAsia="Times New Roman"/>
              </w:rPr>
            </w:pPr>
            <w:r>
              <w:rPr>
                <w:rFonts w:eastAsia="Times New Roman"/>
              </w:rPr>
              <w:t xml:space="preserve">, </w:t>
            </w:r>
            <w:bookmarkStart w:id="2" w:name="d4086e175"/>
            <w:bookmarkEnd w:id="2"/>
            <w:r>
              <w:rPr>
                <w:rStyle w:val="metadata-entry"/>
                <w:rFonts w:eastAsia="Times New Roman"/>
              </w:rPr>
              <w:t>Wim Thiery</w:t>
            </w:r>
            <w:hyperlink w:anchor="a1" w:history="1">
              <w:r>
                <w:rPr>
                  <w:rStyle w:val="Hyperlink"/>
                  <w:rFonts w:eastAsia="Times New Roman"/>
                  <w:vertAlign w:val="superscript"/>
                </w:rPr>
                <w:t>1</w:t>
              </w:r>
            </w:hyperlink>
          </w:p>
          <w:p w14:paraId="3DE00CB8" w14:textId="77777777" w:rsidR="00F35254" w:rsidRDefault="00F35254" w:rsidP="00853025">
            <w:pPr>
              <w:pStyle w:val="metadata-entry1"/>
              <w:jc w:val="center"/>
            </w:pPr>
            <w:r>
              <w:t>Project Administration</w:t>
            </w:r>
          </w:p>
          <w:p w14:paraId="5754D74B" w14:textId="77777777" w:rsidR="00F35254" w:rsidRDefault="00F35254" w:rsidP="00853025">
            <w:pPr>
              <w:pStyle w:val="metadata-entry1"/>
              <w:jc w:val="center"/>
            </w:pPr>
            <w:r>
              <w:t>Supervision</w:t>
            </w:r>
          </w:p>
          <w:p w14:paraId="6CD43A06" w14:textId="77777777" w:rsidR="00F35254" w:rsidRDefault="00F35254" w:rsidP="00853025">
            <w:pPr>
              <w:pStyle w:val="metadata-entry1"/>
              <w:jc w:val="center"/>
            </w:pPr>
            <w:r>
              <w:t>Writing – Review &amp; Editing</w:t>
            </w:r>
          </w:p>
          <w:p w14:paraId="24C2F9F5" w14:textId="77777777" w:rsidR="00F35254" w:rsidRPr="0084585E" w:rsidRDefault="00F35254" w:rsidP="00853025">
            <w:pPr>
              <w:pStyle w:val="metadata-entry1"/>
              <w:jc w:val="center"/>
              <w:rPr>
                <w:lang w:val="fr-BE"/>
              </w:rPr>
            </w:pPr>
            <w:r w:rsidRPr="0084585E">
              <w:rPr>
                <w:rStyle w:val="generated"/>
                <w:lang w:val="fr-BE"/>
              </w:rPr>
              <w:t xml:space="preserve">URI: </w:t>
            </w:r>
            <w:hyperlink r:id="rId12" w:tgtFrame="xrefwindow" w:history="1">
              <w:r w:rsidRPr="0084585E">
                <w:rPr>
                  <w:rStyle w:val="Hyperlink"/>
                  <w:lang w:val="fr-BE"/>
                </w:rPr>
                <w:t>https://orcid.org/0000-0002-5183-6145</w:t>
              </w:r>
            </w:hyperlink>
          </w:p>
          <w:p w14:paraId="66FBF68E" w14:textId="77777777" w:rsidR="00F35254" w:rsidRPr="0084585E" w:rsidRDefault="00F35254" w:rsidP="00853025">
            <w:pPr>
              <w:jc w:val="center"/>
              <w:rPr>
                <w:rStyle w:val="metadata-group"/>
                <w:rFonts w:eastAsia="Times New Roman"/>
                <w:lang w:val="fr-BE"/>
              </w:rPr>
            </w:pPr>
            <w:r w:rsidRPr="0084585E">
              <w:rPr>
                <w:rFonts w:eastAsia="Times New Roman"/>
                <w:lang w:val="fr-BE"/>
              </w:rPr>
              <w:t xml:space="preserve">, </w:t>
            </w:r>
            <w:bookmarkStart w:id="3" w:name="d4086e203"/>
            <w:bookmarkEnd w:id="3"/>
            <w:r w:rsidRPr="0084585E">
              <w:rPr>
                <w:rStyle w:val="metadata-entry"/>
                <w:rFonts w:eastAsia="Times New Roman"/>
                <w:lang w:val="fr-BE"/>
              </w:rPr>
              <w:t>Michel Crucifix</w:t>
            </w:r>
            <w:hyperlink w:anchor="a2" w:history="1">
              <w:r w:rsidRPr="0084585E">
                <w:rPr>
                  <w:rStyle w:val="Hyperlink"/>
                  <w:rFonts w:eastAsia="Times New Roman"/>
                  <w:vertAlign w:val="superscript"/>
                  <w:lang w:val="fr-BE"/>
                </w:rPr>
                <w:t>2</w:t>
              </w:r>
            </w:hyperlink>
          </w:p>
          <w:p w14:paraId="6B2E9B85" w14:textId="77777777" w:rsidR="00F35254" w:rsidRDefault="00F35254" w:rsidP="00853025">
            <w:pPr>
              <w:pStyle w:val="metadata-entry1"/>
              <w:jc w:val="center"/>
            </w:pPr>
            <w:r>
              <w:t>Conceptualization</w:t>
            </w:r>
          </w:p>
          <w:p w14:paraId="761139C5" w14:textId="77777777" w:rsidR="00F35254" w:rsidRDefault="00F35254" w:rsidP="00853025">
            <w:pPr>
              <w:pStyle w:val="metadata-entry1"/>
              <w:jc w:val="center"/>
            </w:pPr>
            <w:r>
              <w:t>Project Administration</w:t>
            </w:r>
          </w:p>
          <w:p w14:paraId="0DE22F88" w14:textId="77777777" w:rsidR="00F35254" w:rsidRDefault="00F35254" w:rsidP="00853025">
            <w:pPr>
              <w:pStyle w:val="metadata-entry1"/>
              <w:jc w:val="center"/>
            </w:pPr>
            <w:r>
              <w:t>Supervision</w:t>
            </w:r>
          </w:p>
          <w:p w14:paraId="39463CB6" w14:textId="77777777" w:rsidR="00F35254" w:rsidRDefault="00F35254" w:rsidP="00853025">
            <w:pPr>
              <w:pStyle w:val="metadata-entry1"/>
              <w:jc w:val="center"/>
            </w:pPr>
            <w:r>
              <w:t>Writing – Review &amp; Editing</w:t>
            </w:r>
          </w:p>
        </w:tc>
      </w:tr>
      <w:tr w:rsidR="00F35254" w14:paraId="0541813A" w14:textId="77777777" w:rsidTr="00853025">
        <w:trPr>
          <w:tblCellSpacing w:w="15" w:type="dxa"/>
        </w:trPr>
        <w:tc>
          <w:tcPr>
            <w:tcW w:w="0" w:type="auto"/>
            <w:vAlign w:val="center"/>
            <w:hideMark/>
          </w:tcPr>
          <w:p w14:paraId="0570B4ED" w14:textId="77777777" w:rsidR="00F35254" w:rsidRDefault="00F35254" w:rsidP="00853025">
            <w:pPr>
              <w:rPr>
                <w:rFonts w:eastAsia="Times New Roman"/>
              </w:rPr>
            </w:pPr>
            <w:r>
              <w:rPr>
                <w:rFonts w:eastAsia="Times New Roman"/>
              </w:rPr>
              <w:lastRenderedPageBreak/>
              <w:t> </w:t>
            </w:r>
          </w:p>
        </w:tc>
        <w:tc>
          <w:tcPr>
            <w:tcW w:w="0" w:type="auto"/>
            <w:vAlign w:val="center"/>
            <w:hideMark/>
          </w:tcPr>
          <w:p w14:paraId="4FD9AB62" w14:textId="77777777" w:rsidR="00F35254" w:rsidRPr="0084585E" w:rsidRDefault="00F35254" w:rsidP="00853025">
            <w:pPr>
              <w:pStyle w:val="metadata-entry1"/>
              <w:rPr>
                <w:lang w:val="nl-NL"/>
              </w:rPr>
            </w:pPr>
            <w:bookmarkStart w:id="4" w:name="a1"/>
            <w:bookmarkEnd w:id="4"/>
            <w:r w:rsidRPr="0084585E">
              <w:rPr>
                <w:rStyle w:val="generated"/>
                <w:lang w:val="nl-NL"/>
              </w:rPr>
              <w:t>[</w:t>
            </w:r>
            <w:r w:rsidRPr="0084585E">
              <w:rPr>
                <w:lang w:val="nl-NL"/>
              </w:rPr>
              <w:t>1</w:t>
            </w:r>
            <w:r w:rsidRPr="0084585E">
              <w:rPr>
                <w:rStyle w:val="generated"/>
                <w:lang w:val="nl-NL"/>
              </w:rPr>
              <w:t xml:space="preserve">] </w:t>
            </w:r>
            <w:r w:rsidRPr="0084585E">
              <w:rPr>
                <w:lang w:val="nl-NL"/>
              </w:rPr>
              <w:t>Water and Climate, Vrije Universiteit Brussel, Brussels, Brussels, 1050, Belgium</w:t>
            </w:r>
          </w:p>
          <w:p w14:paraId="6C90ACC9" w14:textId="77777777" w:rsidR="00F35254" w:rsidRDefault="00F35254" w:rsidP="00853025">
            <w:pPr>
              <w:pStyle w:val="metadata-entry1"/>
            </w:pPr>
            <w:bookmarkStart w:id="5" w:name="a2"/>
            <w:bookmarkEnd w:id="5"/>
            <w:r>
              <w:rPr>
                <w:rStyle w:val="generated"/>
              </w:rPr>
              <w:t>[</w:t>
            </w:r>
            <w:r>
              <w:t>2</w:t>
            </w:r>
            <w:r>
              <w:rPr>
                <w:rStyle w:val="generated"/>
              </w:rPr>
              <w:t xml:space="preserve">] </w:t>
            </w:r>
            <w:r>
              <w:t>Earth and Life Institute, Universite catholique de Louvain, Louvain-la-Neuve, Walloon Region, 1348, Belgium</w:t>
            </w:r>
          </w:p>
        </w:tc>
      </w:tr>
      <w:tr w:rsidR="00F35254" w14:paraId="2FF40A31" w14:textId="77777777" w:rsidTr="00853025">
        <w:trPr>
          <w:tblCellSpacing w:w="15" w:type="dxa"/>
        </w:trPr>
        <w:tc>
          <w:tcPr>
            <w:tcW w:w="0" w:type="auto"/>
            <w:vAlign w:val="center"/>
            <w:hideMark/>
          </w:tcPr>
          <w:p w14:paraId="3D073841" w14:textId="77777777" w:rsidR="00F35254" w:rsidRDefault="00F35254" w:rsidP="00853025"/>
        </w:tc>
        <w:tc>
          <w:tcPr>
            <w:tcW w:w="0" w:type="auto"/>
            <w:vAlign w:val="center"/>
            <w:hideMark/>
          </w:tcPr>
          <w:p w14:paraId="5905F991" w14:textId="77777777" w:rsidR="00F35254" w:rsidRDefault="00F35254" w:rsidP="00853025">
            <w:pPr>
              <w:pStyle w:val="metadata-entry1"/>
            </w:pPr>
            <w:r>
              <w:rPr>
                <w:rStyle w:val="generated"/>
              </w:rPr>
              <w:t xml:space="preserve">Author notes: </w:t>
            </w:r>
          </w:p>
          <w:p w14:paraId="5544155A" w14:textId="77777777" w:rsidR="00F35254" w:rsidRDefault="00F35254" w:rsidP="00853025">
            <w:pPr>
              <w:pStyle w:val="metadata-entry1"/>
            </w:pPr>
            <w:bookmarkStart w:id="6" w:name="c1"/>
            <w:bookmarkStart w:id="7" w:name="d4086e245"/>
            <w:bookmarkEnd w:id="6"/>
            <w:bookmarkEnd w:id="7"/>
            <w:r>
              <w:rPr>
                <w:rStyle w:val="generated"/>
              </w:rPr>
              <w:t>Correspondence to: [</w:t>
            </w:r>
            <w:r>
              <w:t>a</w:t>
            </w:r>
            <w:r>
              <w:rPr>
                <w:rStyle w:val="generated"/>
              </w:rPr>
              <w:t xml:space="preserve">] </w:t>
            </w:r>
            <w:hyperlink r:id="rId13" w:history="1">
              <w:r>
                <w:rPr>
                  <w:rStyle w:val="Hyperlink"/>
                </w:rPr>
                <w:t>Amaury.Laridon@vub.be</w:t>
              </w:r>
            </w:hyperlink>
            <w:r>
              <w:t xml:space="preserve"> </w:t>
            </w:r>
          </w:p>
        </w:tc>
      </w:tr>
      <w:tr w:rsidR="00F35254" w14:paraId="38D60B37" w14:textId="77777777" w:rsidTr="00853025">
        <w:trPr>
          <w:tblCellSpacing w:w="15" w:type="dxa"/>
        </w:trPr>
        <w:tc>
          <w:tcPr>
            <w:tcW w:w="0" w:type="auto"/>
            <w:gridSpan w:val="2"/>
            <w:vAlign w:val="center"/>
            <w:hideMark/>
          </w:tcPr>
          <w:p w14:paraId="4037D43D" w14:textId="77777777" w:rsidR="00F35254" w:rsidRDefault="00000000" w:rsidP="00853025">
            <w:pPr>
              <w:rPr>
                <w:rFonts w:eastAsia="Times New Roman"/>
              </w:rPr>
            </w:pPr>
            <w:r>
              <w:rPr>
                <w:rFonts w:eastAsia="Times New Roman"/>
              </w:rPr>
              <w:pict w14:anchorId="75EE79E9">
                <v:rect id="_x0000_i1026" style="width:0;height:1.5pt" o:hralign="center" o:hrstd="t" o:hr="t" fillcolor="#a0a0a0" stroked="f"/>
              </w:pict>
            </w:r>
          </w:p>
        </w:tc>
      </w:tr>
    </w:tbl>
    <w:p w14:paraId="4C44ECE0" w14:textId="77777777" w:rsidR="004B201E" w:rsidRDefault="004B201E">
      <w:pPr>
        <w:pStyle w:val="BodyText"/>
      </w:pPr>
    </w:p>
    <w:p w14:paraId="2281EFA6" w14:textId="77777777" w:rsidR="0005562B" w:rsidRDefault="0005562B" w:rsidP="005066F1">
      <w:pPr>
        <w:pStyle w:val="Heading1"/>
      </w:pPr>
    </w:p>
    <w:p w14:paraId="32DD9232" w14:textId="77777777" w:rsidR="0005562B" w:rsidRDefault="0005562B" w:rsidP="005066F1">
      <w:pPr>
        <w:pStyle w:val="Heading1"/>
      </w:pPr>
    </w:p>
    <w:p w14:paraId="65B63AE6" w14:textId="77777777" w:rsidR="0005562B" w:rsidRDefault="0005562B" w:rsidP="005066F1">
      <w:pPr>
        <w:pStyle w:val="Heading1"/>
      </w:pPr>
    </w:p>
    <w:p w14:paraId="2B00F599" w14:textId="77777777" w:rsidR="0005562B" w:rsidRDefault="0005562B" w:rsidP="005066F1">
      <w:pPr>
        <w:pStyle w:val="Heading1"/>
      </w:pPr>
    </w:p>
    <w:p w14:paraId="781D1331" w14:textId="77777777" w:rsidR="0005562B" w:rsidRDefault="0005562B" w:rsidP="005066F1">
      <w:pPr>
        <w:pStyle w:val="Heading1"/>
      </w:pPr>
    </w:p>
    <w:p w14:paraId="09CF1CDB" w14:textId="77777777" w:rsidR="0005562B" w:rsidRDefault="0005562B" w:rsidP="005066F1">
      <w:pPr>
        <w:pStyle w:val="Heading1"/>
      </w:pPr>
    </w:p>
    <w:p w14:paraId="39CCCCE5" w14:textId="77777777" w:rsidR="0005562B" w:rsidRDefault="0005562B" w:rsidP="005066F1">
      <w:pPr>
        <w:pStyle w:val="Heading1"/>
      </w:pPr>
    </w:p>
    <w:p w14:paraId="7F7E8541" w14:textId="77777777" w:rsidR="0005562B" w:rsidRDefault="0005562B" w:rsidP="005066F1">
      <w:pPr>
        <w:pStyle w:val="Heading1"/>
      </w:pPr>
    </w:p>
    <w:p w14:paraId="432B17D6" w14:textId="65BFF765" w:rsidR="005066F1" w:rsidRDefault="00B84193" w:rsidP="003E5728">
      <w:pPr>
        <w:pStyle w:val="Heading1"/>
        <w:jc w:val="center"/>
      </w:pPr>
      <w:r>
        <w:lastRenderedPageBreak/>
        <w:t>Abstract</w:t>
      </w:r>
    </w:p>
    <w:p w14:paraId="144242EE" w14:textId="6CD091A4" w:rsidR="005066F1" w:rsidRDefault="005066F1" w:rsidP="00B431F4">
      <w:pPr>
        <w:pStyle w:val="Heading2"/>
        <w:ind w:left="0"/>
        <w:rPr>
          <w:sz w:val="22"/>
          <w:szCs w:val="24"/>
        </w:rPr>
      </w:pPr>
      <w:r w:rsidRPr="00B431F4">
        <w:rPr>
          <w:sz w:val="22"/>
          <w:szCs w:val="24"/>
        </w:rPr>
        <w:t>Background</w:t>
      </w:r>
    </w:p>
    <w:p w14:paraId="003E726E" w14:textId="77777777" w:rsidR="00603DD0" w:rsidRDefault="00603DD0" w:rsidP="00B431F4">
      <w:pPr>
        <w:pStyle w:val="Heading2"/>
        <w:ind w:left="0"/>
        <w:rPr>
          <w:sz w:val="22"/>
          <w:szCs w:val="24"/>
        </w:rPr>
      </w:pPr>
    </w:p>
    <w:p w14:paraId="38118ED9" w14:textId="7ACD1F09" w:rsidR="00B766D6" w:rsidRDefault="00B766D6" w:rsidP="00B766D6">
      <w:r w:rsidRPr="00B5645F">
        <w:t xml:space="preserve">Despite its far-reaching implications, accurately characterizing the </w:t>
      </w:r>
      <w:r w:rsidR="00146F18">
        <w:t>non</w:t>
      </w:r>
      <w:r w:rsidR="00211115">
        <w:t>-linear dynam</w:t>
      </w:r>
      <w:r w:rsidRPr="00B5645F">
        <w:t xml:space="preserve">ics of the Atlantic Meridional Overturning Circulation (AMOC) remains a significant challenge. Complex models, including Earth System Models (ESMs) and Earth System Models of Intermediate Complexity (EMICs), offer valuable insights; however, they are computationally expensive and subject to substantial uncertainties in identifying AMOC tipping points. In contrast, simple conceptual models based on </w:t>
      </w:r>
      <w:r w:rsidR="00182FB5">
        <w:t>simple dynamical systems</w:t>
      </w:r>
      <w:r w:rsidRPr="00B5645F">
        <w:t xml:space="preserve"> have been developed to represent tipping elements such as the AMOC. These models can be calibrated against complex models to explore various scenarios and forcing spaces, functioning as emulators</w:t>
      </w:r>
      <w:r>
        <w:t xml:space="preserve">. Traditionally, such emulators have focused on a single forcing variable, typically global mean temperature, </w:t>
      </w:r>
      <w:r w:rsidRPr="00B5645F">
        <w:t xml:space="preserve"> despite the well-established influence of freshwater fluxes on AMOC dynamics. </w:t>
      </w:r>
      <w:r>
        <w:t xml:space="preserve">Moreover, existing two-forcing AMOC emulators lack robust calibration methods against complex models.  </w:t>
      </w:r>
    </w:p>
    <w:p w14:paraId="2464D11C" w14:textId="77777777" w:rsidR="00B766D6" w:rsidRPr="00B431F4" w:rsidRDefault="00B766D6" w:rsidP="00B766D6"/>
    <w:p w14:paraId="3DBD2EF9" w14:textId="344B8328" w:rsidR="00B766D6" w:rsidRDefault="005066F1" w:rsidP="00B766D6">
      <w:pPr>
        <w:pStyle w:val="Heading2"/>
        <w:ind w:left="0"/>
        <w:rPr>
          <w:sz w:val="22"/>
          <w:szCs w:val="24"/>
        </w:rPr>
      </w:pPr>
      <w:r w:rsidRPr="00B431F4">
        <w:rPr>
          <w:sz w:val="22"/>
          <w:szCs w:val="24"/>
        </w:rPr>
        <w:t>Method</w:t>
      </w:r>
      <w:r w:rsidR="00B431F4" w:rsidRPr="00B431F4">
        <w:rPr>
          <w:sz w:val="22"/>
          <w:szCs w:val="24"/>
        </w:rPr>
        <w:t>s</w:t>
      </w:r>
    </w:p>
    <w:p w14:paraId="21C3BC4C" w14:textId="77777777" w:rsidR="00603DD0" w:rsidRDefault="00603DD0" w:rsidP="00B766D6">
      <w:pPr>
        <w:pStyle w:val="Heading2"/>
        <w:ind w:left="0"/>
        <w:rPr>
          <w:sz w:val="22"/>
          <w:szCs w:val="24"/>
        </w:rPr>
      </w:pPr>
    </w:p>
    <w:p w14:paraId="3544E288" w14:textId="7C0F39F9" w:rsidR="00B766D6" w:rsidRPr="00B431F4" w:rsidRDefault="00B766D6" w:rsidP="00B766D6">
      <w:pPr>
        <w:rPr>
          <w:szCs w:val="24"/>
        </w:rPr>
      </w:pPr>
      <w:r w:rsidRPr="00B5645F">
        <w:t>In this study, we develop and validate a two-forcing AMOC emulator that incorporates global mean temperature and freshwater flux, grounded in non-linear dynamics. The emulator is calibrated against the AMOC response within the EMIC cGENIE. After validation, the emulator is integrated into SURFER, a reduced-complexity climate model, enabling rapid simulation of AMOC trajectories under diverse emission scenarios.</w:t>
      </w:r>
    </w:p>
    <w:p w14:paraId="43195B5E" w14:textId="77777777" w:rsidR="005066F1" w:rsidRPr="00B431F4" w:rsidRDefault="005066F1" w:rsidP="00816DCD"/>
    <w:p w14:paraId="609AB31B" w14:textId="30C1FC45" w:rsidR="00B766D6" w:rsidRDefault="00B431F4" w:rsidP="00B766D6">
      <w:pPr>
        <w:pStyle w:val="Heading2"/>
        <w:ind w:left="0"/>
        <w:rPr>
          <w:sz w:val="22"/>
          <w:szCs w:val="24"/>
        </w:rPr>
      </w:pPr>
      <w:r w:rsidRPr="00B431F4">
        <w:rPr>
          <w:sz w:val="22"/>
          <w:szCs w:val="24"/>
        </w:rPr>
        <w:t>Results</w:t>
      </w:r>
    </w:p>
    <w:p w14:paraId="4F504DAE" w14:textId="77777777" w:rsidR="00603DD0" w:rsidRDefault="00603DD0" w:rsidP="00B766D6">
      <w:pPr>
        <w:pStyle w:val="Heading2"/>
        <w:ind w:left="0"/>
        <w:rPr>
          <w:sz w:val="22"/>
          <w:szCs w:val="24"/>
        </w:rPr>
      </w:pPr>
    </w:p>
    <w:p w14:paraId="61239E10" w14:textId="701C85BD" w:rsidR="00B766D6" w:rsidRDefault="00816DCD" w:rsidP="00B766D6">
      <w:r w:rsidRPr="00576252">
        <w:t>By accounting for Greenland Ice Sheet melt, the emulator captures three additional collapse trajectories for emission scenarios ranging from SSP3-7.0 to SSP5-8.5.</w:t>
      </w:r>
      <w:r>
        <w:t xml:space="preserve"> </w:t>
      </w:r>
      <w:r w:rsidR="00B766D6" w:rsidRPr="00137EBA">
        <w:t xml:space="preserve">Furthermore, the emulator allows </w:t>
      </w:r>
      <w:r w:rsidR="003642DF">
        <w:t>an</w:t>
      </w:r>
      <w:r w:rsidR="00E05EC7">
        <w:t xml:space="preserve"> assessment of</w:t>
      </w:r>
      <w:r w:rsidR="00B766D6" w:rsidRPr="00137EBA">
        <w:t xml:space="preserve"> the critical forcing manifold of the AMOC in the complex model, enabling the identification of combined forcing thresholds for the AMOC and serving as a tool for comparing the sensitivities of complex models.</w:t>
      </w:r>
    </w:p>
    <w:p w14:paraId="2711920F" w14:textId="77777777" w:rsidR="00603DD0" w:rsidRDefault="00603DD0" w:rsidP="00B766D6">
      <w:pPr>
        <w:pStyle w:val="Heading2"/>
        <w:rPr>
          <w:sz w:val="22"/>
          <w:szCs w:val="24"/>
        </w:rPr>
      </w:pPr>
    </w:p>
    <w:p w14:paraId="1362B726" w14:textId="0CD01DBD" w:rsidR="000B2B43" w:rsidRDefault="00B431F4" w:rsidP="00603DD0">
      <w:pPr>
        <w:pStyle w:val="Heading2"/>
        <w:ind w:left="0"/>
        <w:rPr>
          <w:sz w:val="22"/>
          <w:szCs w:val="24"/>
        </w:rPr>
      </w:pPr>
      <w:r w:rsidRPr="00B431F4">
        <w:rPr>
          <w:sz w:val="22"/>
          <w:szCs w:val="24"/>
        </w:rPr>
        <w:t>Conclusions</w:t>
      </w:r>
    </w:p>
    <w:p w14:paraId="425A45FB" w14:textId="77777777" w:rsidR="00603DD0" w:rsidRDefault="00603DD0" w:rsidP="00B766D6">
      <w:pPr>
        <w:pStyle w:val="Heading2"/>
      </w:pPr>
    </w:p>
    <w:p w14:paraId="149E0905" w14:textId="20CDCA3F" w:rsidR="009F5BEB" w:rsidRDefault="009F5BEB" w:rsidP="009F5BEB">
      <w:r w:rsidRPr="00B5645F">
        <w:t xml:space="preserve">With its low computational cost and calibration accuracy, </w:t>
      </w:r>
      <w:r w:rsidR="00E91353" w:rsidRPr="00E91353">
        <w:t>our emulator offers an efficient tool for exploring AMOC dynamics in future climatic scenarios.</w:t>
      </w:r>
      <w:r w:rsidR="00E91353">
        <w:t xml:space="preserve"> </w:t>
      </w:r>
      <w:r w:rsidRPr="00B5645F">
        <w:t xml:space="preserve">Finally, the </w:t>
      </w:r>
      <w:r w:rsidR="007322A1">
        <w:t>methods</w:t>
      </w:r>
      <w:r w:rsidRPr="00B5645F">
        <w:t xml:space="preserve"> used to develop this emulator </w:t>
      </w:r>
      <w:r w:rsidR="007322A1">
        <w:t>are</w:t>
      </w:r>
      <w:r w:rsidRPr="00B5645F">
        <w:t xml:space="preserve"> generalizable, providing a framework for studying other tipping elements in research.</w:t>
      </w:r>
    </w:p>
    <w:p w14:paraId="0C6B66B1" w14:textId="77777777" w:rsidR="00511DA3" w:rsidRDefault="00511DA3"/>
    <w:p w14:paraId="72241393" w14:textId="6D5B8E6B" w:rsidR="000C46FD" w:rsidRDefault="00B84193" w:rsidP="003E5728">
      <w:pPr>
        <w:pStyle w:val="Heading1"/>
        <w:jc w:val="center"/>
      </w:pPr>
      <w:r>
        <w:t>Plain Language Summary</w:t>
      </w:r>
    </w:p>
    <w:p w14:paraId="06FCC1DE" w14:textId="77777777" w:rsidR="003E5728" w:rsidRDefault="003E5728" w:rsidP="0030771D"/>
    <w:p w14:paraId="48D85E3D" w14:textId="41A514C3" w:rsidR="003B633B" w:rsidRDefault="00E36C3B" w:rsidP="00E916F1">
      <w:r w:rsidRPr="00E36C3B">
        <w:t xml:space="preserve">As global temperatures rise due to greenhouse gas emissions, certain key components of the Earth’s climate system are approaching critical thresholds known as tipping points, beyond which </w:t>
      </w:r>
      <w:r w:rsidR="00B12D73">
        <w:t xml:space="preserve">large, potentially irreversible </w:t>
      </w:r>
      <w:r w:rsidRPr="00E36C3B">
        <w:t>changes may occur. One such tipping element is the Atlantic Meridional Overturning Circulation (AMOC), a crucial ocean current responsible for redistributing heat between the hemispheres.</w:t>
      </w:r>
      <w:r w:rsidR="00B84193">
        <w:t xml:space="preserve"> </w:t>
      </w:r>
      <w:r w:rsidR="00954649" w:rsidRPr="00954649">
        <w:t xml:space="preserve">If the AMOC were to collapse, it could result in </w:t>
      </w:r>
      <w:r w:rsidR="00F56BC5">
        <w:t>substantial</w:t>
      </w:r>
      <w:r w:rsidR="00954649" w:rsidRPr="00954649">
        <w:t xml:space="preserve"> regional changes in temperature, precipitation, and other critical aspects of the climate.</w:t>
      </w:r>
      <w:r w:rsidR="00954649">
        <w:t xml:space="preserve"> </w:t>
      </w:r>
      <w:r w:rsidR="00B84193">
        <w:t>However, the exact location of the AMOC tipping point and the time it would take to collapse remain uncertain</w:t>
      </w:r>
      <w:r w:rsidR="00D51452">
        <w:t>. C</w:t>
      </w:r>
      <w:r w:rsidR="00B84193">
        <w:t>omplex models</w:t>
      </w:r>
      <w:r w:rsidR="003C1E3F">
        <w:t xml:space="preserve"> remain uncertain, and running them</w:t>
      </w:r>
      <w:r w:rsidR="00B84193">
        <w:t xml:space="preserve"> is computationally expensive, making it difficult to explore a wide range of potential future scenarios. In this study, we developed an emulator—a simplified conceptual model calibrated </w:t>
      </w:r>
      <w:r w:rsidR="003C1E3F">
        <w:t xml:space="preserve">on a more </w:t>
      </w:r>
      <w:r w:rsidR="00B84193">
        <w:t xml:space="preserve">complex model—to reproduce the behaviour of the AMOC during a potential collapse. </w:t>
      </w:r>
      <w:r w:rsidR="00B83762" w:rsidRPr="00B83762">
        <w:t xml:space="preserve">This emulator is built on a </w:t>
      </w:r>
      <w:r w:rsidR="00DA2D3B">
        <w:t>new</w:t>
      </w:r>
      <w:r w:rsidR="00B83762" w:rsidRPr="00B83762">
        <w:t xml:space="preserve"> methodology that </w:t>
      </w:r>
      <w:r w:rsidR="004F1E6F">
        <w:t>improves</w:t>
      </w:r>
      <w:r w:rsidR="00B83762" w:rsidRPr="00B83762">
        <w:t xml:space="preserve"> the alignment between simplified dynamics and complex models. </w:t>
      </w:r>
      <w:r w:rsidR="003160EB" w:rsidRPr="003160EB">
        <w:t>The resulting tool enables the production of numerous AMOC simulations under various emission scenarios with low computational cost, while remaining consistent with our understanding of the physical processes that govern the AMOC.</w:t>
      </w:r>
      <w:r w:rsidR="003160EB">
        <w:t xml:space="preserve"> </w:t>
      </w:r>
      <w:r w:rsidR="008C18EB">
        <w:t xml:space="preserve">We present simulations, with this </w:t>
      </w:r>
      <w:r w:rsidR="00B83762" w:rsidRPr="00B83762">
        <w:t>emulator</w:t>
      </w:r>
      <w:r w:rsidR="008C18EB">
        <w:t>, showing</w:t>
      </w:r>
      <w:r w:rsidR="00B83762" w:rsidRPr="00B83762">
        <w:t xml:space="preserve"> AMOC collapse under future</w:t>
      </w:r>
      <w:r w:rsidR="00C86810">
        <w:t xml:space="preserve"> high</w:t>
      </w:r>
      <w:r w:rsidR="00B83762" w:rsidRPr="00B83762">
        <w:t xml:space="preserve"> emission pathways. </w:t>
      </w:r>
      <w:r w:rsidR="002A1EFC">
        <w:t xml:space="preserve">This emulator and methods </w:t>
      </w:r>
      <w:r w:rsidR="00B83762" w:rsidRPr="00B83762">
        <w:t xml:space="preserve">enable researchers to better explore the potential responses of the AMOC to future emissions and strengthens our ability to predict and prepare for </w:t>
      </w:r>
      <w:r w:rsidR="0017760B">
        <w:t>abrupt</w:t>
      </w:r>
      <w:r w:rsidR="00B83762" w:rsidRPr="00B83762">
        <w:t xml:space="preserve"> changes in the climate system</w:t>
      </w:r>
      <w:r w:rsidR="002A1EFC">
        <w:t>.</w:t>
      </w:r>
    </w:p>
    <w:p w14:paraId="40D1626C" w14:textId="0405EDE9" w:rsidR="00B17A49" w:rsidRDefault="00B84193" w:rsidP="00B17A49">
      <w:pPr>
        <w:pStyle w:val="Heading1"/>
      </w:pPr>
      <w:r>
        <w:lastRenderedPageBreak/>
        <w:t>Keywords</w:t>
      </w:r>
    </w:p>
    <w:p w14:paraId="71E8C912" w14:textId="617B4F22" w:rsidR="0012756F" w:rsidRDefault="00B84193">
      <w:r>
        <w:t xml:space="preserve">Climate change, Tipping Points, AMOC, Emulator, Non-linear dynamics, SURFER, </w:t>
      </w:r>
      <w:r w:rsidR="007D15C1">
        <w:t>cGENIE</w:t>
      </w:r>
    </w:p>
    <w:p w14:paraId="46AF6AFA" w14:textId="77777777" w:rsidR="004E4259" w:rsidRDefault="004E4259"/>
    <w:p w14:paraId="3CC5D1B1" w14:textId="77777777" w:rsidR="004B201E" w:rsidRDefault="00B84193">
      <w:pPr>
        <w:pStyle w:val="Heading1"/>
      </w:pPr>
      <w:r>
        <w:t>1. Introduction</w:t>
      </w:r>
    </w:p>
    <w:p w14:paraId="0C0A52B0" w14:textId="77777777" w:rsidR="004B201E" w:rsidRDefault="004B201E">
      <w:pPr>
        <w:pStyle w:val="Heading2"/>
      </w:pPr>
    </w:p>
    <w:p w14:paraId="0312E62F" w14:textId="77777777" w:rsidR="004B201E" w:rsidRDefault="00B84193">
      <w:pPr>
        <w:pStyle w:val="Heading2"/>
        <w:numPr>
          <w:ilvl w:val="1"/>
          <w:numId w:val="1"/>
        </w:numPr>
        <w:rPr>
          <w:sz w:val="24"/>
          <w:szCs w:val="28"/>
        </w:rPr>
      </w:pPr>
      <w:r>
        <w:rPr>
          <w:sz w:val="24"/>
          <w:szCs w:val="28"/>
        </w:rPr>
        <w:t xml:space="preserve"> The AMOC as a Tipping Element: Addressing High Uncertainties</w:t>
      </w:r>
    </w:p>
    <w:p w14:paraId="07154E0D" w14:textId="77777777" w:rsidR="004B201E" w:rsidRDefault="004B201E" w:rsidP="005367EB">
      <w:pPr>
        <w:pStyle w:val="Heading2"/>
        <w:ind w:left="0"/>
      </w:pPr>
    </w:p>
    <w:p w14:paraId="57600C4F" w14:textId="7285B442" w:rsidR="004B201E" w:rsidRDefault="00B84193">
      <w:r>
        <w:t xml:space="preserve">The Atlantic Meridional Overturning Circulation (AMOC) is a </w:t>
      </w:r>
      <w:r w:rsidR="007F50BE">
        <w:t>key</w:t>
      </w:r>
      <w:r>
        <w:t xml:space="preserve"> component of the climate system</w:t>
      </w:r>
      <w:r w:rsidR="005367EB">
        <w:t>.</w:t>
      </w:r>
      <w:r>
        <w:t xml:space="preserve"> </w:t>
      </w:r>
      <w:r w:rsidR="005367EB">
        <w:t>It play</w:t>
      </w:r>
      <w:r w:rsidR="005E0495">
        <w:t>s</w:t>
      </w:r>
      <w:r w:rsidR="005367EB">
        <w:t xml:space="preserve"> </w:t>
      </w:r>
      <w:r>
        <w:t>a central role in the transport of heat and salt throughout the global ocean and significantly influenc</w:t>
      </w:r>
      <w:r w:rsidR="0000108C">
        <w:t>es</w:t>
      </w:r>
      <w:r>
        <w:t xml:space="preserve"> both regional and global climate </w:t>
      </w:r>
      <w:r>
        <w:fldChar w:fldCharType="begin"/>
      </w:r>
      <w:r w:rsidR="00275483">
        <w:instrText xml:space="preserve"> ADDIN ZOTERO_ITEM CSL_CITATION {"citationID":"cKpLL6MY","properties":{"formattedCitation":"(1\\uc0\\u8211{}3)","plainCitation":"(1–3)","noteIndex":0},"citationItems":[{"id":6527,"uris":["http://zotero.org/users/7129331/items/NY7A955L"],"itemData":{"id":6527,"type":"chapter","abstract":"A broad perspective of the ocean as a key component of the Earth System and of its role in the past, present, and future climate change is provided. The ocean is a huge reservoir of heat, mass, carbon, and many other quantities, and their estimated exchange fluxes suggest characteristic timescales of adjustment ranging from decades to many thousands of years. Surface patterns and meridional fluxes of these quantities highlight the important role of the wind-driven circulation and the deep ocean flow systems through all ocean basins. Ocean-dominated phenomena of natural variability, in particular associated with the tropical oceans, are explained. The relevance of the ocean circulation for abrupt climate change, as recorded from a variety of paleoclimate records, is discussed. This includes the bipolar seesaw concept which explains many features of interhemispheric response during the sequence of rapid warmings in the past ice age. Finally, the ocean’s role during the anthropocene, the time epoch which is dominated by the human-caused increase in greenhouse gases to levels unprecedented in the past 800,000 years, is explored. Both the warming and the increase in atmospheric transport of water polewards create conditions for the ocean that may induce large and irreversible changes in the Atlantic meridional overturning circulation.","collection-title":"Ocean Circulation and Climate","container-title":"International Geophysics","note":"DOI: 10.1016/B978-0-12-391851-2.00001-5","page":"3-30","publisher":"Academic Press","source":"ScienceDirect","title":"Chapter 1 - The Ocean as a Component of the Climate System","URL":"https://www.sciencedirect.com/science/article/pii/B9780123918512000015","volume":"103","author":[{"family":"Stocker","given":"Thomas F."}],"editor":[{"family":"Siedler","given":"Gerold"},{"family":"Griffies","given":"Stephen M."},{"family":"Gould","given":"John"},{"family":"Church","given":"John A."}],"accessed":{"date-parts":[["2024",12,10]]},"issued":{"date-parts":[["2013",1,1]]}}},{"id":699,"uris":["http://zotero.org/users/7129331/items/T5PW4UUL"],"itemData":{"id":699,"type":"article-journal","abstract":"The impacts of a hypothetical slowdown in the Atlantic Meridional Overturning Circulation (AMOC) are assessed in a state-of-the-art global climate model (HadGEM3), with particular emphasis on Europe. This is the highest resolution coupled global climate model to be used to study the impacts of an AMOC slowdown so far. Many results found are consistent with previous studies and can be considered robust impacts from a large reduction or collapse of the AMOC. These include: widespread cooling throughout the North Atlantic and northern hemisphere in general; less precipitation in the northern hemisphere midlatitudes; large changes in precipitation in the tropics and a strengthening of the North Atlantic storm track. The focus on Europe, aided by the increase in resolution, has revealed previously undiscussed impacts, particularly those associated with changing atmospheric circulation patterns. Summer precipitation decreases (increases) in northern (southern) Europe and is associated with a negative summer North Atlantic Oscillation signal. Winter precipitation is also affected by the changing atmospheric circulation, with localised increases in precipitation associated with more winter storms and a strengthened winter storm track. Stronger westerly winds in winter increase the warming maritime effect while weaker westerlies in summer decrease the cooling maritime effect. In the absence of these circulation changes the cooling over Europe’s landmass would be even larger in both seasons. The general cooling and atmospheric circulation changes result in weaker peak river flows and vegetation productivity, which may raise issues of water availability and crop production.","container-title":"Climate Dynamics","DOI":"10.1007/s00382-015-2540-2","ISSN":"1432-0894","issue":"11","journalAbbreviation":"Clim Dyn","language":"en","page":"3299-3316","source":"Springer Link","title":"Global and European climate impacts of a slowdown of the AMOC in a high resolution GCM","volume":"45","author":[{"family":"Jackson","given":"L. C."},{"family":"Kahana","given":"R."},{"family":"Graham","given":"T."},{"family":"Ringer","given":"M. A."},{"family":"Woollings","given":"T."},{"family":"Mecking","given":"J. V."},{"family":"Wood","given":"R. A."}],"issued":{"date-parts":[["2015",12,1]]}}},{"id":6540,"uris":["http://zotero.org/users/7129331/items/R5XV4VDJ"],"itemData":{"id":6540,"type":"article-journal","abstract":"While the Atlantic Meridional Overturning Circulation (AMOC) is projected to slow down under anthropogenic warming, the exact role of the AMOC in future climate change has not been fully quantified. Here, we present a method to stabilize the AMOC intensity in anthropogenic warming experiments by removing fresh water from the subpolar North Atlantic. This method enables us to isolate the AMOC climatic impacts in experiments with a full-physics climate model. Our results show that a weakened AMOC can explain ocean cooling south of Greenland that resembles the North Atlantic warming hole and a reduced Arctic sea ice loss in all seasons with a delay of about 6 years in the emergence of an ice-free Arctic in boreal summer. In the troposphere, a weakened AMOC causes an anomalous cooling band stretching from the lower levels in high latitudes to the upper levels in the tropics and displaces the Northern Hemisphere midlatitude jets poleward.","container-title":"Science Advances","DOI":"10.1126/sciadv.aaz4876","issue":"26","note":"publisher: American Association for the Advancement of Science","page":"eaaz4876","source":"science.org (Atypon)","title":"Climate impacts of a weakened Atlantic Meridional Overturning Circulation in a warming climate","volume":"6","author":[{"family":"Liu","given":"Wei"},{"family":"Fedorov","given":"Alexey V."},{"family":"Xie","given":"Shang-Ping"},{"family":"Hu","given":"Shineng"}],"issued":{"date-parts":[["2020",6,26]]}}}],"schema":"https://github.com/citation-style-language/schema/raw/master/csl-citation.json"} </w:instrText>
      </w:r>
      <w:r>
        <w:fldChar w:fldCharType="separate"/>
      </w:r>
      <w:r w:rsidR="00275483" w:rsidRPr="00275483">
        <w:rPr>
          <w:rFonts w:cs="Times New Roman"/>
        </w:rPr>
        <w:t>(1–3)</w:t>
      </w:r>
      <w:r>
        <w:fldChar w:fldCharType="end"/>
      </w:r>
      <w:r>
        <w:t xml:space="preserve">. The AMOC has been identified as a tipping element, a large-scale component of the climate system that can reach a tipping point </w:t>
      </w:r>
      <w:r>
        <w:fldChar w:fldCharType="begin"/>
      </w:r>
      <w:r w:rsidR="00275483">
        <w:instrText xml:space="preserve"> ADDIN ZOTERO_ITEM CSL_CITATION {"citationID":"Ad50Kro1","properties":{"formattedCitation":"(4)","plainCitation":"(4)","noteIndex":0},"citationItems":[{"id":129,"uris":["http://zotero.org/users/7129331/items/2UGI9KV5"],"itemData":{"id":129,"type":"article-journal","abstract":"The term “tipping point” commonly refers to a critical threshold at which a tiny perturbation can qualitatively alter the state or development of a system. Here we introduce the term “tipping element” to describe large-scale components of the Earth system that may pass a tipping point. We critically evaluate potential policy-relevant tipping elements in the climate system under anthropogenic forcing, drawing on the pertinent literature and a recent international workshop to compile a short list, and we assess where their tipping points lie. An expert elicitation is used to help rank their sensitivity to global warming and the uncertainty about the underlying physical mechanisms. Then we explain how, in principle, early warning systems could be established to detect the proximity of some tipping points.","container-title":"Proceedings of the National Academy of Sciences","DOI":"10.1073/pnas.0705414105","issue":"6","note":"publisher: Proceedings of the National Academy of Sciences","page":"1786-1793","source":"pnas.org (Atypon)","title":"Tipping elements in the Earth's climate system","volume":"105","author":[{"family":"Lenton","given":"T."},{"family":"Held","given":"Hermann"},{"family":"Kriegler","given":"Elmar"},{"family":"Hall","given":"Jim W."},{"family":"Lucht","given":"Wolfgang"},{"family":"Rahmstorf","given":"Stefan"},{"family":"Schellnhuber","given":"Hans Joachim"}],"issued":{"date-parts":[["2008",2,12]]}}}],"schema":"https://github.com/citation-style-language/schema/raw/master/csl-citation.json"} </w:instrText>
      </w:r>
      <w:r>
        <w:fldChar w:fldCharType="separate"/>
      </w:r>
      <w:r w:rsidR="00275483" w:rsidRPr="00275483">
        <w:t>(4)</w:t>
      </w:r>
      <w:r>
        <w:fldChar w:fldCharType="end"/>
      </w:r>
      <w:r>
        <w:t>. A tipping point refers to a critical threshold in a forcing parameter, known as the bifurcation parameter, beyond which a small perturbation of this parameter can cause the tipping element to transition from one equilibrium state to another, resulting in a qualitative change</w:t>
      </w:r>
      <w:r w:rsidR="00485330">
        <w:t xml:space="preserve"> </w:t>
      </w:r>
      <w:r>
        <w:fldChar w:fldCharType="begin"/>
      </w:r>
      <w:r w:rsidR="00275483">
        <w:instrText xml:space="preserve"> ADDIN ZOTERO_ITEM CSL_CITATION {"citationID":"dGpr2hJB","properties":{"formattedCitation":"(4)","plainCitation":"(4)","noteIndex":0},"citationItems":[{"id":129,"uris":["http://zotero.org/users/7129331/items/2UGI9KV5"],"itemData":{"id":129,"type":"article-journal","abstract":"The term “tipping point” commonly refers to a critical threshold at which a tiny perturbation can qualitatively alter the state or development of a system. Here we introduce the term “tipping element” to describe large-scale components of the Earth system that may pass a tipping point. We critically evaluate potential policy-relevant tipping elements in the climate system under anthropogenic forcing, drawing on the pertinent literature and a recent international workshop to compile a short list, and we assess where their tipping points lie. An expert elicitation is used to help rank their sensitivity to global warming and the uncertainty about the underlying physical mechanisms. Then we explain how, in principle, early warning systems could be established to detect the proximity of some tipping points.","container-title":"Proceedings of the National Academy of Sciences","DOI":"10.1073/pnas.0705414105","issue":"6","note":"publisher: Proceedings of the National Academy of Sciences","page":"1786-1793","source":"pnas.org (Atypon)","title":"Tipping elements in the Earth's climate system","volume":"105","author":[{"family":"Lenton","given":"T."},{"family":"Held","given":"Hermann"},{"family":"Kriegler","given":"Elmar"},{"family":"Hall","given":"Jim W."},{"family":"Lucht","given":"Wolfgang"},{"family":"Rahmstorf","given":"Stefan"},{"family":"Schellnhuber","given":"Hans Joachim"}],"issued":{"date-parts":[["2008",2,12]]}}}],"schema":"https://github.com/citation-style-language/schema/raw/master/csl-citation.json"} </w:instrText>
      </w:r>
      <w:r>
        <w:fldChar w:fldCharType="separate"/>
      </w:r>
      <w:r w:rsidR="00275483" w:rsidRPr="00275483">
        <w:t>(4)</w:t>
      </w:r>
      <w:r>
        <w:fldChar w:fldCharType="end"/>
      </w:r>
      <w:r>
        <w:t>. For the AMOC, the secondary stable equilibrium corresponds to a collapse</w:t>
      </w:r>
      <w:r w:rsidR="0091162E">
        <w:t>d</w:t>
      </w:r>
      <w:r>
        <w:t xml:space="preserve"> state, </w:t>
      </w:r>
      <w:r w:rsidR="000826A0">
        <w:t>in which</w:t>
      </w:r>
      <w:r>
        <w:t xml:space="preserve"> the </w:t>
      </w:r>
      <w:r w:rsidR="00953C41">
        <w:t>overtu</w:t>
      </w:r>
      <w:r w:rsidR="001D738D">
        <w:t xml:space="preserve">rning </w:t>
      </w:r>
      <w:r>
        <w:t>circulation ceases</w:t>
      </w:r>
      <w:r w:rsidR="00485330">
        <w:t xml:space="preserve"> </w:t>
      </w:r>
      <w:r>
        <w:fldChar w:fldCharType="begin"/>
      </w:r>
      <w:r w:rsidR="00275483">
        <w:instrText xml:space="preserve"> ADDIN ZOTERO_ITEM CSL_CITATION {"citationID":"d1UnLRMW","properties":{"formattedCitation":"(5)","plainCitation":"(5)","noteIndex":0},"citationItems":[{"id":6620,"uris":["http://zotero.org/users/7129331/items/TNNEJWUG"],"itemData":{"id":6620,"type":"report","event-place":"UK","publisher":"University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schema":"https://github.com/citation-style-language/schema/raw/master/csl-citation.json"} </w:instrText>
      </w:r>
      <w:r>
        <w:fldChar w:fldCharType="separate"/>
      </w:r>
      <w:r w:rsidR="00275483" w:rsidRPr="00275483">
        <w:t>(5)</w:t>
      </w:r>
      <w:r>
        <w:fldChar w:fldCharType="end"/>
      </w:r>
      <w:r>
        <w:t xml:space="preserve">. A cessation or even a slowdown of the AMOC would have significant consequences for temperatures in the North Atlantic </w:t>
      </w:r>
      <w:r>
        <w:fldChar w:fldCharType="begin"/>
      </w:r>
      <w:r w:rsidR="003A0D85">
        <w:instrText xml:space="preserve"> ADDIN ZOTERO_ITEM CSL_CITATION {"citationID":"NKjRuLjF","properties":{"formattedCitation":"(3\\uc0\\u8211{}6)","plainCitation":"(3–6)","noteIndex":0},"citationItems":[{"id":129,"uris":["http://zotero.org/users/7129331/items/2UGI9KV5"],"itemData":{"id":129,"type":"article-journal","abstract":"The term “tipping point” commonly refers to a critical threshold at which a tiny perturbation can qualitatively alter the state or development of a system. Here we introduce the term “tipping element” to describe large-scale components of the Earth system that may pass a tipping point. We critically evaluate potential policy-relevant tipping elements in the climate system under anthropogenic forcing, drawing on the pertinent literature and a recent international workshop to compile a short list, and we assess where their tipping points lie. An expert elicitation is used to help rank their sensitivity to global warming and the uncertainty about the underlying physical mechanisms. Then we explain how, in principle, early warning systems could be established to detect the proximity of some tipping points.","container-title":"Proceedings of the National Academy of Sciences","DOI":"10.1073/pnas.0705414105","issue":"6","note":"publisher: Proceedings of the National Academy of Sciences","page":"1786-1793","source":"pnas.org (Atypon)","title":"Tipping elements in the Earth's climate system","volume":"105","author":[{"family":"Lenton","given":"T."},{"family":"Held","given":"Hermann"},{"family":"Kriegler","given":"Elmar"},{"family":"Hall","given":"Jim W."},{"family":"Lucht","given":"Wolfgang"},{"family":"Rahmstorf","given":"Stefan"},{"family":"Schellnhuber","given":"Hans Joachim"}],"issued":{"date-parts":[["2008",2,12]]}},"locator":"200"},{"id":6620,"uris":["http://zotero.org/users/7129331/items/TNNEJWUG"],"itemData":{"id":6620,"type":"report","event-place":"UK","publisher":"University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id":6540,"uris":["http://zotero.org/users/7129331/items/R5XV4VDJ"],"itemData":{"id":6540,"type":"article-journal","abstract":"While the Atlantic Meridional Overturning Circulation (AMOC) is projected to slow down under anthropogenic warming, the exact role of the AMOC in future climate change has not been fully quantified. Here, we present a method to stabilize the AMOC intensity in anthropogenic warming experiments by removing fresh water from the subpolar North Atlantic. This method enables us to isolate the AMOC climatic impacts in experiments with a full-physics climate model. Our results show that a weakened AMOC can explain ocean cooling south of Greenland that resembles the North Atlantic warming hole and a reduced Arctic sea ice loss in all seasons with a delay of about 6 years in the emergence of an ice-free Arctic in boreal summer. In the troposphere, a weakened AMOC causes an anomalous cooling band stretching from the lower levels in high latitudes to the upper levels in the tropics and displaces the Northern Hemisphere midlatitude jets poleward.","container-title":"Science Advances","DOI":"10.1126/sciadv.aaz4876","issue":"26","note":"publisher: American Association for the Advancement of Science","page":"eaaz4876","source":"science.org (Atypon)","title":"Climate impacts of a weakened Atlantic Meridional Overturning Circulation in a warming climate","volume":"6","author":[{"family":"Liu","given":"Wei"},{"family":"Fedorov","given":"Alexey V."},{"family":"Xie","given":"Shang-Ping"},{"family":"Hu","given":"Shineng"}],"issued":{"date-parts":[["2020",6,26]]}}},{"id":"YXi9sT6M/l281tqQd","uris":["http://zotero.org/users/7129331/items/CDD9PQ9T"],"itemData":{"id":6077,"type":"article-journal","abstract":"One of the most prominent climate tipping elements is the Atlantic meridional overturning circulation (AMOC), which can potentially collapse because of the input of fresh water in the North Atlantic. Although AMOC collapses have been induced in complex global climate models by strong freshwater forcing, the processes of an AMOC tipping event have so far not been investigated. Here, we show results of the first tipping event in the Community Earth System Model, including the large climate impacts of the collapse. Using these results, we develop a physics-based and observable early warning signal of AMOC tipping: the minimum of the AMOC-induced freshwater transport at the southern boundary of the Atlantic. Reanalysis products indicate that the present-day AMOC is on route to tipping. The early warning signal is a useful alternative to classical statistical ones, which, when applied to our simulated tipping event, turn out to be sensitive to the analyzed time interval before tipping.\n          , \n            A complex global climate model shows an AMOC tipping event.","container-title":"Science Advances","DOI":"10.1126/sciadv.adk1189","ISSN":"2375-2548","issue":"6","journalAbbreviation":"Sci. Adv.","language":"en","page":"eadk1189","source":"DOI.org (Crossref)","title":"Physics-based early warning signal shows that AMOC is on tipping course","volume":"10","author":[{"family":"Van Westen","given":"René M."},{"family":"Kliphuis","given":"Michael"},{"family":"Dijkstra","given":"Henk A."}],"issued":{"date-parts":[["2024",2,9]]}}}],"schema":"https://github.com/citation-style-language/schema/raw/master/csl-citation.json"} </w:instrText>
      </w:r>
      <w:r>
        <w:fldChar w:fldCharType="separate"/>
      </w:r>
      <w:r w:rsidR="00275483" w:rsidRPr="00275483">
        <w:rPr>
          <w:rFonts w:cs="Times New Roman"/>
        </w:rPr>
        <w:t>(3–6)</w:t>
      </w:r>
      <w:r>
        <w:fldChar w:fldCharType="end"/>
      </w:r>
      <w:r>
        <w:t xml:space="preserve">, as well as impacts on the carbon cycle </w:t>
      </w:r>
      <w:r>
        <w:fldChar w:fldCharType="begin"/>
      </w:r>
      <w:r w:rsidR="003A0D85">
        <w:instrText xml:space="preserve"> ADDIN ZOTERO_ITEM CSL_CITATION {"citationID":"EBcY6Crn","properties":{"formattedCitation":"(7)","plainCitation":"(7)","noteIndex":0},"citationItems":[{"id":"YXi9sT6M/QKxsNYc3","uris":["http://zotero.org/users/7129331/items/XF4UPTGT"],"itemData":{"id":5998,"type":"article-journal","abstract":"An Earth System model of intermediate complexity is used to quantify the effects of potential reorganizations of the Atlantic meridional overturning circulation, ranging from a weakening to a complete shutdown, on future uptake of excess CO2 by the ocean and the terrestrial biosphere. Circulation changes significantly reduce oceanic CO2 uptake, with the largest effects occurring under a complete shutdown. The reduction in uptake is caused to a large extent by a decline in marine export of organic particulate matter. On land, soil carbon increases because of reduced soil respiration in the mid-latitudes of the Northern Hemisphere. This gain is partially compensated by loss of vegetation carbon associated with reduced primary production in the northern high latitudes due to a cooler and dryer climate. Altogether, these processes act to modestly enhance CO2 concentration levels in the atmosphere, thereby leading to a small positive feedback. The rise in atmospheric CO2 ranges from 13 ppm to 34 ppm in 2500, depending on the amount of AMOC weakening, the magnitude of the anthropogenic CO2 perturbation, and the future CO2 fertilization effect.","container-title":"Global Biogeochemical Cycles","DOI":"10.1029/2007GB003118","ISSN":"1944-9224","issue":"3","language":"en","license":"Copyright 2008 by the American Geophysical Union.","note":"_eprint: https://onlinelibrary.wiley.com/doi/pdf/10.1029/2007GB003118","source":"Wiley Online Library","title":"Carbon-cycle feedbacks of changes in the Atlantic meridional overturning circulation under future atmospheric CO2","URL":"https://onlinelibrary.wiley.com/doi/abs/10.1029/2007GB003118","volume":"22","author":[{"family":"Zickfeld","given":"Kirsten"},{"family":"Eby","given":"Michael"},{"family":"Weaver","given":"Andrew J."}],"accessed":{"date-parts":[["2024",4,4]]},"issued":{"date-parts":[["2008"]]}}}],"schema":"https://github.com/citation-style-language/schema/raw/master/csl-citation.json"} </w:instrText>
      </w:r>
      <w:r>
        <w:fldChar w:fldCharType="separate"/>
      </w:r>
      <w:r w:rsidR="00275483" w:rsidRPr="00275483">
        <w:t>(7)</w:t>
      </w:r>
      <w:r>
        <w:fldChar w:fldCharType="end"/>
      </w:r>
      <w:r>
        <w:t xml:space="preserve">, monsoons </w:t>
      </w:r>
      <w:r>
        <w:fldChar w:fldCharType="begin"/>
      </w:r>
      <w:r w:rsidR="00275483">
        <w:instrText xml:space="preserve"> ADDIN ZOTERO_ITEM CSL_CITATION {"citationID":"YiL6mq1C","properties":{"formattedCitation":"(2)","plainCitation":"(2)","noteIndex":0},"citationItems":[{"id":699,"uris":["http://zotero.org/users/7129331/items/T5PW4UUL"],"itemData":{"id":699,"type":"article-journal","abstract":"The impacts of a hypothetical slowdown in the Atlantic Meridional Overturning Circulation (AMOC) are assessed in a state-of-the-art global climate model (HadGEM3), with particular emphasis on Europe. This is the highest resolution coupled global climate model to be used to study the impacts of an AMOC slowdown so far. Many results found are consistent with previous studies and can be considered robust impacts from a large reduction or collapse of the AMOC. These include: widespread cooling throughout the North Atlantic and northern hemisphere in general; less precipitation in the northern hemisphere midlatitudes; large changes in precipitation in the tropics and a strengthening of the North Atlantic storm track. The focus on Europe, aided by the increase in resolution, has revealed previously undiscussed impacts, particularly those associated with changing atmospheric circulation patterns. Summer precipitation decreases (increases) in northern (southern) Europe and is associated with a negative summer North Atlantic Oscillation signal. Winter precipitation is also affected by the changing atmospheric circulation, with localised increases in precipitation associated with more winter storms and a strengthened winter storm track. Stronger westerly winds in winter increase the warming maritime effect while weaker westerlies in summer decrease the cooling maritime effect. In the absence of these circulation changes the cooling over Europe’s landmass would be even larger in both seasons. The general cooling and atmospheric circulation changes result in weaker peak river flows and vegetation productivity, which may raise issues of water availability and crop production.","container-title":"Climate Dynamics","DOI":"10.1007/s00382-015-2540-2","ISSN":"1432-0894","issue":"11","journalAbbreviation":"Clim Dyn","language":"en","page":"3299-3316","source":"Springer Link","title":"Global and European climate impacts of a slowdown of the AMOC in a high resolution GCM","volume":"45","author":[{"family":"Jackson","given":"L. C."},{"family":"Kahana","given":"R."},{"family":"Graham","given":"T."},{"family":"Ringer","given":"M. A."},{"family":"Woollings","given":"T."},{"family":"Mecking","given":"J. V."},{"family":"Wood","given":"R. A."}],"issued":{"date-parts":[["2015",12,1]]}}}],"schema":"https://github.com/citation-style-language/schema/raw/master/csl-citation.json"} </w:instrText>
      </w:r>
      <w:r>
        <w:fldChar w:fldCharType="separate"/>
      </w:r>
      <w:r w:rsidR="00275483" w:rsidRPr="00275483">
        <w:t>(2)</w:t>
      </w:r>
      <w:r>
        <w:fldChar w:fldCharType="end"/>
      </w:r>
      <w:r>
        <w:t xml:space="preserve">, and, potentially, other tipping elements </w:t>
      </w:r>
      <w:r>
        <w:fldChar w:fldCharType="begin"/>
      </w:r>
      <w:r w:rsidR="00275483">
        <w:instrText xml:space="preserve"> ADDIN ZOTERO_ITEM CSL_CITATION {"citationID":"tjQwNMVX","properties":{"formattedCitation":"(5,8,9)","plainCitation":"(5,8,9)","noteIndex":0},"citationItems":[{"id":2698,"uris":["http://zotero.org/users/7129331/items/M9TJEW9L"],"itemData":{"id":2698,"type":"article-journal","abstract":"The geological record shows that abrupt changes in the Earth system can occur on timescales short enough to challenge the capacity of human societies to adapt to environmental pressures. In many cases, abrupt changes arise from slow changes in one component of the Earth system that eventually pass a critical threshold, or tipping point, after which impacts cascade through coupled climate–ecological–social systems. The chance of detecting abrupt changes and tipping points increases with the length of observations. The geological record provides the only long-term information we have on the conditions and processes that can drive physical, ecological and social systems into new states or organizational structures that may be irreversible within human time frames. Here, we use well-documented abrupt changes of the past 30 kyr to illustrate how their impacts cascade through the Earth system. We review useful indicators of upcoming abrupt changes, or early warning signals, and provide a perspective on the contributions of palaeoclimate science to the understanding of abrupt changes in the Earth system.","container-title":"Nature Geoscience","DOI":"10.1038/s41561-021-00790-5","ISSN":"1752-0908","issue":"8","journalAbbreviation":"Nat. Geosci.","language":"en","license":"2021 Springer Nature Limited","note":"number: 8\npublisher: Nature Publishing Group","page":"550-558","source":"www.nature.com","title":"Past abrupt changes, tipping points and cascading impacts in the Earth system","volume":"14","author":[{"family":"Brovkin","given":"Victor"},{"family":"Brook","given":"Edward"},{"family":"Williams","given":"John W."},{"family":"Bathiany","given":"Sebastian"},{"family":"Lenton","given":"Timothy M."},{"family":"Barton","given":"Michael"},{"family":"DeConto","given":"Robert M."},{"family":"Donges","given":"Jonathan F."},{"family":"Ganopolski","given":"Andrey"},{"family":"McManus","given":"Jerry"},{"family":"Praetorius","given":"Summer"},{"family":"Vernal","given":"Anne","non-dropping-particle":"de"},{"family":"Abe-Ouchi","given":"Ayako"},{"family":"Cheng","given":"Hai"},{"family":"Claussen","given":"Martin"},{"family":"Crucifix","given":"Michel"},{"family":"Gallopín","given":"Gilberto"},{"family":"Iglesias","given":"Virginia"},{"family":"Kaufman","given":"Darrell S."},{"family":"Kleinen","given":"Thomas"},{"family":"Lambert","given":"Fabrice"},{"family":"Leeuw","given":"Sander","non-dropping-particle":"van der"},{"family":"Liddy","given":"Hannah"},{"family":"Loutre","given":"Marie-France"},{"family":"McGee","given":"David"},{"family":"Rehfeld","given":"Kira"},{"family":"Rhodes","given":"Rachael"},{"family":"Seddon","given":"Alistair W. R."},{"family":"Trauth","given":"Martin H."},{"family":"Vanderveken","given":"Lilian"},{"family":"Yu","given":"Zicheng"}],"issued":{"date-parts":[["2021",8]]}}},{"id":6620,"uris":["http://zotero.org/users/7129331/items/TNNEJWUG"],"itemData":{"id":6620,"type":"report","event-place":"UK","publisher":"University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id":6578,"uris":["http://zotero.org/users/7129331/items/GUHDJ2BH"],"itemData":{"id":6578,"type":"article-journal","abstract":"Regime shifts are large, abrupt, and persistent critical transitions in the function and structure of ecosystems. Yet, it is unknown how these transitions will interact, whether the occurrence of one will increase the likelihood of another or simply correlate at distant places. We explored two types of cascading effects: Domino effects create one-way dependencies, whereas hidden feedbacks produce two-way interactions. We compare them with the control case of driver sharing, which can induce correlations. Using 30 regime shifts described as networks, we show that 45% of regime shift pairwise combinations present at least one plausible structural interdependence. The likelihood of cascading effects depends on cross-scale interactions but differs for each type. Management of regime shifts should account for potential connections.","container-title":"Science","DOI":"10.1126/science.aat7850","issue":"6421","note":"publisher: American Association for the Advancement of Science","page":"1379-1383","source":"science.org (Atypon)","title":"Cascading regime shifts within and across scales","volume":"362","author":[{"family":"Rocha","given":"Juan C."},{"family":"Peterson","given":"Garry"},{"family":"Bodin","given":"Örjan"},{"family":"Levin","given":"Simon"}],"issued":{"date-parts":[["2018",12,21]]}}}],"schema":"https://github.com/citation-style-language/schema/raw/master/csl-citation.json"} </w:instrText>
      </w:r>
      <w:r>
        <w:fldChar w:fldCharType="separate"/>
      </w:r>
      <w:r w:rsidR="00275483" w:rsidRPr="00275483">
        <w:t>(5,8,9)</w:t>
      </w:r>
      <w:r>
        <w:fldChar w:fldCharType="end"/>
      </w:r>
      <w:r>
        <w:t xml:space="preserve">. </w:t>
      </w:r>
    </w:p>
    <w:p w14:paraId="1AC51D64" w14:textId="77777777" w:rsidR="004B201E" w:rsidRDefault="004B201E"/>
    <w:p w14:paraId="5CBE80C2" w14:textId="659E3AF0" w:rsidR="00BF77F1" w:rsidRDefault="000826A0">
      <w:r>
        <w:t>Accurately</w:t>
      </w:r>
      <w:r w:rsidR="00B84193">
        <w:t xml:space="preserve"> simulating the AMOC requires an understanding of its physical dynamics. </w:t>
      </w:r>
      <w:r w:rsidR="00A367F1" w:rsidRPr="00D1012E">
        <w:t>The AMOC operates through the sinking of large amounts of salty water originating from the South Atlantic. As the water travels northward, it cools and becomes sufficiently dense to sink into the depths, forming the North Atlantic Deep Water (NADW)</w:t>
      </w:r>
      <w:r w:rsidR="00D1012E">
        <w:t xml:space="preserve">. </w:t>
      </w:r>
      <w:r w:rsidR="00226C80" w:rsidRPr="00226C80">
        <w:t>This water mass then returns to the South Atlantic through the deep layers of the Atlantic Ocean</w:t>
      </w:r>
      <w:r w:rsidR="00226C80">
        <w:t xml:space="preserve"> </w:t>
      </w:r>
      <w:r w:rsidR="00B84193">
        <w:fldChar w:fldCharType="begin"/>
      </w:r>
      <w:r w:rsidR="00B84193">
        <w:instrText xml:space="preserve"> ADDIN ZOTERO_ITEM CSL_CITATION {"citationID":"FNyRjE17","properties":{"formattedCitation":"(10,11)","plainCitation":"(10,11)","noteIndex":0},"citationItems":[{"id":6182,"uris":["http://zotero.org/users/7129331/items/M37JQNHB"],"itemData":{"id":6182,"type":"article-journal","abstract":"This is a review about the Atlantic Meridional Overturning Circulation (AMOC), its mean structure, temporal variability, controlling mechanisms, and role in the coupled climate system. The AMOC plays a central role in climate through its heat and freshwater transports. Northward ocean heat transport achieved by the AMOC is responsible for the relative warmth of the Northern Hemisphere compared to the Southern Hemisphere and is thought to play a role in setting the mean position of the Intertropical Convergence Zone north of the equator. The AMOC is a key means by which heat anomalies are sequestered into the ocean's interior and thus modulates the trajectory of climate change. Fluctuations in the AMOC have been linked to low-frequency variability of Atlantic sea surface temperatures with a host of implications for climate variability over surrounding landmasses. On intra-annual timescales, variability in AMOC is large and primarily reflects the response to local wind forcing; meridional coherence of anomalies is limited to that of the wind field. On interannual to decadal timescales, AMOC changes are primarily geostrophic and related to buoyancy anomalies on the western boundary. A pacemaker region for decadal AMOC changes is located in a western “transition zone” along the boundary between the subtropical and subpolar gyres. Decadal AMOC anomalies are communicated meridionally from this region. AMOC observations, as well as the expanded ocean observational network provided by the Argo array and satellite altimetry, are inspiring efforts to develop decadal predictability systems using coupled atmosphere-ocean models initialized by ocean data.","container-title":"Reviews of Geophysics","DOI":"10.1002/2015RG000493","ISSN":"1944-9208","issue":"1","language":"en","license":"©2015. The Authors.","note":"_eprint: https://onlinelibrary.wiley.com/doi/pdf/10.1002/2015RG000493","page":"5-63","source":"Wiley Online Library","title":"Observations, inferences, and mechanisms of the Atlantic Meridional Overturning Circulation: A review","title-short":"Observations, inferences, and mechanisms of the Atlantic Meridional Overturning Circulation","volume":"54","author":[{"family":"Buckley","given":"Martha W."},{"family":"Marshall","given":"John"}],"issued":{"date-parts":[["2016"]]}}},{"id":6089,"uris":["http://zotero.org/users/7129331/items/MN2FGPUA"],"itemData":{"id":6089,"type":"book","edition":"1","ISBN":"978-1-107-08389-9","language":"en","license":"https://www.cambridge.org/core/terms","note":"DOI: 10.1017/CBO9781316018682","publisher":"Cambridge University Press","source":"DOI.org (Crossref)","title":"Climate System Dynamics and Modelling:","title-short":"Climate System Dynamics and Modelling","URL":"https://www.cambridge.org/highereducation/books/climate-system-dynamics-and-modelling/C8FC9D02159C8D9FD2146976AA8D28A6#contents","author":[{"family":"Goosse","given":"Hugues"}],"accessed":{"date-parts":[["2024",4,20]]},"issued":{"date-parts":[["2015",8,10]]}}}],"schema":"https://github.com/citation-style-language/schema/raw/master/csl-citation.json"} </w:instrText>
      </w:r>
      <w:r w:rsidR="00B84193">
        <w:fldChar w:fldCharType="separate"/>
      </w:r>
      <w:r w:rsidR="00275483">
        <w:t>(10,11)</w:t>
      </w:r>
      <w:r w:rsidR="00B84193">
        <w:fldChar w:fldCharType="end"/>
      </w:r>
      <w:r w:rsidR="00B84193">
        <w:t xml:space="preserve">. </w:t>
      </w:r>
      <w:r w:rsidR="008632B3">
        <w:t>The AMOC is a component of</w:t>
      </w:r>
      <w:r w:rsidR="00F84E13">
        <w:t xml:space="preserve"> the so-called </w:t>
      </w:r>
      <w:r w:rsidR="00D84BE1">
        <w:t>thermohaline circulation</w:t>
      </w:r>
      <w:r w:rsidR="008632B3">
        <w:t>, as it is driven by density differences determined by the temperature and salinity of the water.</w:t>
      </w:r>
      <w:r w:rsidR="00B84193">
        <w:t xml:space="preserve"> With global warming, the increase in Atlantic water temperature reduces its density, thereby </w:t>
      </w:r>
      <w:r w:rsidR="0044421E">
        <w:t>increasing</w:t>
      </w:r>
      <w:r w:rsidR="00B84193">
        <w:t xml:space="preserve"> its buoyancy </w:t>
      </w:r>
      <w:r w:rsidR="00B84193">
        <w:fldChar w:fldCharType="begin"/>
      </w:r>
      <w:r w:rsidR="003A0D85">
        <w:instrText xml:space="preserve"> ADDIN ZOTERO_ITEM CSL_CITATION {"citationID":"O7Zfv5LV","properties":{"formattedCitation":"(12)","plainCitation":"(12)","noteIndex":0},"citationItems":[{"id":"YXi9sT6M/QhAIDXr5","uris":["http://zotero.org/users/7129331/items/36V738VE"],"itemData":{"id":1282,"type":"article-journal","abstract":"Present estimates of the future oceanic uptake of anthropogenic CO2 and calculations of CO2-emission scenarios1 are based on the assumption that the natural carbon cycle is in steady state. But it iswell known from palaeoclimate records2,3,4,5 and modelling studies6,7,8,9 that the climate system has more than one equilibrium state, and that perturbations can trigger transitions between them. Anticipated future changes in today's climate system due to human activities have the potential to weaken the thermohaline circulation of the North Atlantic Ocean10,11,12, which would greatly modify estimates of future oceanic CO2 uptake13. Here we use a simple coupled atmosphere–ocean climate model to show that the Atlantic thermohaline circulation is not only sensitive to the final atmospheric CO2 concentration attained, but also depends on the rate of change of the CO2 concentration in the atmosphere. A modelled increase to 750 parts per million by volume (p.p.m.v.) CO2 within 100 years (corresponding approximately to a continuation of today's growth rate) leads to a permanent shut-down of the thermohaline circulation. If the final atmospheric concentration of 750 p.p.m.v. CO2 is attained more slowly, the thermohaline circulation simply slows down. The reason for this rate-sensitive response of the climate system lies with the transfer of buoyancy in the form of heat and fresh water from the uppermost layers of the ocean into the deep waters below. This sensitivity of the simulated thermohaline circulation to the rate ofchange of atmospheric CO2 concentration has potentially important implications for the choice of future CO2-emission scenarios1.","container-title":"Nature","DOI":"10.1038/42224","ISSN":"1476-4687","issue":"6645","language":"en","license":"1997 Macmillan Magazines Ltd.","note":"number: 6645\npublisher: Nature Publishing Group","page":"862-865","source":"www.nature.com","title":"Influence of CO2 emission rates on the stability of the thermohaline circulation","volume":"388","author":[{"family":"Stocker","given":"Thomas F."},{"family":"Schmittner","given":"Andreas"}],"issued":{"date-parts":[["1997",8]]}}}],"schema":"https://github.com/citation-style-language/schema/raw/master/csl-citation.json"} </w:instrText>
      </w:r>
      <w:r w:rsidR="00B84193">
        <w:fldChar w:fldCharType="separate"/>
      </w:r>
      <w:r w:rsidR="00275483">
        <w:t>(12)</w:t>
      </w:r>
      <w:r w:rsidR="00B84193">
        <w:fldChar w:fldCharType="end"/>
      </w:r>
      <w:r w:rsidR="00B84193">
        <w:t xml:space="preserve">. This thermal forcing is the dominant mechanism driving AMOC weakening </w:t>
      </w:r>
      <w:r w:rsidR="00B84193">
        <w:fldChar w:fldCharType="begin"/>
      </w:r>
      <w:r w:rsidR="00B84193">
        <w:instrText xml:space="preserve"> ADDIN ZOTERO_ITEM CSL_CITATION {"citationID":"e7AtNB6b","properties":{"formattedCitation":"(13\\uc0\\u8211{}15)","plainCitation":"(13–15)","noteIndex":0},"citationItems":[{"id":6586,"uris":["http://zotero.org/users/7129331/items/I79XA89E"],"itemData":{"id":6586,"type":"article-journal","abstract":"In a transient warming scenario, the North Atlantic is influenced by a complex pattern of surface buoyancy flux changes that ultimately weaken the Atlantic meridional overturning circulation (AMOC). Here we study the AMOC response in the CMIP5 experiment, using the near-geostrophic balance of the AMOC on interannual time scales to identify the role of temperature and salinity changes in altering the circulation. The thermal wind relationship is used to quantify changes in the zonal density gradients that control the strength of the flow. At 40°N, where the overturning cell is at its strongest, weakening of the AMOC is largely driven by warming between 1000- and 2000-m depth along the western margin. Despite significant subpolar surface freshening, salinity changes are small in the deep branch of the circulation. This is likely due to the influence of anomalously salty water in the subpolar intermediate layers, which is carried northward from the subtropics in the upper limb of the AMOC. In the upper 1000 m at 40°N, salty anomalies due to increased evaporation largely cancel the buoyancy increase due to warming. Therefore, in CMIP5, temperature dynamics are responsible for AMOC weakening, while freshwater forcing instead acts to strengthen the circulation in the net. These results indicate that past modeling studies of AMOC weakening, which rely on freshwater hosing in the subpolar gyre, may not be directly applicable to a more complex warming scenario.","container-title":"Journal of Climate","DOI":"10.1175/JCLI-D-19-0547.1","ISSN":"0894-8755, 1520-0442","issue":"4","language":"EN","note":"publisher: American Meteorological Society\nsection: Journal of Climate","page":"1535-1545","source":"journals.ametsoc.org","title":"What Causes the AMOC to Weaken in CMIP5?","volume":"33","author":[{"family":"Levang","given":"Samuel J."},{"family":"Schmitt","given":"Raymond W."}],"issued":{"date-parts":[["2020",2,15]]}}},{"id":6496,"uris":["http://zotero.org/users/7129331/items/LFPLFEM3"],"itemData":{"id":6496,"type":"article-journal","abstract":"It is now established that the increase in atmospheric CO2 is likely to cause a weakening, or perhaps a collapse, of the Atlantic Meridional Overturning Circulation (AMOC). To investigate the mechanisms of this response in CMIP5 models, Levang and Schmitt (2020) have estimated the geostrophic streamfunction in these models offline and have decomposed the simulated changes into a contribution caused by the variations in temperature and salinity. They concluded that under a warming scenario, and for most models, the weakening of the AMOC is fundamentally driven by temperature anomalies, while freshwater forcing actually acts to stabilise it. However, given that both 3-D fields of ocean temperature and salinity are expected to respond to a forcing at the ocean surface, it is unclear to what extent the diagnostic is informative about the nature of the forcing. To clarify this question, we used the Earth system Model of Intermediate Complexity (EMIC), cGENIE, which is equipped with the C-GOLDSTEIN friction-geostrophic model. First, we reproduced the experiments simulating the Representative Concentration Pathway 8.5 (RCP8.5) warming scenario and observed that cGENIE behaves similarly to the majority of the CMIP5 models considered by Levang and Schmitt (2020), with the response dominated by the changes in the thermal structure of the ocean. Next, we considered hysteresis experiments associated with (1) water hosing and (2) CO2 increase and decrease. In all experiments, initial changes in the ocean streamfunction appear to be primarily caused by the changes in the temperature distribution, with variations in the 3-D distribution of salinity only partly compensating for the temperature contribution. These experiments also reveal limited sensitivity to changes in the ocean's salinity inventory. That the diagnostics behave similarly in CO2 and freshwater forcing scenarios suggests that the output of the diagnostic proposed in Levang and Schmitt (2020) is mainly determined by the internal structure of the ocean circulation rather than by the forcing applied to it. Our results illustrate the difficulty of inferring any information about the applied forcing from the thermal wind diagnostic and raise questions about the feasibility of designing a diagnostic or experiment that could identify which aspect of the forcing (thermal or haline) is driving the weakening of the AMOC.","container-title":"Earth System Dynamics","DOI":"10.5194/esd-15-293-2024","ISSN":"2190-4979","issue":"2","language":"English","note":"publisher: Copernicus GmbH","page":"293-306","source":"Copernicus Online Journals","title":"Diagnosing the causes of AMOC slowdown in a coupled model: a cautionary tale","title-short":"Diagnosing the causes of AMOC slowdown in a coupled model","volume":"15","author":[{"family":"Gérard","given":"Justin"},{"family":"Crucifix","given":"Michel"}],"issued":{"date-parts":[["2024",3,22]]}}},{"id":6643,"uris":["http://zotero.org/users/7129331/items/AJWMSHTV"],"itemData":{"id":6643,"type":"article-journal","abstract":"The most recent Intergovernmental Panel on Climate Change assessment report concludes that the Atlantic Meridional Overturning Circulation (AMOC) could weaken substantially but is very unlikely to collapse in the 21st century. However, the assessment largely neglected Greenland Ice Sheet (GrIS) mass loss, lacked a comprehensive uncertainty analysis, and was limited to the 21st century. Here in a community effort, improved estimates of GrIS mass loss are included in multicentennial projections using eight state-of-the-science climate models, and an AMOC emulator is used to provide a probabilistic uncertainty assessment. We find that GrIS melting affects AMOC projections, even though it is of secondary importance. By years 2090–2100, the AMOC weakens by 18% [−3%, −34%; 90% probability] in an intermediate greenhouse-gas mitigation scenario and by 37% [−15%, −65%] under continued high emissions. Afterward, it stabilizes in the former but continues to decline in the latter to −74% [+4%, −100%] by 2290–2300, with a 44% likelihood of an AMOC collapse. This result suggests that an AMOC collapse can be avoided by CO2 mitigation.","container-title":"Geophysical Research Letters","DOI":"10.1002/2016GL070457","ISSN":"1944-8007","issue":"23","language":"en","license":"©2016. American Geophysical Union and Her Majesty The Queen in Right of Canada. Reproduced with the permission of the Minister of the Environment, Canada.","note":"_eprint: https://onlinelibrary.wiley.com/doi/pdf/10.1002/2016GL070457","page":"12,252-12,260","source":"Wiley Online Library","title":"Fate of the Atlantic Meridional Overturning Circulation: Strong decline under continued warming and Greenland melting","title-short":"Fate of the Atlantic Meridional Overturning Circulation","volume":"43","author":[{"family":"Bakker","given":"P."},{"family":"Schmittner","given":"A."},{"family":"Lenaerts","given":"J. T. M."},{"family":"Abe-Ouchi","given":"A."},{"family":"Bi","given":"D."},{"family":"Broeke","given":"M. R.","non-dropping-particle":"van den"},{"family":"Chan","given":"W.-L."},{"family":"Hu","given":"A."},{"family":"Beadling","given":"R. L."},{"family":"Marsland","given":"S. J."},{"family":"Mernild","given":"S. H."},{"family":"Saenko","given":"O. A."},{"family":"Swingedouw","given":"D."},{"family":"Sullivan","given":"A."},{"family":"Yin","given":"J."}],"issued":{"date-parts":[["2016"]]}}}],"schema":"https://github.com/citation-style-language/schema/raw/master/csl-citation.json"} </w:instrText>
      </w:r>
      <w:r w:rsidR="00B84193">
        <w:fldChar w:fldCharType="separate"/>
      </w:r>
      <w:r w:rsidR="00275483" w:rsidRPr="6782D129">
        <w:rPr>
          <w:rFonts w:cs="Times New Roman"/>
        </w:rPr>
        <w:t>(13–15)</w:t>
      </w:r>
      <w:r w:rsidR="00B84193">
        <w:fldChar w:fldCharType="end"/>
      </w:r>
      <w:r w:rsidR="00B84193">
        <w:t xml:space="preserve">. The second forcing mechanism involves a disturbance in the salinity of the water within the Atlantic. As the Greenland Ice Sheet (GIS) melts due to global warming, large quantities of freshwater are added to the deep-water sinking regions in the North Atlantic. This freshwater flux reduces the water’s density, increasing its buoyancy and diminishing its ability to sink into the depths, thereby weakening the intensity of the AMOC </w:t>
      </w:r>
      <w:r w:rsidR="00B84193">
        <w:fldChar w:fldCharType="begin"/>
      </w:r>
      <w:r w:rsidR="003A0D85">
        <w:instrText xml:space="preserve"> ADDIN ZOTERO_ITEM CSL_CITATION {"citationID":"k2Rd5QMi","properties":{"formattedCitation":"(16\\uc0\\u8211{}18)","plainCitation":"(16–18)","noteIndex":0},"citationItems":[{"id":"YXi9sT6M/tbvFD2df","uris":["http://zotero.org/users/7129331/items/IAFB72Z6"],"itemData":{"id":6524,"type":"article-journal","abstract":"The most recent Intergovernmental Panel on Climate Change assessment report concludes that the Atlantic Meridional Overturning Circulation (AMOC) could weaken substantially but is very unlikely to collapse in the 21st century. However, the assessment largely neglected Greenland Ice Sheet (GrIS) mass loss, lacked a comprehensive uncertainty analysis, and was limited to the 21st century. Here in a community effort, improved estimates of GrIS mass loss are included in multicentennial projections using eight state-of-the-science climate models, and an AMOC emulator is used to provide a probabilistic uncertainty assessment. We find that GrIS melting affects AMOC projections, even though it is of secondary importance. By years 2090–2100, the AMOC weakens by 18% [−3%, −34%; 90% probability] in an intermediate greenhouse-gas mitigation scenario and by 37% [−15%, −65%] under continued high emissions. Afterward, it stabilizes in the former but continues to decline in the latter to −74% [+4%, −100%] by 2290–2300, with a 44% likelihood of an AMOC collapse. This result suggests that an AMOC collapse can be avoided by CO2 mitigation.","container-title":"Geophysical Research Letters","DOI":"10.1002/2016GL070457","ISSN":"1944-8007","issue":"23","language":"en","license":"©2016. American Geophysical Union and Her Majesty The Queen in Right of Canada. Reproduced with the permission of the Minister of the Environment, Canada.","note":"_eprint: https://onlinelibrary.wiley.com/doi/pdf/10.1002/2016GL070457","page":"12,252-12,260","source":"Wiley Online Library","title":"Fate of the Atlantic Meridional Overturning Circulation: Strong decline under continued warming and Greenland melting","title-short":"Fate of the Atlantic Meridional Overturning Circulation","volume":"43","author":[{"family":"Bakker","given":"P."},{"family":"Schmittner","given":"A."},{"family":"Lenaerts","given":"J. T. M."},{"family":"Abe-Ouchi","given":"A."},{"family":"Bi","given":"D."},{"family":"Broeke","given":"M. R.","non-dropping-particle":"van den"},{"family":"Chan","given":"W.-L."},{"family":"Hu","given":"A."},{"family":"Beadling","given":"R. L."},{"family":"Marsland","given":"S. J."},{"family":"Mernild","given":"S. H."},{"family":"Saenko","given":"O. A."},{"family":"Swingedouw","given":"D."},{"family":"Sullivan","given":"A."},{"family":"Yin","given":"J."}],"issued":{"date-parts":[["2016"]]}}},{"id":6536,"uris":["http://zotero.org/users/7129331/items/73Q4EHDX"],"itemData":{"id":6536,"type":"article-journal","abstract":"Freshwater release from melting polar ice could weaken the Atlantic overturning circulation. Eddy-resolving ocean simulations reveal that the freshening has not yet significantly affected meridional overturning, but an effect may emerge soon.","container-title":"Nature Geoscience","DOI":"10.1038/ngeo2740","ISSN":"1752-0908","issue":"7","journalAbbreviation":"Nature Geosci","language":"en","license":"2016 Springer Nature Limited","note":"publisher: Nature Publishing Group","page":"523-527","source":"www.nature.com","title":"Emerging impact of Greenland meltwater on deepwater formation in the North Atlantic Ocean","volume":"9","author":[{"family":"Böning","given":"Claus W."},{"family":"Behrens","given":"Erik"},{"family":"Biastoch","given":"Arne"},{"family":"Getzlaff","given":"Klaus"},{"family":"Bamber","given":"Jonathan L."}],"issued":{"date-parts":[["2016",7]]}}},{"id":1150,"uris":["http://zotero.org/users/7129331/items/SV7L8W3Z"],"itemData":{"id":1150,"type":"article-journal","abstract":"The Atlantic meridional overturning circulation (AMOC) is an important part of our climate system. The AMOC is predicted to weaken under climate change; however, theories suggest that it may have a tipping point beyond which recovery is difficult, hence showing quasi-irreversibility (hysteresis). Although hysteresis has been seen in simple models, it has been difficult to demonstrate in comprehensive global climate models. Here, we outline a set of experiments designed to explore AMOC hysteresis and sensitivity to additional freshwater input as part of the North Atlantic Hosing Model Intercomparison Project (NAHosMIP). These experiments include adding additional freshwater (hosing) for a fixed length of time to examine the rate and mechanisms of AMOC weakening and whether the AMOC subsequently recovers once hosing stops.\n\n Initial results are shown from eight climate models participating in the Sixth Coupled Model Intercomparison Project (CMIP6). The AMOC weakens in all models as a result of the freshening, but once the freshening ceases, the AMOC recovers in half of the models, and in the other half it stays in a weakened state. The difference in model behaviour cannot be explained by the ocean model resolution or type nor by details of subgrid-scale parameterisations. Likewise, it cannot be explained by previously proposed properties of the mean climate state such as the strength of the salinity advection feedback. Instead, the AMOC recovery is determined by the climate state reached when hosing stops, with those experiments where the AMOC is weakest not experiencing a recovery.","container-title":"Geoscientific Model Development","DOI":"10.5194/gmd-16-1975-2023","ISSN":"1991-959X","issue":"7","language":"English","note":"publisher: Copernicus GmbH","page":"1975-1995","source":"Copernicus Online Journals","title":"Understanding AMOC stability: the North Atlantic Hosing Model Intercomparison Project","title-short":"Understanding AMOC stability","volume":"16","author":[{"family":"Jackson","given":"L. C."},{"family":"Alastrué de Asenjo","given":"E."},{"family":"Bellomo","given":"K."},{"family":"Danabasoglu","given":"G."},{"family":"Haak","given":"H."},{"family":"Hu","given":"A."},{"family":"Jungclaus","given":"J."},{"family":"Lee","given":"W."},{"family":"Meccia","given":"V."},{"family":"Saenko","given":"O."},{"family":"Shao","given":"A."},{"family":"Swingedouw","given":"D."}],"issued":{"date-parts":[["2023",4,6]]}}}],"schema":"https://github.com/citation-style-language/schema/raw/master/csl-citation.json"} </w:instrText>
      </w:r>
      <w:r w:rsidR="00B84193">
        <w:fldChar w:fldCharType="separate"/>
      </w:r>
      <w:r w:rsidR="00275483" w:rsidRPr="6782D129">
        <w:rPr>
          <w:rFonts w:cs="Times New Roman"/>
        </w:rPr>
        <w:t>(16–18)</w:t>
      </w:r>
      <w:r w:rsidR="00B84193">
        <w:fldChar w:fldCharType="end"/>
      </w:r>
      <w:r w:rsidR="00DC718F">
        <w:t xml:space="preserve">. </w:t>
      </w:r>
      <w:r w:rsidR="0044421E">
        <w:t>F</w:t>
      </w:r>
      <w:r w:rsidR="00A948F0">
        <w:t xml:space="preserve">uture variations in water salinity in the North Atlantic may </w:t>
      </w:r>
      <w:r w:rsidR="00E563C1">
        <w:t xml:space="preserve">also </w:t>
      </w:r>
      <w:r w:rsidR="00A948F0">
        <w:t>result from changes in the precipitation-evaporation</w:t>
      </w:r>
      <w:r w:rsidR="00A92739">
        <w:t xml:space="preserve"> (P-E)</w:t>
      </w:r>
      <w:r w:rsidR="00A948F0">
        <w:t xml:space="preserve"> balance driven by temperature anomalies</w:t>
      </w:r>
      <w:r w:rsidR="00D5660E">
        <w:t xml:space="preserve"> </w:t>
      </w:r>
      <w:r w:rsidR="00B84193">
        <w:fldChar w:fldCharType="begin"/>
      </w:r>
      <w:r w:rsidR="00B84193">
        <w:instrText xml:space="preserve"> ADDIN ZOTERO_ITEM CSL_CITATION {"citationID":"z4EqGPwC","properties":{"formattedCitation":"(19)","plainCitation":"(19)","noteIndex":0},"citationItems":[{"id":7026,"uris":["http://zotero.org/users/7129331/items/VFG2EGH6"],"itemData":{"id":7026,"type":"article-journal","abstract":"A 10-member ensemble simulation with the NASA GISS-E2-1-G climate model shows a clear bifurcation in the Atlantic meridional overturning circulation (AMOC) strength under the SSP2–4.5 extended scenario. At 26°N, the bifurcation leads to 8 strong AMOC and 2 much weaker AMOC states, while at 48°N, it leads to 8 stable AMOC-on and 2 nearly AMOC-off states, the latter lasting approximately 800 years. A variety of fully coupled models have demonstrated tipping points in AMOC through hosing experiments, i.e., prescribing sufficient freshwater inputs in the subpolar North Atlantic. In the GISS simulations, there are no external freshwater perturbations. The bifurcation arises freely in the coupled system and is the result of stochastic variability (noise-induced bifurcation) associated with sea ice transport and melting in the Irminger Sea after a slowing of the greenhouse gas forcing. While the AMOC strength follows the near shutdown of the Labrador Sea deep convection initially, the Irminger Sea salinity and deep mixing determine the timing of the AMOC recovery or near collapse at 48°N, which varies widely across the ensemble members. Other feedbacks such as ice-albedo, ice-evaporation, E − P, and the overturning salt-advection feedback play a secondary role that may enhance or reduce the primary mechanism which is ice melt. We believe this is the first time that a coupled climate model has shown such a bifurcation across an initial condition ensemble and might imply that there is a chance for significant and prolonged AMOC slow down due to internal variability of the system. Significance Statement We believe this is the first time that divergent AMOC behavior has been reported for an ensemble of Earth system model simulations using identical climate forcing and no prescribed freshwater perturbations. This response is a manifestation of noise-induced bifurcation, enhanced by feedbacks, revealing the role stochastic (or intrinsic) variability may play in AMOC stability.","container-title":"Journal of Climate","DOI":"10.1175/JCLI-D-22-0536.1","ISSN":"0894-8755, 1520-0442","issue":"18","language":"EN","note":"publisher: American Meteorological Society\nsection: Journal of Climate","page":"6141-6161","source":"journals.ametsoc.org","title":"Stochastic Bifurcation of the North Atlantic Circulation under a Midrange Future Climate Scenario with the NASA-GISS ModelE","volume":"36","author":[{"family":"Romanou","given":"Anastasia"},{"family":"Rind","given":"David"},{"family":"Jonas","given":"Jeff"},{"family":"Miller","given":"Ron"},{"family":"Kelley","given":"Maxwell"},{"family":"Russell","given":"Gary"},{"family":"Orbe","given":"Clara"},{"family":"Nazarenko","given":"Larissa"},{"family":"Latto","given":"Rebecca"},{"family":"Schmidt","given":"Gavin A."}],"issued":{"date-parts":[["2023",8,21]]}}}],"schema":"https://github.com/citation-style-language/schema/raw/master/csl-citation.json"} </w:instrText>
      </w:r>
      <w:r w:rsidR="00B84193">
        <w:fldChar w:fldCharType="separate"/>
      </w:r>
      <w:r w:rsidR="00275483">
        <w:t>(19)</w:t>
      </w:r>
      <w:r w:rsidR="00B84193">
        <w:fldChar w:fldCharType="end"/>
      </w:r>
      <w:r w:rsidR="00A948F0">
        <w:t>.</w:t>
      </w:r>
      <w:r w:rsidR="001D1992">
        <w:t xml:space="preserve"> </w:t>
      </w:r>
      <w:r w:rsidR="006233FB" w:rsidRPr="006233FB">
        <w:t xml:space="preserve">The tipping point of the AMOC corresponds to a critical threshold where changes in stratification of North Atlantic waters  become self-amplifying, as the AMOC can no longer transport salty waters to the North Atlantic </w:t>
      </w:r>
      <w:r w:rsidR="000D4411">
        <w:fldChar w:fldCharType="begin"/>
      </w:r>
      <w:r w:rsidR="000D4411">
        <w:instrText xml:space="preserve"> ADDIN ZOTERO_ITEM CSL_CITATION {"citationID":"4DURPivH","properties":{"formattedCitation":"(20)","plainCitation":"(20)","noteIndex":0},"citationItems":[{"id":6548,"uris":["http://zotero.org/users/7129331/items/9K3ABND7"],"itemData":{"id":6548,"type":"article-journal","abstract":"Free convection between two interconnected reservoirs, due to density differences maintained by heat and salt transfer to the reservoirs, is shown to occur sometimes in two different stable regimes, and may possibly be analogous to certain features of the oseanic circulation.","container-title":"Tellus","DOI":"10.1111/j.2153-3490.1961.tb00079.x","ISSN":"2153-3490","issue":"2","language":"en","license":"1961 Blackwell Munksgaard","note":"_eprint: https://onlinelibrary.wiley.com/doi/pdf/10.1111/j.2153-3490.1961.tb00079.x","page":"224-230","source":"Wiley Online Library","title":"Thermohaline Convection with Two Stable Regimes of Flow","volume":"13","author":[{"family":"Stommel","given":"Henry"}],"issued":{"date-parts":[["1961"]]}}}],"schema":"https://github.com/citation-style-language/schema/raw/master/csl-citation.json"} </w:instrText>
      </w:r>
      <w:r w:rsidR="000D4411">
        <w:fldChar w:fldCharType="separate"/>
      </w:r>
      <w:r w:rsidR="000D4411">
        <w:t>(20)</w:t>
      </w:r>
      <w:r w:rsidR="000D4411">
        <w:fldChar w:fldCharType="end"/>
      </w:r>
      <w:r w:rsidR="006233FB" w:rsidRPr="006233FB">
        <w:t xml:space="preserve">. </w:t>
      </w:r>
      <w:r w:rsidR="006233FB" w:rsidRPr="000D4411">
        <w:t xml:space="preserve">If the threshold is exceeded for a prolonged </w:t>
      </w:r>
      <w:r w:rsidR="000D4411" w:rsidRPr="000D4411">
        <w:t>period</w:t>
      </w:r>
      <w:r w:rsidR="006233FB" w:rsidRPr="000D4411">
        <w:t>, the AMOC will ultimately reach an irreversible collapsed state because returning to the critical value of the bifurcation parameter will not allow the system to return to its initial equilibrium</w:t>
      </w:r>
      <w:r w:rsidR="00BF77F1">
        <w:t xml:space="preserve"> </w:t>
      </w:r>
      <w:r w:rsidR="00BF77F1">
        <w:fldChar w:fldCharType="begin"/>
      </w:r>
      <w:r w:rsidR="00BF77F1">
        <w:instrText xml:space="preserve"> ADDIN ZOTERO_ITEM CSL_CITATION {"citationID":"IZt6o9Ai","properties":{"formattedCitation":"(5,16,21)","plainCitation":"(5,16,21)","noteIndex":0},"citationItems":[{"id":"YXi9sT6M/tbvFD2df","uris":["http://zotero.org/users/7129331/items/IAFB72Z6"],"itemData":{"id":6524,"type":"article-journal","abstract":"The most recent Intergovernmental Panel on Climate Change assessment report concludes that the Atlantic Meridional Overturning Circulation (AMOC) could weaken substantially but is very unlikely to collapse in the 21st century. However, the assessment largely neglected Greenland Ice Sheet (GrIS) mass loss, lacked a comprehensive uncertainty analysis, and was limited to the 21st century. Here in a community effort, improved estimates of GrIS mass loss are included in multicentennial projections using eight state-of-the-science climate models, and an AMOC emulator is used to provide a probabilistic uncertainty assessment. We find that GrIS melting affects AMOC projections, even though it is of secondary importance. By years 2090–2100, the AMOC weakens by 18% [−3%, −34%; 90% probability] in an intermediate greenhouse-gas mitigation scenario and by 37% [−15%, −65%] under continued high emissions. Afterward, it stabilizes in the former but continues to decline in the latter to −74% [+4%, −100%] by 2290–2300, with a 44% likelihood of an AMOC collapse. This result suggests that an AMOC collapse can be avoided by CO2 mitigation.","container-title":"Geophysical Research Letters","DOI":"10.1002/2016GL070457","ISSN":"1944-8007","issue":"23","language":"en","license":"©2016. American Geophysical Union and Her Majesty The Queen in Right of Canada. Reproduced with the permission of the Minister of the Environment, Canada.","note":"_eprint: https://onlinelibrary.wiley.com/doi/pdf/10.1002/2016GL070457","page":"12,252-12,260","source":"Wiley Online Library","title":"Fate of the Atlantic Meridional Overturning Circulation: Strong decline under continued warming and Greenland melting","title-short":"Fate of the Atlantic Meridional Overturning Circulation","volume":"43","author":[{"family":"Bakker","given":"P."},{"family":"Schmittner","given":"A."},{"family":"Lenaerts","given":"J. T. M."},{"family":"Abe-Ouchi","given":"A."},{"family":"Bi","given":"D."},{"family":"Broeke","given":"M. R.","non-dropping-particle":"van den"},{"family":"Chan","given":"W.-L."},{"family":"Hu","given":"A."},{"family":"Beadling","given":"R. L."},{"family":"Marsland","given":"S. J."},{"family":"Mernild","given":"S. H."},{"family":"Saenko","given":"O. A."},{"family":"Swingedouw","given":"D."},{"family":"Sullivan","given":"A."},{"family":"Yin","given":"J."}],"issued":{"date-parts":[["2016"]]}}},{"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id":4347,"uris":["http://zotero.org/users/7129331/items/5GB75C3R"],"itemData":{"id":4347,"type":"article-journal","abstract":"Tipping elements are components of the Earth system which may respond nonlinearly to anthropogenic climate change by transitioning toward substantially different long-term states upon passing key thresholds or “tipping points.” In some cases, such changes could produce additional greenhouse gas emissions or radiative forcing that could compound global warming. Improved understanding of tipping elements is important for predicting future climate risks and their impacts. Here we review mechanisms, predictions, impacts, and knowledge gaps associated with 10 notable Earth system components proposed to be tipping elements. We evaluate which tipping elements are approaching critical thresholds and whether shifts may manifest rapidly or over longer timescales. Some tipping elements have a higher risk of crossing tipping points under middle-of-the-road emissions pathways and will possibly affect major ecosystems, climate patterns, and/or carbon cycling within the 21st century. However, literature assessing different emissions scenarios indicates a strong potential to reduce impacts associated with many tipping elements through climate change mitigation. The studies synthesized in our review suggest most tipping elements do not possess the potential for abrupt future change within years, and some proposed tipping elements may not exhibit tipping behavior, rather responding more predictably and directly to the magnitude of forcing. Nevertheless, uncertainties remain associated with many tipping elements, highlighting an acute need for further research and modeling to better constrain risks.","container-title":"Reviews of Geophysics","DOI":"10.1029/2021RG000757","ISSN":"1944-9208","issue":"1","language":"en","license":"© 2023. The Authors.","note":"_eprint: https://onlinelibrary.wiley.com/doi/pdf/10.1029/2021RG000757","page":"e2021RG000757","source":"Wiley Online Library","title":"Mechanisms and Impacts of Earth System Tipping Elements","volume":"61","author":[{"family":"Wang","given":"Seaver"},{"family":"Foster","given":"Adrianna"},{"family":"Lenz","given":"Elizabeth A."},{"family":"Kessler","given":"John D."},{"family":"Stroeve","given":"Julienne C."},{"family":"Anderson","given":"Liana O."},{"family":"Turetsky","given":"Merritt"},{"family":"Betts","given":"Richard"},{"family":"Zou","given":"Sijia"},{"family":"Liu","given":"Wei"},{"family":"Boos","given":"William R."},{"family":"Hausfather","given":"Zeke"}],"issued":{"date-parts":[["2023"]]}}}],"schema":"https://github.com/citation-style-language/schema/raw/master/csl-citation.json"} </w:instrText>
      </w:r>
      <w:r w:rsidR="00BF77F1">
        <w:fldChar w:fldCharType="separate"/>
      </w:r>
      <w:r w:rsidR="00BF77F1">
        <w:t>(5,16,21)</w:t>
      </w:r>
      <w:r w:rsidR="00BF77F1">
        <w:fldChar w:fldCharType="end"/>
      </w:r>
      <w:r w:rsidR="006233FB" w:rsidRPr="000D4411">
        <w:t>.</w:t>
      </w:r>
      <w:r w:rsidR="00BF77F1">
        <w:t xml:space="preserve"> A characteristic hysteresis phenomenon is thus present</w:t>
      </w:r>
      <w:r w:rsidR="008B00B8">
        <w:t xml:space="preserve"> </w:t>
      </w:r>
      <w:r w:rsidR="00BF77F1">
        <w:fldChar w:fldCharType="begin"/>
      </w:r>
      <w:r w:rsidR="00BF77F1">
        <w:instrText xml:space="preserve"> ADDIN ZOTERO_ITEM CSL_CITATION {"citationID":"vtyJdIza","properties":{"formattedCitation":"(4,22)","plainCitation":"(4,22)","noteIndex":0},"citationItems":[{"id":6164,"uris":["http://zotero.org/users/7129331/items/LXGAGBS8"],"itemData":{"id":6164,"type":"article-journal","abstract":"We show a quasi-irreversible shutdown (hysteresis) of the Atlantic meridional overturning circulation (AMOC) in an unfluxadjusted global climate model with an eddy-permitting ocean. This global climate model is a prototype of one submitted to the sixth Coupled Model Intercomparison Project and is the most comprehensive model to show this behavior. The AMOC has a resilience timescale for a given hosing: If the hosing exceeds the critical hosing for collapse for only a limited time, the AMOC recovers when the hosing is stopped. Beyond the critical time, when the hosing stops the AMOC stays in a weak state with no recovery within 200 years. We show that simple, observable metrics such as AMOC strength and mixed layer depth can indicate whether this critical resilience time has passed and that the mechanism controlling the presence of recovery is a positive advective feedback.","container-title":"Geophysical Research Letters","DOI":"10.1029/2018GL078104","ISSN":"1944-8007","issue":"16","language":"en","license":"©2018 Crown copyright. This article is published with the permission of the Controller of HMSO and the Queen's Printer for Scotland.","note":"_eprint: https://onlinelibrary.wiley.com/doi/pdf/10.1029/2018GL078104","page":"8547-8556","source":"Wiley Online Library","title":"Hysteresis and Resilience of the AMOC in an Eddy-Permitting GCM","volume":"45","author":[{"family":"Jackson","given":"L. C."},{"family":"Wood","given":"R. A."}],"issued":{"date-parts":[["2018"]]}}},{"id":129,"uris":["http://zotero.org/users/7129331/items/2UGI9KV5"],"itemData":{"id":129,"type":"article-journal","abstract":"The term “tipping point” commonly refers to a critical threshold at which a tiny perturbation can qualitatively alter the state or development of a system. Here we introduce the term “tipping element” to describe large-scale components of the Earth system that may pass a tipping point. We critically evaluate potential policy-relevant tipping elements in the climate system under anthropogenic forcing, drawing on the pertinent literature and a recent international workshop to compile a short list, and we assess where their tipping points lie. An expert elicitation is used to help rank their sensitivity to global warming and the uncertainty about the underlying physical mechanisms. Then we explain how, in principle, early warning systems could be established to detect the proximity of some tipping points.","container-title":"Proceedings of the National Academy of Sciences","DOI":"10.1073/pnas.0705414105","issue":"6","note":"publisher: Proceedings of the National Academy of Sciences","page":"1786-1793","source":"pnas.org (Atypon)","title":"Tipping elements in the Earth's climate system","volume":"105","author":[{"family":"Lenton","given":"T."},{"family":"Held","given":"Hermann"},{"family":"Kriegler","given":"Elmar"},{"family":"Hall","given":"Jim W."},{"family":"Lucht","given":"Wolfgang"},{"family":"Rahmstorf","given":"Stefan"},{"family":"Schellnhuber","given":"Hans Joachim"}],"issued":{"date-parts":[["2008",2,12]]}}}],"schema":"https://github.com/citation-style-language/schema/raw/master/csl-citation.json"} </w:instrText>
      </w:r>
      <w:r w:rsidR="00BF77F1">
        <w:fldChar w:fldCharType="separate"/>
      </w:r>
      <w:r w:rsidR="00BF77F1">
        <w:t>(4,22)</w:t>
      </w:r>
      <w:r w:rsidR="00BF77F1">
        <w:fldChar w:fldCharType="end"/>
      </w:r>
      <w:r w:rsidR="00BF77F1">
        <w:t xml:space="preserve">. </w:t>
      </w:r>
    </w:p>
    <w:p w14:paraId="1B423963" w14:textId="77777777" w:rsidR="005E27E5" w:rsidRDefault="005E27E5"/>
    <w:p w14:paraId="49269690" w14:textId="191B2F52" w:rsidR="00B87D4D" w:rsidRDefault="005E27E5">
      <w:r>
        <w:t>There is evidence that the AMOC has slowed during the 20</w:t>
      </w:r>
      <w:r w:rsidRPr="00A1583D">
        <w:rPr>
          <w:vertAlign w:val="superscript"/>
        </w:rPr>
        <w:t>th</w:t>
      </w:r>
      <w:r>
        <w:t xml:space="preserve"> century </w:t>
      </w:r>
      <w:r>
        <w:fldChar w:fldCharType="begin"/>
      </w:r>
      <w:r w:rsidR="00275483">
        <w:instrText xml:space="preserve"> ADDIN ZOTERO_ITEM CSL_CITATION {"citationID":"jQbEaTBx","properties":{"formattedCitation":"(23)","plainCitation":"(23)","noteIndex":0},"citationItems":[{"id":6535,"uris":["http://zotero.org/users/7129331/items/DJXQTXPE"],"itemData":{"id":6535,"type":"article-journal","abstract":"Possible changes in Atlantic meridional overturning circulation (AMOC) provide a key source of uncertainty regarding future climate change. Maps of temperature trends over the twentieth century show a conspicuous region of cooling in the northern Atlantic. Here we present multiple lines of evidence suggesting that this cooling may be due to a reduction in the AMOC over the twentieth century and particularly after 1970. Since 1990 the AMOC seems to have partly recovered. This time evolution is consistently suggested by an AMOC index based on sea surface temperatures, by the hemispheric temperature difference, by coral-based proxies and by oceanic measurements. We discuss a possible contribution of the melting of the Greenland Ice Sheet to the slowdown. Using a multi-proxy temperature reconstruction for the AMOC index suggests that the AMOC weakness after 1975 is an unprecedented event in the past millennium (p &gt; 0.99). Further melting of Greenland in the coming decades could contribute to further weakening of the AMOC.","container-title":"Nature Climate Change","DOI":"10.1038/nclimate2554","ISSN":"1758-6798","issue":"5","journalAbbreviation":"Nature Clim Change","language":"en","license":"2014 Springer Nature Limited","note":"publisher: Nature Publishing Group","page":"475-480","source":"www.nature.com","title":"Exceptional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J."}],"issued":{"date-parts":[["2015",5]]}}}],"schema":"https://github.com/citation-style-language/schema/raw/master/csl-citation.json"} </w:instrText>
      </w:r>
      <w:r>
        <w:fldChar w:fldCharType="separate"/>
      </w:r>
      <w:r w:rsidR="00275483" w:rsidRPr="00275483">
        <w:t>(23)</w:t>
      </w:r>
      <w:r>
        <w:fldChar w:fldCharType="end"/>
      </w:r>
      <w:r>
        <w:t xml:space="preserve">, with reconstructions indicating a 15% decline over the past 70 years </w:t>
      </w:r>
      <w:r>
        <w:fldChar w:fldCharType="begin"/>
      </w:r>
      <w:r w:rsidR="00F50CED">
        <w:instrText xml:space="preserve"> ADDIN ZOTERO_ITEM CSL_CITATION {"citationID":"lXmcLDPZ","properties":{"formattedCitation":"(24)","plainCitation":"(24)","noteIndex":0},"citationItems":[{"id":2647,"uris":["http://zotero.org/users/7129331/items/9L28PLIH"],"itemData":{"id":2647,"type":"article-journal","abstract":"The Atlantic meridional overturning circulation (AMOC)—a system of ocean currents in the North Atlantic—has a major impact on climate, yet its evolution during the industrial era is poorly known owing to a lack of direct current measurements. Here we provide evidence for a weakening of the AMOC by about 3 ± 1 sverdrups (around 15 per cent) since the mid-twentieth century. This weakening is revealed by a characteristic spatial and seasonal sea-surface temperature ‘fingerprint’—consisting of a pattern of cooling in the subpolar Atlantic Ocean and warming in the Gulf Stream region—and is calibrated through an ensemble of model simulations from the CMIP5 project. We find this fingerprint both in a high-resolution climate model in response to increasing atmospheric carbon dioxide concentrations, and in the temperature trends observed since the late nineteenth century. The pattern can be explained by a slowdown in the AMOC and reduced northward heat transport, as well as an associated northward shift of the Gulf Stream. Comparisons with recent direct measurements from the RAPID project and several other studies provide a consistent depiction of record-low AMOC values in recent years.","container-title":"Nature","DOI":"10.1038/s41586-018-0006-5","ISSN":"1476-4687","issue":"7700","language":"en","license":"2018 Macmillan Publishers Ltd., part of Springer Nature","note":"number: 7700\npublisher: Nature Publishing Group","page":"191-196","source":"www.nature.com","title":"Observed fingerprint of a weakening Atlantic Ocean overturning circulation","volume":"556","author":[{"family":"Caesar","given":"L."},{"family":"Rahmstorf","given":"S."},{"family":"Robinson","given":"A."},{"family":"Feulner","given":"G."},{"family":"Saba","given":"V."}],"issued":{"date-parts":[["2018",4]]}}}],"schema":"https://github.com/citation-style-language/schema/raw/master/csl-citation.json"} </w:instrText>
      </w:r>
      <w:r>
        <w:fldChar w:fldCharType="separate"/>
      </w:r>
      <w:r w:rsidR="00F50CED" w:rsidRPr="00F50CED">
        <w:t>(24)</w:t>
      </w:r>
      <w:r>
        <w:fldChar w:fldCharType="end"/>
      </w:r>
      <w:r>
        <w:t xml:space="preserve">, bringing it closer to its tipping point. However, observations of AMOC slowdown are subject to considerable uncertainty </w:t>
      </w:r>
      <w:r>
        <w:fldChar w:fldCharType="begin"/>
      </w:r>
      <w:r w:rsidR="002E0489">
        <w:instrText xml:space="preserve"> ADDIN ZOTERO_ITEM CSL_CITATION {"citationID":"O1rVqC0C","properties":{"formattedCitation":"(25)","plainCitation":"(25)","noteIndex":0},"citationItems":[{"id":7624,"uris":["http://zotero.org/users/7129331/items/IAAQ5V7Q"],"itemData":{"id":7624,"type":"article-journal","abstract":"The Atlantic Meridional Overturning Circulation (AMOC) is a key component of the climate through its transport of heat in the North Atlantic Ocean. Decadal changes in the AMOC, whether through internal variability or anthropogenically forced weakening, therefore have wide-ranging impacts. In this Review, we synthesize the understanding of contemporary decadal variability in the AMOC, bringing together evidence from observations, ocean reanalyses, forced models and AMOC proxies. Since 1980, there is evidence for periods of strengthening and weakening, although the magnitudes of change (5–25%) are uncertain. In the subpolar North Atlantic, the AMOC strengthened until the mid-1990s and then weakened until the early 2010s, with some evidence of a strengthening thereafter; these changes are probably linked to buoyancy forcing related to the North Atlantic Oscillation. In the subtropics, there is some evidence of the AMOC strengthening from 2001 to 2005 and strong evidence of a weakening from 2005 to 2014. Such large interannual and decadal variability complicates the detection of ongoing long-term trends, but does not preclude a weakening associated with anthropogenic warming. Research priorities include developing robust and sustainable solutions for the long-term monitoring of the AMOC, observation–modelling collaborations to improve the representation of processes in the North Atlantic and better ways to distinguish anthropogenic weakening from internal variability.","container-title":"Nature Reviews Earth &amp; Environment","DOI":"10.1038/s43017-022-00263-2","ISSN":"2662-138X","issue":"4","journalAbbreviation":"Nat Rev Earth Environ","language":"en","license":"2022 Crown","note":"publisher: Nature Publishing Group","page":"241-254","source":"www.nature.com","title":"The evolution of the North Atlantic Meridional Overturning Circulation since 1980","volume":"3","author":[{"family":"Jackson","given":"Laura C."},{"family":"Biastoch","given":"Arne"},{"family":"Buckley","given":"Martha W."},{"family":"Desbruyères","given":"Damien G."},{"family":"Frajka-Williams","given":"Eleanor"},{"family":"Moat","given":"Ben"},{"family":"Robson","given":"Jon"}],"issued":{"date-parts":[["2022",4]]}}}],"schema":"https://github.com/citation-style-language/schema/raw/master/csl-citation.json"} </w:instrText>
      </w:r>
      <w:r>
        <w:fldChar w:fldCharType="separate"/>
      </w:r>
      <w:r w:rsidR="002E0489" w:rsidRPr="002E0489">
        <w:t>(25)</w:t>
      </w:r>
      <w:r>
        <w:fldChar w:fldCharType="end"/>
      </w:r>
      <w:r>
        <w:t xml:space="preserve">, and although the AMOC may have collapsed in the past </w:t>
      </w:r>
      <w:r>
        <w:fldChar w:fldCharType="begin"/>
      </w:r>
      <w:r w:rsidR="007F2E43">
        <w:instrText xml:space="preserve"> ADDIN ZOTERO_ITEM CSL_CITATION {"citationID":"BcnqeMzw","properties":{"formattedCitation":"(8,26,27)","plainCitation":"(8,26,27)","noteIndex":0},"citationItems":[{"id":2698,"uris":["http://zotero.org/users/7129331/items/M9TJEW9L"],"itemData":{"id":2698,"type":"article-journal","abstract":"The geological record shows that abrupt changes in the Earth system can occur on timescales short enough to challenge the capacity of human societies to adapt to environmental pressures. In many cases, abrupt changes arise from slow changes in one component of the Earth system that eventually pass a critical threshold, or tipping point, after which impacts cascade through coupled climate–ecological–social systems. The chance of detecting abrupt changes and tipping points increases with the length of observations. The geological record provides the only long-term information we have on the conditions and processes that can drive physical, ecological and social systems into new states or organizational structures that may be irreversible within human time frames. Here, we use well-documented abrupt changes of the past 30 kyr to illustrate how their impacts cascade through the Earth system. We review useful indicators of upcoming abrupt changes, or early warning signals, and provide a perspective on the contributions of palaeoclimate science to the understanding of abrupt changes in the Earth system.","container-title":"Nature Geoscience","DOI":"10.1038/s41561-021-00790-5","ISSN":"1752-0908","issue":"8","journalAbbreviation":"Nat. Geosci.","language":"en","license":"2021 Springer Nature Limited","note":"number: 8\npublisher: Nature Publishing Group","page":"550-558","source":"www.nature.com","title":"Past abrupt changes, tipping points and cascading impacts in the Earth system","volume":"14","author":[{"family":"Brovkin","given":"Victor"},{"family":"Brook","given":"Edward"},{"family":"Williams","given":"John W."},{"family":"Bathiany","given":"Sebastian"},{"family":"Lenton","given":"Timothy M."},{"family":"Barton","given":"Michael"},{"family":"DeConto","given":"Robert M."},{"family":"Donges","given":"Jonathan F."},{"family":"Ganopolski","given":"Andrey"},{"family":"McManus","given":"Jerry"},{"family":"Praetorius","given":"Summer"},{"family":"Vernal","given":"Anne","non-dropping-particle":"de"},{"family":"Abe-Ouchi","given":"Ayako"},{"family":"Cheng","given":"Hai"},{"family":"Claussen","given":"Martin"},{"family":"Crucifix","given":"Michel"},{"family":"Gallopín","given":"Gilberto"},{"family":"Iglesias","given":"Virginia"},{"family":"Kaufman","given":"Darrell S."},{"family":"Kleinen","given":"Thomas"},{"family":"Lambert","given":"Fabrice"},{"family":"Leeuw","given":"Sander","non-dropping-particle":"van der"},{"family":"Liddy","given":"Hannah"},{"family":"Loutre","given":"Marie-France"},{"family":"McGee","given":"David"},{"family":"Rehfeld","given":"Kira"},{"family":"Rhodes","given":"Rachael"},{"family":"Seddon","given":"Alistair W. R."},{"family":"Trauth","given":"Martin H."},{"family":"Vanderveken","given":"Lilian"},{"family":"Yu","given":"Zicheng"}],"issued":{"date-parts":[["2021",8]]}}},{"id":6513,"uris":["http://zotero.org/users/7129331/items/SYBWV3A9"],"itemData":{"id":6513,"type":"article-journal","abstract":"More than a decade ago, ice core records from Greenland revealed that the last glacial period was characterized by abrupt climate changes that recurred on millennial time scales. Since their discovery, there has been a large effort to determine whether these climate events were a global phenomenon or were just confined to the North Atlantic region and also to reveal the mechanisms that were responsible for them. In this paper, we review the available paleoclimate observations of abrupt change during the last glacial period in order to place constraints on possible mechanisms. Three different mechanisms are then reviewed: ocean thermohaline circulation, sea ice feedbacks, and tropical processes. Each mechanism is tested for its ability to explain the key features of the observations, particularly with regard to the abruptness, millennial recurrence, and geographical extent of the observed changes. It is found that each of these mechanisms has explanatory strengths and weaknesses, and key areas in which progress could be made in improving the understanding of their long-term behavior, both from observational and modeling approaches, are suggested. Finally, it is proposed that a complete understanding of the mechanisms of abrupt change requires inclusion of processes at both low and high latitudes, as well as the potential for feedbacks between them. Some suggestions for experimental approaches to test for such feedbacks with coupled climate models are given.","container-title":"Reviews of Geophysics","DOI":"10.1029/2006RG000204","ISSN":"1944-9208","issue":"4","language":"en","license":"Copyright 2008 by the American Geophysical Union.","note":"_eprint: https://onlinelibrary.wiley.com/doi/pdf/10.1029/2006RG000204","source":"Wiley Online Library","title":"Mechanisms of abrupt climate change of the last glacial period","URL":"https://onlinelibrary.wiley.com/doi/abs/10.1029/2006RG000204","volume":"46","author":[{"family":"Clement","given":"Amy C."},{"family":"Peterson","given":"Larry C."}],"accessed":{"date-parts":[["2024",12,9]]},"issued":{"date-parts":[["2008"]]}}},{"id":6516,"uris":["http://zotero.org/users/7129331/items/BE8SAA83"],"itemData":{"id":6516,"type":"article-journal","abstract":"Oceans cover more than two-thirds of our blue planet. The waters move in a global circulation system, driven by subtle density differences and transporting huge amounts of heat. Ocean circulation is thus an active and highly nonlinear player in the global climate game. Increasingly clear evidence implicates ocean circulation in abrupt and dramatic climate shifts, such as sudden temperature changes in Greenland on the order of 5–10 °C and massive surges of icebergs into the North Atlantic Ocean — events that have occurred repeatedly during the last glacial cycle.","container-title":"Nature","DOI":"10.1038/nature01090","ISSN":"1476-4687","issue":"6903","language":"en","license":"2002 Springer Nature Limited","note":"publisher: Nature Publishing Group","page":"207-214","source":"www.nature.com","title":"Ocean circulation and climate during the past 120,000 years","volume":"419","author":[{"family":"Rahmstorf","given":"Stefan"}],"issued":{"date-parts":[["2002",9]]}}}],"schema":"https://github.com/citation-style-language/schema/raw/master/csl-citation.json"} </w:instrText>
      </w:r>
      <w:r>
        <w:fldChar w:fldCharType="separate"/>
      </w:r>
      <w:r w:rsidR="007F2E43" w:rsidRPr="007F2E43">
        <w:t>(8,26,27)</w:t>
      </w:r>
      <w:r>
        <w:fldChar w:fldCharType="end"/>
      </w:r>
      <w:r>
        <w:t>, accurately forecasting its future evolution</w:t>
      </w:r>
      <w:r w:rsidR="001C13E9">
        <w:t xml:space="preserve"> (i.e. </w:t>
      </w:r>
      <w:r>
        <w:t>when and at what rate it may collapse</w:t>
      </w:r>
      <w:r w:rsidR="00532541">
        <w:t>)</w:t>
      </w:r>
      <w:r w:rsidR="00DE07D6">
        <w:t xml:space="preserve"> </w:t>
      </w:r>
      <w:r>
        <w:t xml:space="preserve">remains a significant challenge </w:t>
      </w:r>
      <w:r>
        <w:fldChar w:fldCharType="begin"/>
      </w:r>
      <w:r w:rsidR="003A0D85">
        <w:instrText xml:space="preserve"> ADDIN ZOTERO_ITEM CSL_CITATION {"citationID":"9z4FeOQT","properties":{"formattedCitation":"(5,28,29)","plainCitation":"(5,28,29)","noteIndex":0},"citationItems":[{"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id":2873,"uris":["http://zotero.org/users/7129331/items/ZX9Z4DES"],"itemData":{"id":2873,"type":"article-journal","abstract":"We present results from an intercomparison of 11 different climate models of intermediate complexity, in which the North Atlantic Ocean was subjected to slowly varying changes in freshwater input. All models show a characteristic hysteresis response of the thermohaline circulation to the freshwater forcing; which can be explained by Stommel's salt advection feedback. The width of the hysteresis curves varies between 0.2 and 0.5 Sv in the models. Major differences are found in the location of present-day climate on the hysteresis diagram. In seven of the models, present-day climate for standard parameter choices is found in the bi-stable regime, in four models this climate is in the mono-stable regime. The proximity of the present-day climate to the Stommel bifurcation point, beyond which North Atlantic Deep Water formation cannot be sustained, varies from less than 0.1 Sv to over 0.5 Sv.","container-title":"Geophysical Research Letters","DOI":"10.1029/2005GL023655","ISSN":"1944-8007","issue":"23","language":"en","license":"Copyright 2005 by the American Geophysical Union.","note":"_eprint: https://onlinelibrary.wiley.com/doi/pdf/10.1029/2005GL023655","source":"Wiley Online Library","title":"Thermohaline circulation hysteresis: A model intercomparison","title-short":"Thermohaline circulation hysteresis","URL":"https://onlinelibrary.wiley.com/doi/abs/10.1029/2005GL023655","volume":"32","author":[{"family":"Rahmstorf","given":"Stefan"},{"family":"Crucifix","given":"Michel"},{"family":"Ganopolski","given":"Andrey"},{"family":"Goosse","given":"Hugues"},{"family":"Kamenkovich","given":"Igor"},{"family":"Knutti","given":"Reto"},{"family":"Lohmann","given":"Gerrit"},{"family":"Marsh","given":"Robert"},{"family":"Mysak","given":"Lawrence A."},{"family":"Wang","given":"Zhaomin"},{"family":"Weaver","given":"Andrew J."}],"accessed":{"date-parts":[["2023",10,22]]},"issued":{"date-parts":[["2005"]]}}},{"id":"YXi9sT6M/1H8QEloN","uris":["http://zotero.org/users/7129331/items/4X78XLQ4"],"itemData":{"id":4255,"type":"article-journal","abstract":"The notion that the Atlantic Meridional Overturning Circulation (AMOC) can have more than one stable equilibrium emerged in the 1980s as a powerful hypothesis to explain rapid climate variability during the Pleistocene. Ever since, the idea that a temporary perturbation of the AMOC—or a permanent change in its forcing—could trigger an irreversible collapse has remained a reason for concern. Here we review literature on the equilibrium stability of the AMOC and present a synthesis that puts our understanding of past and future AMOC behavior in a unifying framework. This framework is based on concepts from Dynamical Systems Theory, which has proven to be an important tool in interpreting a wide range of model behavior. We conclude that it cannot be ruled out that the AMOC in our current climate is in, or close to, a regime of multiple equilibria. But there is considerable uncertainty in the location of stability thresholds with respect to our current climate state, so we have no credible indications of where our present-day AMOC is located with respect to thresholds. We conclude by identifying gaps in our knowledge and proposing possible ways forward to address these gaps.","container-title":"Journal of Geophysical Research: Oceans","DOI":"10.1029/2019JC015083","ISSN":"2169-9291","issue":"8","language":"en","license":"©2019. The Authors.","note":"_eprint: https://onlinelibrary.wiley.com/doi/pdf/10.1029/2019JC015083","page":"5336-5375","source":"Wiley Online Library","title":"Stability of the Atlantic Meridional Overturning Circulation: A Review and Synthesis","title-short":"Stability of the Atlantic Meridional Overturning Circulation","volume":"124","author":[{"family":"Weijer","given":"W."},{"family":"Cheng","given":"W."},{"family":"Drijfhout","given":"S. S."},{"family":"Fedorov","given":"A. V."},{"family":"Hu","given":"A."},{"family":"Jackson","given":"L. C."},{"family":"Liu","given":"W."},{"family":"McDonagh","given":"E. L."},{"family":"Mecking","given":"J. V."},{"family":"Zhang","given":"J."}],"issued":{"date-parts":[["2019"]]}}}],"schema":"https://github.com/citation-style-language/schema/raw/master/csl-citation.json"} </w:instrText>
      </w:r>
      <w:r>
        <w:fldChar w:fldCharType="separate"/>
      </w:r>
      <w:r w:rsidR="007F2E43" w:rsidRPr="007F2E43">
        <w:t>(5,28,29)</w:t>
      </w:r>
      <w:r>
        <w:fldChar w:fldCharType="end"/>
      </w:r>
      <w:r>
        <w:t xml:space="preserve">. Estimates of the tipping point for the AMOC must therefore rely on models, but the results vary significantly </w:t>
      </w:r>
      <w:r>
        <w:fldChar w:fldCharType="begin"/>
      </w:r>
      <w:r w:rsidR="003A0D85">
        <w:instrText xml:space="preserve"> ADDIN ZOTERO_ITEM CSL_CITATION {"citationID":"ttBMpXvS","properties":{"formattedCitation":"(29)","plainCitation":"(29)","noteIndex":0},"citationItems":[{"id":"YXi9sT6M/1H8QEloN","uris":["http://zotero.org/users/7129331/items/4X78XLQ4"],"itemData":{"id":4255,"type":"article-journal","abstract":"The notion that the Atlantic Meridional Overturning Circulation (AMOC) can have more than one stable equilibrium emerged in the 1980s as a powerful hypothesis to explain rapid climate variability during the Pleistocene. Ever since, the idea that a temporary perturbation of the AMOC—or a permanent change in its forcing—could trigger an irreversible collapse has remained a reason for concern. Here we review literature on the equilibrium stability of the AMOC and present a synthesis that puts our understanding of past and future AMOC behavior in a unifying framework. This framework is based on concepts from Dynamical Systems Theory, which has proven to be an important tool in interpreting a wide range of model behavior. We conclude that it cannot be ruled out that the AMOC in our current climate is in, or close to, a regime of multiple equilibria. But there is considerable uncertainty in the location of stability thresholds with respect to our current climate state, so we have no credible indications of where our present-day AMOC is located with respect to thresholds. We conclude by identifying gaps in our knowledge and proposing possible ways forward to address these gaps.","container-title":"Journal of Geophysical Research: Oceans","DOI":"10.1029/2019JC015083","ISSN":"2169-9291","issue":"8","language":"en","license":"©2019. The Authors.","note":"_eprint: https://onlinelibrary.wiley.com/doi/pdf/10.1029/2019JC015083","page":"5336-5375","source":"Wiley Online Library","title":"Stability of the Atlantic Meridional Overturning Circulation: A Review and Synthesis","title-short":"Stability of the Atlantic Meridional Overturning Circulation","volume":"124","author":[{"family":"Weijer","given":"W."},{"family":"Cheng","given":"W."},{"family":"Drijfhout","given":"S. S."},{"family":"Fedorov","given":"A. V."},{"family":"Hu","given":"A."},{"family":"Jackson","given":"L. C."},{"family":"Liu","given":"W."},{"family":"McDonagh","given":"E. L."},{"family":"Mecking","given":"J. V."},{"family":"Zhang","given":"J."}],"issued":{"date-parts":[["2019"]]}}}],"schema":"https://github.com/citation-style-language/schema/raw/master/csl-citation.json"} </w:instrText>
      </w:r>
      <w:r>
        <w:fldChar w:fldCharType="separate"/>
      </w:r>
      <w:r w:rsidR="007F2E43" w:rsidRPr="007F2E43">
        <w:t>(29)</w:t>
      </w:r>
      <w:r>
        <w:fldChar w:fldCharType="end"/>
      </w:r>
      <w:r>
        <w:t xml:space="preserve">. Some studies place </w:t>
      </w:r>
      <w:r w:rsidR="00B466BA">
        <w:t xml:space="preserve">the tipping point </w:t>
      </w:r>
      <w:r>
        <w:t xml:space="preserve"> at a global mean temperature anomaly of 8°C, while others suggest it may already be as low as 1.4°C</w:t>
      </w:r>
      <w:r w:rsidR="00F73C68">
        <w:t xml:space="preserve"> </w:t>
      </w:r>
      <w:r w:rsidR="00F73C68">
        <w:fldChar w:fldCharType="begin"/>
      </w:r>
      <w:r w:rsidR="007F2E43">
        <w:instrText xml:space="preserve"> ADDIN ZOTERO_ITEM CSL_CITATION {"citationID":"RoQCQkTv","properties":{"formattedCitation":"(30)","plainCitation":"(30)","noteIndex":0},"citationItems":[{"id":6518,"uris":["http://zotero.org/users/7129331/items/E3P55N3Z"],"itemData":{"id":6518,"type":"article-journal","abstract":"Climate tipping points occur when change in a part of the climate system becomes self-perpetuating beyond a warming threshold, leading to substantial Earth system impacts. Synthesizing paleoclimate, observational, and model-based studies, we provide a revised shortlist of global “core” tipping elements and regional “impact” tipping elements and their temperature thresholds. Current global warming of ~1.1°C above preindustrial temperatures already lies within the lower end of some tipping point uncertainty ranges. Several tipping points may be triggered in the Paris Agreement range of 1.5 to &lt;2°C global warming, with many more likely at the 2 to 3°C of warming expected on current policy trajectories. This strengthens the evidence base for urgent action to mitigate climate change and to develop improved tipping point risk assessment, early warning capability, and adaptation strategies.","container-title":"Science","DOI":"10.1126/science.abn7950","issue":"6611","note":"publisher: American Association for the Advancement of Science","page":"eabn7950","source":"science.org (Atypon)","title":"Exceeding 1.5°C global warming could trigger multiple climate tipping points","volume":"377","author":[{"family":"Armstrong McKay","given":"David I."},{"family":"Staal","given":"Arie"},{"family":"Abrams","given":"Jesse F."},{"family":"Winkelmann","given":"Ricarda"},{"family":"Sakschewski","given":"Boris"},{"family":"Loriani","given":"Sina"},{"family":"Fetzer","given":"Ingo"},{"family":"Cornell","given":"Sarah E."},{"family":"Rockström","given":"Johan"},{"family":"Lenton","given":"Timothy M."}],"issued":{"date-parts":[["2022",9,9]]}}}],"schema":"https://github.com/citation-style-language/schema/raw/master/csl-citation.json"} </w:instrText>
      </w:r>
      <w:r w:rsidR="00F73C68">
        <w:fldChar w:fldCharType="separate"/>
      </w:r>
      <w:r w:rsidR="007F2E43" w:rsidRPr="007F2E43">
        <w:t>(30)</w:t>
      </w:r>
      <w:r w:rsidR="00F73C68">
        <w:fldChar w:fldCharType="end"/>
      </w:r>
      <w:r w:rsidR="00F73C68">
        <w:t>.</w:t>
      </w:r>
      <w:r w:rsidR="00BA669C">
        <w:t xml:space="preserve"> </w:t>
      </w:r>
      <w:r>
        <w:t xml:space="preserve">Consequently, some studies estimate that a complete collapse of the AMOC could occur by the end of this century </w:t>
      </w:r>
      <w:r>
        <w:fldChar w:fldCharType="begin"/>
      </w:r>
      <w:r w:rsidR="003A0D85">
        <w:instrText xml:space="preserve"> ADDIN ZOTERO_ITEM CSL_CITATION {"citationID":"4SGJFrOv","properties":{"formattedCitation":"(31)","plainCitation":"(31)","noteIndex":0},"citationItems":[{"id":"YXi9sT6M/OU3jKtDj","uris":["http://zotero.org/users/7129331/items/NRWSDXCV"],"itemData":{"id":2915,"type":"article-journal","abstract":"The Atlantic meridional overturning circulation (AMOC) is a major tipping element in the climate system and a future collapse would have severe impacts on the climate in the North Atlantic region. In recent years weakening in circulation has been reported, but assessments by the Intergovernmental Panel on Climate Change (IPCC), based on the Climate Model Intercomparison Project (CMIP) model simulations suggest that a full collapse is unlikely within the 21st century. Tipping to an undesired state in the climate is, however, a growing concern with increasing greenhouse gas concentrations. Predictions based on observations rely on detecting early-warning signals, primarily an increase in variance (loss of resilience) and increased autocorrelation (critical slowing down), which have recently been reported for the AMOC. Here we provide statistical significance and data-driven estimators for the time of tipping. We estimate a collapse of the AMOC to occur around mid-century under the current scenario of future emissions.","container-title":"Nature Communications","DOI":"10.1038/s41467-023-39810-w","ISSN":"2041-1723","issue":"1","journalAbbreviation":"Nat Commun","language":"en","license":"2023 The Author(s)","note":"number: 1\npublisher: Nature Publishing Group","page":"4254","source":"www.nature.com","title":"Warning of a forthcoming collapse of the Atlantic meridional overturning circulation","volume":"14","author":[{"family":"Ditlevsen","given":"Peter"},{"family":"Ditlevsen","given":"Susanne"}],"issued":{"date-parts":[["2023",7,25]]}}}],"schema":"https://github.com/citation-style-language/schema/raw/master/csl-citation.json"} </w:instrText>
      </w:r>
      <w:r>
        <w:fldChar w:fldCharType="separate"/>
      </w:r>
      <w:r w:rsidR="007F2E43" w:rsidRPr="007F2E43">
        <w:t>(31)</w:t>
      </w:r>
      <w:r>
        <w:fldChar w:fldCharType="end"/>
      </w:r>
      <w:r>
        <w:t xml:space="preserve">, or not until 2300 </w:t>
      </w:r>
      <w:r>
        <w:fldChar w:fldCharType="begin"/>
      </w:r>
      <w:r w:rsidR="003A0D85">
        <w:instrText xml:space="preserve"> ADDIN ZOTERO_ITEM CSL_CITATION {"citationID":"HByPNGXd","properties":{"formattedCitation":"(16)","plainCitation":"(16)","noteIndex":0},"citationItems":[{"id":"YXi9sT6M/tbvFD2df","uris":["http://zotero.org/users/7129331/items/IAFB72Z6"],"itemData":{"id":6524,"type":"article-journal","abstract":"The most recent Intergovernmental Panel on Climate Change assessment report concludes that the Atlantic Meridional Overturning Circulation (AMOC) could weaken substantially but is very unlikely to collapse in the 21st century. However, the assessment largely neglected Greenland Ice Sheet (GrIS) mass loss, lacked a comprehensive uncertainty analysis, and was limited to the 21st century. Here in a community effort, improved estimates of GrIS mass loss are included in multicentennial projections using eight state-of-the-science climate models, and an AMOC emulator is used to provide a probabilistic uncertainty assessment. We find that GrIS melting affects AMOC projections, even though it is of secondary importance. By years 2090–2100, the AMOC weakens by 18% [−3%, −34%; 90% probability] in an intermediate greenhouse-gas mitigation scenario and by 37% [−15%, −65%] under continued high emissions. Afterward, it stabilizes in the former but continues to decline in the latter to −74% [+4%, −100%] by 2290–2300, with a 44% likelihood of an AMOC collapse. This result suggests that an AMOC collapse can be avoided by CO2 mitigation.","container-title":"Geophysical Research Letters","DOI":"10.1002/2016GL070457","ISSN":"1944-8007","issue":"23","language":"en","license":"©2016. American Geophysical Union and Her Majesty The Queen in Right of Canada. Reproduced with the permission of the Minister of the Environment, Canada.","note":"_eprint: https://onlinelibrary.wiley.com/doi/pdf/10.1002/2016GL070457","page":"12,252-12,260","source":"Wiley Online Library","title":"Fate of the Atlantic Meridional Overturning Circulation: Strong decline under continued warming and Greenland melting","title-short":"Fate of the Atlantic Meridional Overturning Circulation","volume":"43","author":[{"family":"Bakker","given":"P."},{"family":"Schmittner","given":"A."},{"family":"Lenaerts","given":"J. T. M."},{"family":"Abe-Ouchi","given":"A."},{"family":"Bi","given":"D."},{"family":"Broeke","given":"M. R.","non-dropping-particle":"van den"},{"family":"Chan","given":"W.-L."},{"family":"Hu","given":"A."},{"family":"Beadling","given":"R. L."},{"family":"Marsland","given":"S. J."},{"family":"Mernild","given":"S. H."},{"family":"Saenko","given":"O. A."},{"family":"Swingedouw","given":"D."},{"family":"Sullivan","given":"A."},{"family":"Yin","given":"J."}],"issued":{"date-parts":[["2016"]]}}}],"schema":"https://github.com/citation-style-language/schema/raw/master/csl-citation.json"} </w:instrText>
      </w:r>
      <w:r>
        <w:fldChar w:fldCharType="separate"/>
      </w:r>
      <w:r w:rsidR="00275483" w:rsidRPr="00275483">
        <w:t>(16)</w:t>
      </w:r>
      <w:r>
        <w:fldChar w:fldCharType="end"/>
      </w:r>
      <w:r>
        <w:t xml:space="preserve">. </w:t>
      </w:r>
      <w:r w:rsidRPr="009864B2">
        <w:t>In addition, there is also sensitivity to the rate of the applied forcing</w:t>
      </w:r>
      <w:r>
        <w:t xml:space="preserve"> </w:t>
      </w:r>
      <w:r>
        <w:fldChar w:fldCharType="begin"/>
      </w:r>
      <w:r w:rsidR="007F2E43">
        <w:instrText xml:space="preserve"> ADDIN ZOTERO_ITEM CSL_CITATION {"citationID":"gZoojkss","properties":{"formattedCitation":"(32,33)","plainCitation":"(32,33)","noteIndex":0},"citationItems":[{"id":1263,"uris":["http://zotero.org/users/7129331/items/CQUPSR8X"],"itemData":{"id":1263,"type":"article-journal","abstract":"A classical scenario for tipping is that a dynamical system experiences a slow parameter drift across a fold tipping point, caused by a run-away positive feedback loop. We study what happens if one turns around after one has crossed the threshold. We derive a simple criterion that relates how far the parameter exceeds the tipping threshold maximally and how long the parameter stays above the threshold to avoid tipping in an inverse-square law to observable properties of the dynamical system near the fold. For the case when the dynamical system is subject to stochastic forcing we give an approximation to the probability of tipping if a parameter changing in time reverses near the tipping point. The derived approximations are valid if the parameter change in time is sufficiently slow. We demonstrate for a higher-dimensional system, a model for the Indian summer monsoon, how numerically observed escape from the equilibrium converge to our asymptotic expressions. The inverse-square law between peak of the parameter forcing and the time the parameter spends above a given threshold is also visible in the level curves of equal probability when the system is subject to random disturbances.","container-title":"Proceedings of the Royal Society A: Mathematical, Physical and Engineering Sciences","DOI":"10.1098/rspa.2018.0504","issue":"2222","note":"publisher: Royal Society","page":"20180504","source":"royalsocietypublishing.org (Atypon)","title":"Inverse-square law between time and amplitude for crossing tipping thresholds","volume":"475","author":[{"family":"Ritchie","given":"Paul"},{"family":"Karabacak","given":"Özkan"},{"family":"Sieber","given":"Jan"}],"issued":{"date-parts":[["2019",2,27]]}}},{"id":6385,"uris":["http://zotero.org/users/7129331/items/PIISDDVE"],"itemData":{"id":6385,"type":"article-journal","abstract":"The Greenland Ice Sheet (GIS) and Atlantic Meridional Overturning Circulation (AMOC) are considered tipping elements in the climate system, where global warming exceeding critical threshold levels in forcing can lead to large-scale and nonlinear reductions in ice volume and overturning strength, respectively. The positive–negative feedback loop governing their interaction with a destabilizing effect on the AMOC due to ice loss and subsequent freshwater flux into the North Atlantic as well as a stabilizing effect of a net cooling around Greenland with an AMOC weakening may determine the long-term stability of both tipping elements. Here we explore the potential dynamic regimes arising from this positive–negative tipping feedback loop in a physically motivated conceptual model. Under idealized forcing scenarios we identify conditions under which different kinds of tipping cascades can occur: herein, we distinguish between overshoot/bifurcation tipping cascades, leading to tipping of both GIS and AMOC, and rate-induced tipping cascades, where the AMOC, despite not having crossed its own intrinsic tipping point, tips nonetheless due to the fast rate of ice loss from Greenland. The occurrence of these different cascades is affected by the ice sheet disintegration time and thus eventually by the imposed forcing and its timescales. Our results suggest that it is necessary not only to avoid surpassing the respective critical levels of the environmental drivers for the Greenland Ice Sheet and Atlantic Meridional Overturning Circulation, but also to respect safe rates of environmental change to mitigate potential domino effects.","container-title":"Earth System Dynamics","DOI":"10.5194/esd-15-635-2024","ISSN":"2190-4979","issue":"3","language":"English","note":"publisher: Copernicus GmbH","page":"635-652","source":"Copernicus Online Journals","title":"Rate-induced tipping cascades arising from interactions between the Greenland Ice Sheet and the Atlantic Meridional Overturning Circulation","volume":"15","author":[{"family":"Klose","given":"Ann Kristin"},{"family":"Donges","given":"Jonathan F."},{"family":"Feudel","given":"Ulrike"},{"family":"Winkelmann","given":"Ricarda"}],"issued":{"date-parts":[["2024",5,27]]}}}],"schema":"https://github.com/citation-style-language/schema/raw/master/csl-citation.json"} </w:instrText>
      </w:r>
      <w:r>
        <w:fldChar w:fldCharType="separate"/>
      </w:r>
      <w:r w:rsidR="007F2E43" w:rsidRPr="007F2E43">
        <w:t>(32,33)</w:t>
      </w:r>
      <w:r>
        <w:fldChar w:fldCharType="end"/>
      </w:r>
      <w:r w:rsidRPr="009864B2">
        <w:t>.</w:t>
      </w:r>
      <w:r w:rsidR="009A453D">
        <w:t xml:space="preserve"> </w:t>
      </w:r>
      <w:r w:rsidR="00475348" w:rsidRPr="00475348">
        <w:t>Lastly, the tipping dynamics of the AMOC cannot be fully understood without considering those of the GIS, which</w:t>
      </w:r>
      <w:r w:rsidR="00895B9F">
        <w:t xml:space="preserve"> </w:t>
      </w:r>
      <w:r w:rsidR="00475348" w:rsidRPr="00475348">
        <w:t xml:space="preserve"> has a melting threshold beyond which its decline becomes irreversible</w:t>
      </w:r>
      <w:r w:rsidR="009A453D">
        <w:t xml:space="preserve"> </w:t>
      </w:r>
      <w:r w:rsidR="00AD4FFB">
        <w:fldChar w:fldCharType="begin"/>
      </w:r>
      <w:r w:rsidR="007F2E43">
        <w:instrText xml:space="preserve"> ADDIN ZOTERO_ITEM CSL_CITATION {"citationID":"8BSLB6hd","properties":{"formattedCitation":"(30)","plainCitation":"(30)","noteIndex":0},"citationItems":[{"id":6518,"uris":["http://zotero.org/users/7129331/items/E3P55N3Z"],"itemData":{"id":6518,"type":"article-journal","abstract":"Climate tipping points occur when change in a part of the climate system becomes self-perpetuating beyond a warming threshold, leading to substantial Earth system impacts. Synthesizing paleoclimate, observational, and model-based studies, we provide a revised shortlist of global “core” tipping elements and regional “impact” tipping elements and their temperature thresholds. Current global warming of ~1.1°C above preindustrial temperatures already lies within the lower end of some tipping point uncertainty ranges. Several tipping points may be triggered in the Paris Agreement range of 1.5 to &lt;2°C global warming, with many more likely at the 2 to 3°C of warming expected on current policy trajectories. This strengthens the evidence base for urgent action to mitigate climate change and to develop improved tipping point risk assessment, early warning capability, and adaptation strategies.","container-title":"Science","DOI":"10.1126/science.abn7950","issue":"6611","note":"publisher: American Association for the Advancement of Science","page":"eabn7950","source":"science.org (Atypon)","title":"Exceeding 1.5°C global warming could trigger multiple climate tipping points","volume":"377","author":[{"family":"Armstrong McKay","given":"David I."},{"family":"Staal","given":"Arie"},{"family":"Abrams","given":"Jesse F."},{"family":"Winkelmann","given":"Ricarda"},{"family":"Sakschewski","given":"Boris"},{"family":"Loriani","given":"Sina"},{"family":"Fetzer","given":"Ingo"},{"family":"Cornell","given":"Sarah E."},{"family":"Rockström","given":"Johan"},{"family":"Lenton","given":"Timothy M."}],"issued":{"date-parts":[["2022",9,9]]}}}],"schema":"https://github.com/citation-style-language/schema/raw/master/csl-citation.json"} </w:instrText>
      </w:r>
      <w:r w:rsidR="00AD4FFB">
        <w:fldChar w:fldCharType="separate"/>
      </w:r>
      <w:r w:rsidR="007F2E43" w:rsidRPr="007F2E43">
        <w:t>(30)</w:t>
      </w:r>
      <w:r w:rsidR="00AD4FFB">
        <w:fldChar w:fldCharType="end"/>
      </w:r>
      <w:r w:rsidR="00475348" w:rsidRPr="00475348">
        <w:t xml:space="preserve">. In addition to the destabilizing effect of GIS melting on the AMOC due to freshwater input, a collapse of the AMOC would, conversely, have a stabilizing effect on the GIS. Indeed, the resulting regional cooling following an AMOC shutdown would slow down the melting of the GIS. Thus, </w:t>
      </w:r>
    </w:p>
    <w:p w14:paraId="5D7E5152" w14:textId="5C67EED1" w:rsidR="00A948F0" w:rsidRPr="00153297" w:rsidRDefault="00475348">
      <w:r w:rsidRPr="00475348">
        <w:t>a coupling between the AMOC and the GIS exists, potentially giving rise to tipping cascades</w:t>
      </w:r>
      <w:r w:rsidR="0071250A">
        <w:t xml:space="preserve"> </w:t>
      </w:r>
      <w:r w:rsidR="0071250A">
        <w:fldChar w:fldCharType="begin"/>
      </w:r>
      <w:r w:rsidR="007F2E43">
        <w:instrText xml:space="preserve"> ADDIN ZOTERO_ITEM CSL_CITATION {"citationID":"cUHWa8BT","properties":{"formattedCitation":"(34)","plainCitation":"(34)","noteIndex":0},"citationItems":[{"id":2671,"uris":["http://zotero.org/users/7129331/items/CH5ZZADK"],"itemData":{"id":2671,"type":"article-journal","abstract":"Based on suggested interactions of potential tipping elements in the Earth’s climate and in ecological systems, tipping cascades as possible dynamics are increasingly discussed and studied. The activation of such tipping cascades would impose a considerable risk for human societies and biosphere integrity. However, there are ambiguities in the description of tipping cascades within the literature so far. Here we illustrate how different patterns of multiple tipping dynamics emerge from a very simple coupling of two previously studied idealized tipping elements. In particular, we distinguish between a two phase cascade, a domino cascade and a joint cascade. A mitigation of an unfolding two phase cascade may be possible and common early warning indicators are sensitive to upcoming critical transitions to a certain degree. In contrast, a domino cascade may hardly be stopped once initiated and critical slowing down-based indicators fail to indicate tipping of the following element. These different potentials for intervention and anticipation across the distinct patterns of multiple tipping dynamics should be seen as a call to be more precise in future analyses of cascading dynamics arising from tipping element interactions in the Earth system.","container-title":"Environmental Research Letters","DOI":"10.1088/1748-9326/ac3955","ISSN":"1748-9326","issue":"12","journalAbbreviation":"Environ. Res. Lett.","language":"en","note":"publisher: IOP Publishing","page":"125011","source":"Institute of Physics","title":"What do we mean, ‘tipping cascade’?","volume":"16","author":[{"family":"Klose","given":"Ann Kristin"},{"family":"Wunderling","given":"Nico"},{"family":"Winkelmann","given":"Ricarda"},{"family":"Donges","given":"Jonathan F."}],"issued":{"date-parts":[["2021",12]]}}}],"schema":"https://github.com/citation-style-language/schema/raw/master/csl-citation.json"} </w:instrText>
      </w:r>
      <w:r w:rsidR="0071250A">
        <w:fldChar w:fldCharType="separate"/>
      </w:r>
      <w:r w:rsidR="007F2E43" w:rsidRPr="007F2E43">
        <w:t>(34)</w:t>
      </w:r>
      <w:r w:rsidR="0071250A">
        <w:fldChar w:fldCharType="end"/>
      </w:r>
      <w:r w:rsidR="007E3738">
        <w:t xml:space="preserve">. In this </w:t>
      </w:r>
      <w:r w:rsidR="007E3738">
        <w:lastRenderedPageBreak/>
        <w:t xml:space="preserve">situation </w:t>
      </w:r>
      <w:r w:rsidRPr="00475348">
        <w:t>the collapse of one system triggers the failure of another or, conversely, helps stabilize it</w:t>
      </w:r>
      <w:r w:rsidR="00B30EC6">
        <w:t xml:space="preserve"> </w:t>
      </w:r>
      <w:r w:rsidR="00B30EC6">
        <w:fldChar w:fldCharType="begin"/>
      </w:r>
      <w:r w:rsidR="007F2E43">
        <w:instrText xml:space="preserve"> ADDIN ZOTERO_ITEM CSL_CITATION {"citationID":"dhBRYpjW","properties":{"formattedCitation":"(35)","plainCitation":"(35)","noteIndex":0},"citationItems":[{"id":1143,"uris":["http://zotero.org/users/7129331/items/8BQ54DHH"],"itemData":{"id":1143,"type":"article-journal","abstract":"Several large-scale components of the climate system may undergo a rapid transition as critical conditions are exceeded. These tipping elements are also dynamically coupled, allowing for a global domino effect under global warming. Here we focus on such cascading events involving the Greenland Ice Sheet (GIS), the West Antarctica Ice Sheet (WAIS) and the Atlantic Meridional Overturning Circulation (AMOC). Using a conceptual model, we study the combined tipping behavior due to three dominant feedbacks: the marine ice sheet instability for the WAIS, the height-surface mass balance feedback for the GIS and the salt-advection feedback for the AMOC. We show that, in a realistic parameter range of the model, a tipping of the WAIS can inhibit cascading events by preserving the AMOC stability.","container-title":"Geophysical Research Letters","DOI":"10.1029/2022GL100305","ISSN":"1944-8007","issue":"2","language":"en","license":"© 2023 The Authors.","note":"_eprint: https://onlinelibrary.wiley.com/doi/pdf/10.1029/2022GL100305","page":"e2022GL100305","source":"Wiley Online Library","title":"AMOC Stabilization Under the Interaction With Tipping Polar Ice Sheets","volume":"50","author":[{"family":"Sinet","given":"S."},{"family":"Heydt","given":"A. S.","non-dropping-particle":"von der"},{"family":"Dijkstra","given":"H. A."}],"issued":{"date-parts":[["2023"]]}}}],"schema":"https://github.com/citation-style-language/schema/raw/master/csl-citation.json"} </w:instrText>
      </w:r>
      <w:r w:rsidR="00B30EC6">
        <w:fldChar w:fldCharType="separate"/>
      </w:r>
      <w:r w:rsidR="007F2E43" w:rsidRPr="007F2E43">
        <w:t>(35)</w:t>
      </w:r>
      <w:r w:rsidR="00B30EC6">
        <w:fldChar w:fldCharType="end"/>
      </w:r>
      <w:r w:rsidRPr="00475348">
        <w:t xml:space="preserve">. </w:t>
      </w:r>
      <w:r w:rsidR="00F3656C">
        <w:t>Again</w:t>
      </w:r>
      <w:r w:rsidR="00E31FE7" w:rsidRPr="00E31FE7">
        <w:t>, significant uncertainties remain in the projections of these dynamics, particularly due to the uncertainty regarding the future of the AMOC</w:t>
      </w:r>
      <w:r w:rsidR="00E31FE7" w:rsidRPr="00E31FE7" w:rsidDel="00E31FE7">
        <w:t xml:space="preserve"> </w:t>
      </w:r>
      <w:r w:rsidR="000149E7">
        <w:fldChar w:fldCharType="begin"/>
      </w:r>
      <w:r w:rsidR="00275483" w:rsidRPr="00153297">
        <w:instrText xml:space="preserve"> ADDIN ZOTERO_ITEM CSL_CITATION {"citationID":"Uiygc7nq","properties":{"formattedCitation":"(5)","plainCitation":"(5)","noteIndex":0},"citationItems":[{"id":6620,"uris":["http://zotero.org/users/7129331/items/TNNEJWUG"],"itemData":{"id":6620,"type":"report","event-place":"UK","publisher":"University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schema":"https://github.com/citation-style-language/schema/raw/master/csl-citation.json"} </w:instrText>
      </w:r>
      <w:r w:rsidR="000149E7">
        <w:fldChar w:fldCharType="separate"/>
      </w:r>
      <w:r w:rsidR="00275483" w:rsidRPr="00153297">
        <w:t>(5)</w:t>
      </w:r>
      <w:r w:rsidR="000149E7">
        <w:fldChar w:fldCharType="end"/>
      </w:r>
      <w:r w:rsidRPr="00153297">
        <w:t>.</w:t>
      </w:r>
    </w:p>
    <w:p w14:paraId="41219D96" w14:textId="77777777" w:rsidR="004B201E" w:rsidRPr="00153297" w:rsidRDefault="004B201E">
      <w:pPr>
        <w:pStyle w:val="BodyText"/>
      </w:pPr>
    </w:p>
    <w:p w14:paraId="41A7535E" w14:textId="77777777" w:rsidR="004B201E" w:rsidRDefault="00B84193">
      <w:pPr>
        <w:pStyle w:val="BodyText"/>
      </w:pPr>
      <w:r>
        <w:rPr>
          <w:rFonts w:ascii="Arial" w:eastAsia="Arial" w:hAnsi="Arial" w:cs="Arial"/>
          <w:b/>
          <w:sz w:val="24"/>
          <w:szCs w:val="28"/>
        </w:rPr>
        <w:t>1.2 The Need for Simplified Models Capturing First-Order Dynamics</w:t>
      </w:r>
    </w:p>
    <w:p w14:paraId="4B3608C0" w14:textId="77777777" w:rsidR="004B201E" w:rsidRDefault="004B201E">
      <w:pPr>
        <w:pStyle w:val="BodyText"/>
      </w:pPr>
    </w:p>
    <w:p w14:paraId="72FA9227" w14:textId="45617614" w:rsidR="004B201E" w:rsidRPr="002C2766" w:rsidRDefault="00B84193">
      <w:r>
        <w:t xml:space="preserve">This significant uncertainty regarding the future evolution of AMOC collapse stems from the diversity of models and approaches employed. </w:t>
      </w:r>
      <w:r w:rsidR="00F65949" w:rsidRPr="00F65949">
        <w:t xml:space="preserve">To assess the stability of the AMOC, stability diagrams are constructed using hysteresis experiments, in which the forcing is slowly varied along a back-and-forth scenario. </w:t>
      </w:r>
      <w:r w:rsidR="00AB5662" w:rsidRPr="00AB5662">
        <w:t xml:space="preserve">Such simulation are possible with state-of-the-art Earth </w:t>
      </w:r>
      <w:r w:rsidR="00D37C88">
        <w:t>S</w:t>
      </w:r>
      <w:r w:rsidR="00AB5662" w:rsidRPr="00AB5662">
        <w:t xml:space="preserve">ystem </w:t>
      </w:r>
      <w:r w:rsidR="00D37C88">
        <w:t>M</w:t>
      </w:r>
      <w:r w:rsidR="00AB5662" w:rsidRPr="00AB5662">
        <w:t>odels</w:t>
      </w:r>
      <w:r w:rsidR="00D37C88">
        <w:t xml:space="preserve"> (ESMs) </w:t>
      </w:r>
      <w:r w:rsidR="001C0CCD">
        <w:fldChar w:fldCharType="begin"/>
      </w:r>
      <w:r w:rsidR="003A0D85">
        <w:instrText xml:space="preserve"> ADDIN ZOTERO_ITEM CSL_CITATION {"citationID":"fyzCUa45","properties":{"formattedCitation":"(6)","plainCitation":"(6)","noteIndex":0},"citationItems":[{"id":"YXi9sT6M/l281tqQd","uris":["http://zotero.org/users/7129331/items/CDD9PQ9T"],"itemData":{"id":"io7YoirM/fTDEKbRe","type":"article-journal","abstract":"One of the most prominent climate tipping elements is the Atlantic meridional overturning circulation (AMOC), which can potentially collapse because of the input of fresh water in the North Atlantic. Although AMOC collapses have been induced in complex global climate models by strong freshwater forcing, the processes of an AMOC tipping event have so far not been investigated. Here, we show results of the first tipping event in the Community Earth System Model, including the large climate impacts of the collapse. Using these results, we develop a physics-based and observable early warning signal of AMOC tipping: the minimum of the AMOC-induced freshwater transport at the southern boundary of the Atlantic. Reanalysis products indicate that the present-day AMOC is on route to tipping. The early warning signal is a useful alternative to classical statistical ones, which, when applied to our simulated tipping event, turn out to be sensitive to the analyzed time interval before tipping.\n          , \n            A complex global climate model shows an AMOC tipping event.","container-title":"Science Advances","DOI":"10.1126/sciadv.adk1189","ISSN":"2375-2548","issue":"6","journalAbbreviation":"Sci. Adv.","language":"en","page":"eadk1189","source":"DOI.org (Crossref)","title":"Physics-based early warning signal shows that AMOC is on tipping course","volume":"10","author":[{"family":"Van Westen","given":"René M."},{"family":"Kliphuis","given":"Michael"},{"family":"Dijkstra","given":"Henk A."}],"issued":{"date-parts":[["2024",2,9]]}}}],"schema":"https://github.com/citation-style-language/schema/raw/master/csl-citation.json"} </w:instrText>
      </w:r>
      <w:r w:rsidR="001C0CCD">
        <w:fldChar w:fldCharType="separate"/>
      </w:r>
      <w:r w:rsidR="001C0CCD" w:rsidRPr="001C0CCD">
        <w:t>(6)</w:t>
      </w:r>
      <w:r w:rsidR="001C0CCD">
        <w:fldChar w:fldCharType="end"/>
      </w:r>
      <w:r w:rsidR="00876728" w:rsidRPr="00876728">
        <w:t xml:space="preserve">, </w:t>
      </w:r>
      <w:r w:rsidR="007B72C1" w:rsidRPr="007B72C1">
        <w:t xml:space="preserve">but they remain extremely challenging due to their prohibitive </w:t>
      </w:r>
      <w:r w:rsidR="009C50AC" w:rsidRPr="007B72C1">
        <w:t>computational</w:t>
      </w:r>
      <w:r w:rsidR="007B72C1" w:rsidRPr="007B72C1">
        <w:t xml:space="preserve"> demands.</w:t>
      </w:r>
      <w:r w:rsidR="00876728" w:rsidRPr="00876728">
        <w:t xml:space="preserve"> As a result, ESMs are generally unable to simulate a large number of full AMOC hysteresis curves</w:t>
      </w:r>
      <w:r w:rsidR="00462D5E">
        <w:t xml:space="preserve"> </w:t>
      </w:r>
      <w:r w:rsidR="002C4CF1">
        <w:fldChar w:fldCharType="begin"/>
      </w:r>
      <w:r w:rsidR="007F2E43">
        <w:instrText xml:space="preserve"> ADDIN ZOTERO_ITEM CSL_CITATION {"citationID":"vYOV5AxV","properties":{"formattedCitation":"(36)","plainCitation":"(36)","noteIndex":0},"citationItems":[{"id":701,"uris":["http://zotero.org/users/7129331/items/JQ7TZK3F"],"itemData":{"id":701,"type":"article-journal","abstract":"We examine the dynamics of thresholds of the Atlantic Meridional Overturning Circulation (AMOC) in an Atmosphere–Ocean General Circulation Model (AOGCM) and a simple box model. We show that AMOC thresholds in the AOGCM are controlled by low-order dynamics encapsulated in the box model. In both models, AMOC collapse is primarily initiated by the development of a strong salinity advection feedback in the North Atlantic. The box model parameters are potentially observable properties of the unperturbed (present day) ocean state, and when calibrated to a range of AOGCM states predict (within some error bars) the critical rate of fresh water input (Hcrit) needed to turn off the AMOC in the AOGCM. In contrast, the meridional fresh water transport by the MOC (MOV, a widely-used diagnostic of AMOC bi-stability) on its own is a poor predictor of Hcrit. When the AOGCM is run with increased atmospheric carbon dioxide, Hcrit increases. We use the dynamical understanding from the box model to show that this increase is due partly to intensification of the global hydrological cycle and heat penetration into the near-surface ocean, both robust features of climate change projections. However changes in the gyre fresh water transport efficiency (a less robustly modelled process) are also important.","container-title":"Climate Dynamics","DOI":"10.1007/s00382-019-04956-1","ISSN":"1432-0894","issue":"11","journalAbbreviation":"Clim Dyn","language":"en","page":"6815-6834","source":"Springer Link","title":"Observable, low-order dynamical controls on thresholds of the Atlantic meridional overturning circulation","volume":"53","author":[{"family":"Wood","given":"Richard A."},{"family":"Rodríguez","given":"José M."},{"family":"Smith","given":"Robin S."},{"family":"Jackson","given":"Laura C."},{"family":"Hawkins","given":"Ed"}],"issued":{"date-parts":[["2019",12,1]]}}}],"schema":"https://github.com/citation-style-language/schema/raw/master/csl-citation.json"} </w:instrText>
      </w:r>
      <w:r w:rsidR="002C4CF1">
        <w:fldChar w:fldCharType="separate"/>
      </w:r>
      <w:r w:rsidR="007F2E43" w:rsidRPr="007F2E43">
        <w:t>(36)</w:t>
      </w:r>
      <w:r w:rsidR="002C4CF1">
        <w:fldChar w:fldCharType="end"/>
      </w:r>
      <w:r w:rsidR="00F65949" w:rsidRPr="001C0CCD">
        <w:t>.</w:t>
      </w:r>
      <w:r w:rsidR="00CC4909" w:rsidRPr="001C0CCD">
        <w:t xml:space="preserve"> </w:t>
      </w:r>
      <w:r w:rsidR="007B72C1">
        <w:t xml:space="preserve">Consequently, </w:t>
      </w:r>
      <w:r w:rsidR="009F7466" w:rsidRPr="009F7466">
        <w:t xml:space="preserve">Earth System Models of Intermediate Complexity (EMICs) offer </w:t>
      </w:r>
      <w:r w:rsidR="00DB7AB1">
        <w:t>a</w:t>
      </w:r>
      <w:r w:rsidR="009F7466" w:rsidRPr="009F7466">
        <w:t xml:space="preserve"> be</w:t>
      </w:r>
      <w:r w:rsidR="00DB7AB1">
        <w:t>tter</w:t>
      </w:r>
      <w:r w:rsidR="009F7466" w:rsidRPr="009F7466">
        <w:t xml:space="preserve"> compromise between explicitly resolving processes and computational efficiency for generating </w:t>
      </w:r>
      <w:r w:rsidR="00EB108D">
        <w:t>AMOC</w:t>
      </w:r>
      <w:r w:rsidR="009F7466" w:rsidRPr="009F7466">
        <w:t xml:space="preserve"> hysteresis curves</w:t>
      </w:r>
      <w:r w:rsidR="009F42C7">
        <w:t xml:space="preserve"> </w:t>
      </w:r>
      <w:r>
        <w:fldChar w:fldCharType="begin"/>
      </w:r>
      <w:r w:rsidR="007F2E43">
        <w:instrText xml:space="preserve"> ADDIN ZOTERO_ITEM CSL_CITATION {"citationID":"FiP6sKSw","properties":{"formattedCitation":"(28,37)","plainCitation":"(28,37)","noteIndex":0},"citationItems":[{"id":6521,"uris":["http://zotero.org/users/7129331/items/5Z6QEYBC"],"itemData":{"id":6521,"type":"article-journal","abstract":"We propose a new perspective on the hierarchy of climate models which goes beyond the \"classical\" climate modeling pyramid that is restricted mainly to atmospheric processes. Most notably, we introduce a new indicator, called \"integration\", which characterizes the number of interacting components of the climate system being explicitly described in a model. The location of several model types, from conceptual to comprehensive, is presented in a new spectrum of climate system models. In particular, the location of the Earth system Models of Intermediate Complexity (EMICs) in this spectrum is discussed in some detail and examples are given, which indicate that there is currently a broad range of EMICs in use. In some EMICs, the number of processes and/or the detail of description is reduced for the sake of simulating the feedbacks between as many components of the climate system as feasible. Others, with a lesser degree of interaction, or \"integration\", are used for long-term ensemble simulations to study specific aspects of climate variability. EMICs appear to be closer to comprehensive coupled models of atmospheric and oceanic circulation (CGCMs) than to \"conceptual\" or \"box\" models. We advocate that EMICs be considered as complementary to CGCMs and conceptual models, because we believe that there is an advantage of having a spectrum of climate system models which are designed to tackle specific aspects of climate and which together provide the proper tool for climate system modeling.","container-title":"Climate Dynamics","DOI":"10.1007/s00382-001-0200-1","ISSN":"1432-0894","issue":"7","journalAbbreviation":"Climate Dynamics","language":"en","page":"579-586","source":"Springer Link","title":"Earth system models of intermediate complexity: closing the gap in the spectrum of climate system models","title-short":"Earth system models of intermediate complexity","volume":"18","author":[{"family":"Claussen","given":"M."},{"family":"Mysak","given":"L."},{"family":"Weaver","given":"A."},{"family":"Crucifix","given":"M."},{"family":"Fichefet","given":"T."},{"family":"Loutre","given":"M.-F."},{"family":"Weber","given":"S."},{"family":"Alcamo","given":"J."},{"family":"Alexeev","given":"V."},{"family":"Berger","given":"A."},{"family":"Calov","given":"R."},{"family":"Ganopolski","given":"A."},{"family":"Goosse","given":"H."},{"family":"Lohmann","given":"G."},{"family":"Lunkeit","given":"F."},{"family":"Mokhov","given":"I."},{"family":"Petoukhov","given":"V."},{"family":"Stone","given":"P."},{"family":"Wang","given":"Z."}],"issued":{"date-parts":[["2002",3,1]]}}},{"id":2873,"uris":["http://zotero.org/users/7129331/items/ZX9Z4DES"],"itemData":{"id":2873,"type":"article-journal","abstract":"We present results from an intercomparison of 11 different climate models of intermediate complexity, in which the North Atlantic Ocean was subjected to slowly varying changes in freshwater input. All models show a characteristic hysteresis response of the thermohaline circulation to the freshwater forcing; which can be explained by Stommel's salt advection feedback. The width of the hysteresis curves varies between 0.2 and 0.5 Sv in the models. Major differences are found in the location of present-day climate on the hysteresis diagram. In seven of the models, present-day climate for standard parameter choices is found in the bi-stable regime, in four models this climate is in the mono-stable regime. The proximity of the present-day climate to the Stommel bifurcation point, beyond which North Atlantic Deep Water formation cannot be sustained, varies from less than 0.1 Sv to over 0.5 Sv.","container-title":"Geophysical Research Letters","DOI":"10.1029/2005GL023655","ISSN":"1944-8007","issue":"23","language":"en","license":"Copyright 2005 by the American Geophysical Union.","note":"_eprint: https://onlinelibrary.wiley.com/doi/pdf/10.1029/2005GL023655","source":"Wiley Online Library","title":"Thermohaline circulation hysteresis: A model intercomparison","title-short":"Thermohaline circulation hysteresis","URL":"https://onlinelibrary.wiley.com/doi/abs/10.1029/2005GL023655","volume":"32","author":[{"family":"Rahmstorf","given":"Stefan"},{"family":"Crucifix","given":"Michel"},{"family":"Ganopolski","given":"Andrey"},{"family":"Goosse","given":"Hugues"},{"family":"Kamenkovich","given":"Igor"},{"family":"Knutti","given":"Reto"},{"family":"Lohmann","given":"Gerrit"},{"family":"Marsh","given":"Robert"},{"family":"Mysak","given":"Lawrence A."},{"family":"Wang","given":"Zhaomin"},{"family":"Weaver","given":"Andrew J."}],"accessed":{"date-parts":[["2023",10,22]]},"issued":{"date-parts":[["2005"]]}}}],"schema":"https://github.com/citation-style-language/schema/raw/master/csl-citation.json"} </w:instrText>
      </w:r>
      <w:r>
        <w:fldChar w:fldCharType="separate"/>
      </w:r>
      <w:r w:rsidR="007F2E43" w:rsidRPr="007F2E43">
        <w:t>(28,37)</w:t>
      </w:r>
      <w:r>
        <w:fldChar w:fldCharType="end"/>
      </w:r>
      <w:r>
        <w:t xml:space="preserve">. </w:t>
      </w:r>
      <w:r w:rsidR="00D7758A" w:rsidRPr="00D7758A">
        <w:t xml:space="preserve"> </w:t>
      </w:r>
      <w:r w:rsidR="00E66157">
        <w:t>Like the more complex models,</w:t>
      </w:r>
      <w:r w:rsidR="00462256">
        <w:t xml:space="preserve"> </w:t>
      </w:r>
      <w:r w:rsidR="00D7758A" w:rsidRPr="00D7758A">
        <w:t>EMICs exhibit significant variability in the location of the tipping point</w:t>
      </w:r>
      <w:r w:rsidR="00462256">
        <w:t xml:space="preserve"> and</w:t>
      </w:r>
      <w:r w:rsidR="00D7758A" w:rsidRPr="00D7758A">
        <w:t>,</w:t>
      </w:r>
      <w:r w:rsidR="00462256">
        <w:t xml:space="preserve"> </w:t>
      </w:r>
      <w:r w:rsidR="00D7758A" w:rsidRPr="00D7758A">
        <w:t xml:space="preserve"> in their projections of the future evolution of the AMOC</w:t>
      </w:r>
      <w:r w:rsidR="009F42C7">
        <w:t xml:space="preserve"> </w:t>
      </w:r>
      <w:r>
        <w:fldChar w:fldCharType="begin"/>
      </w:r>
      <w:r w:rsidR="007F2E43">
        <w:instrText xml:space="preserve"> ADDIN ZOTERO_ITEM CSL_CITATION {"citationID":"ruftx9D2","properties":{"formattedCitation":"(28)","plainCitation":"(28)","noteIndex":0},"citationItems":[{"id":2873,"uris":["http://zotero.org/users/7129331/items/ZX9Z4DES"],"itemData":{"id":2873,"type":"article-journal","abstract":"We present results from an intercomparison of 11 different climate models of intermediate complexity, in which the North Atlantic Ocean was subjected to slowly varying changes in freshwater input. All models show a characteristic hysteresis response of the thermohaline circulation to the freshwater forcing; which can be explained by Stommel's salt advection feedback. The width of the hysteresis curves varies between 0.2 and 0.5 Sv in the models. Major differences are found in the location of present-day climate on the hysteresis diagram. In seven of the models, present-day climate for standard parameter choices is found in the bi-stable regime, in four models this climate is in the mono-stable regime. The proximity of the present-day climate to the Stommel bifurcation point, beyond which North Atlantic Deep Water formation cannot be sustained, varies from less than 0.1 Sv to over 0.5 Sv.","container-title":"Geophysical Research Letters","DOI":"10.1029/2005GL023655","ISSN":"1944-8007","issue":"23","language":"en","license":"Copyright 2005 by the American Geophysical Union.","note":"_eprint: https://onlinelibrary.wiley.com/doi/pdf/10.1029/2005GL023655","source":"Wiley Online Library","title":"Thermohaline circulation hysteresis: A model intercomparison","title-short":"Thermohaline circulation hysteresis","URL":"https://onlinelibrary.wiley.com/doi/abs/10.1029/2005GL023655","volume":"32","author":[{"family":"Rahmstorf","given":"Stefan"},{"family":"Crucifix","given":"Michel"},{"family":"Ganopolski","given":"Andrey"},{"family":"Goosse","given":"Hugues"},{"family":"Kamenkovich","given":"Igor"},{"family":"Knutti","given":"Reto"},{"family":"Lohmann","given":"Gerrit"},{"family":"Marsh","given":"Robert"},{"family":"Mysak","given":"Lawrence A."},{"family":"Wang","given":"Zhaomin"},{"family":"Weaver","given":"Andrew J."}],"accessed":{"date-parts":[["2023",10,22]]},"issued":{"date-parts":[["2005"]]}}}],"schema":"https://github.com/citation-style-language/schema/raw/master/csl-citation.json"} </w:instrText>
      </w:r>
      <w:r>
        <w:fldChar w:fldCharType="separate"/>
      </w:r>
      <w:r w:rsidR="007F2E43" w:rsidRPr="007F2E43">
        <w:t>(28)</w:t>
      </w:r>
      <w:r>
        <w:fldChar w:fldCharType="end"/>
      </w:r>
      <w:r>
        <w:t>.</w:t>
      </w:r>
      <w:r w:rsidR="00146EB5" w:rsidRPr="00146EB5">
        <w:rPr>
          <w:rFonts w:ascii="Times New Roman" w:eastAsia="Times New Roman" w:hAnsi="Times New Roman" w:cs="Times New Roman"/>
          <w:w w:val="100"/>
          <w:sz w:val="24"/>
          <w:szCs w:val="24"/>
          <w:lang w:eastAsia="fr-BE"/>
        </w:rPr>
        <w:t xml:space="preserve"> </w:t>
      </w:r>
      <w:r w:rsidR="001163B2">
        <w:t xml:space="preserve">However, with current computer technology, even EMICs appear too expensive </w:t>
      </w:r>
      <w:r w:rsidR="00F11E16">
        <w:t>to e</w:t>
      </w:r>
      <w:r w:rsidR="007A2A1E" w:rsidRPr="007A2A1E">
        <w:t>fficiently exploring the range of potential forcing scenarios and their associated AMOC responses.</w:t>
      </w:r>
      <w:r w:rsidR="00690EFF">
        <w:t xml:space="preserve"> </w:t>
      </w:r>
      <w:r w:rsidR="00F11E16">
        <w:t xml:space="preserve">The possibility must also be considered that most </w:t>
      </w:r>
      <w:r w:rsidR="008A468D" w:rsidRPr="008A468D">
        <w:t>models</w:t>
      </w:r>
      <w:r w:rsidR="005D78AD">
        <w:t>, EMICs and ESMs included,</w:t>
      </w:r>
      <w:r w:rsidR="008A468D" w:rsidRPr="008A468D">
        <w:t xml:space="preserve"> exhibit excessive stability due to biases in ocean salinity distribution</w:t>
      </w:r>
      <w:r w:rsidR="00F94E28">
        <w:t xml:space="preserve"> </w:t>
      </w:r>
      <w:r w:rsidR="00F94E28">
        <w:fldChar w:fldCharType="begin"/>
      </w:r>
      <w:r w:rsidR="007F2E43">
        <w:instrText xml:space="preserve"> ADDIN ZOTERO_ITEM CSL_CITATION {"citationID":"bqNc2UCx","properties":{"formattedCitation":"(38,39)","plainCitation":"(38,39)","noteIndex":0},"citationItems":[{"id":6865,"uris":["http://zotero.org/users/7129331/items/7MAVCLXI"],"itemData":{"id":6865,"type":"article-journal","abstract":"Changes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projection.","container-title":"Science Advances","DOI":"10.1126/sciadv.1601666","issue":"1","note":"publisher: American Association for the Advancement of Science","page":"e1601666","source":"science.org (Atypon)","title":"Overlooked possibility of a collapsed Atlantic Meridional Overturning Circulation in warming climate","volume":"3","author":[{"family":"Liu","given":"Wei"},{"family":"Xie","given":"Shang-Ping"},{"family":"Liu","given":"Zhengyu"},{"family":"Zhu","given":"Jiang"}],"issued":{"date-parts":[["2017",1,4]]}}},{"id":6650,"uris":["http://zotero.org/users/7129331/items/KPMIPR9A"],"itemData":{"id":6650,"type":"article-journal","abstract":"Tellus A: Dynamic Meteorology and Oceanography is an open access journal focusing on all aspects of atmospheric dynamics related to Earth science processes. Tellus A, along with its sister journal Tellus B: Chemical and Physical Meteorology, are international, peer-reviewed journals of the International Meteorological Institute in Stockholm, an independent not-for-profit body integrated into the Department of Meteorology at the Faculty of Sciences of Stockholm University, Sweden. The two journals serve an international community of researchers, policymakers, managers, media and the general public. Together they promote the exchange of knowledge about meteorology from across a range of scientific sub-disciplines. Topics covered in Tellus A include:dynamic meteorology | physical oceanography | data assimilation techniques | numerical weather prediction | climate dynamics | climate modelling and observation. Types of papers accepted include original research papers, review articles, brief research notes, Letters to the Editor, and special issues and conference proceedings (from time to time). The journal operates a single-blind peer-review policy. All published articles are made freely and permanently available online through gold open access publication with a CC BY license. Read the Guidelines for Authors for more information on how to submit your manuscript for review.","container-title":"Tellus A: Dynamic Meteorology and Oceanography","ISSN":"1600-0870","issue":"1","language":"en-US","source":"a.tellusjournals.se","title":"The effect of model bias on Atlantic freshwater transport and implications for AMOC bi-stability","URL":"https://a.tellusjournals.se/articles/10.1080/16000870.2017.1299910","volume":"69","author":[{"family":"Mecking","given":"J. V."},{"family":"Drijfhout","given":"S. S."},{"family":"Jackson","given":"L. C."},{"family":"Andrews","given":"M. B."}],"accessed":{"date-parts":[["2025",1,14]]},"issued":{"date-parts":[["2017",1,1]]}}}],"schema":"https://github.com/citation-style-language/schema/raw/master/csl-citation.json"} </w:instrText>
      </w:r>
      <w:r w:rsidR="00F94E28">
        <w:fldChar w:fldCharType="separate"/>
      </w:r>
      <w:r w:rsidR="007F2E43" w:rsidRPr="007F2E43">
        <w:t>(38,39)</w:t>
      </w:r>
      <w:r w:rsidR="00F94E28">
        <w:fldChar w:fldCharType="end"/>
      </w:r>
      <w:r w:rsidR="008A468D" w:rsidRPr="008A468D">
        <w:t xml:space="preserve">. </w:t>
      </w:r>
      <w:r w:rsidR="005D78AD">
        <w:t>This explains a sustained</w:t>
      </w:r>
      <w:r w:rsidR="00CC61CB">
        <w:t xml:space="preserve"> interest for</w:t>
      </w:r>
      <w:r w:rsidR="00F94E28" w:rsidRPr="00F94E28">
        <w:t xml:space="preserve"> conceptual models </w:t>
      </w:r>
      <w:r w:rsidR="00CC61CB">
        <w:t>to explore uncertainties and fundamental aspects of tipping points and tipping cascades</w:t>
      </w:r>
      <w:r w:rsidR="00F94E28">
        <w:t xml:space="preserve"> </w:t>
      </w:r>
      <w:r>
        <w:fldChar w:fldCharType="begin"/>
      </w:r>
      <w:r w:rsidR="007F2E43">
        <w:instrText xml:space="preserve"> ADDIN ZOTERO_ITEM CSL_CITATION {"citationID":"b6Ap7Rcz","properties":{"formattedCitation":"(35,40\\uc0\\u8211{}42)","plainCitation":"(35,40–42)","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id":1689,"uris":["http://zotero.org/users/7129331/items/HU3ICKDA"],"itemData":{"id":1689,"type":"article-journal","abstract":"We introduce a framework of cascading tipping, i.e. a sequence of abrupt transitions occurring because a transition in one subsystem changes the background conditions for another subsystem. A mathematical framework of elementary deterministic cascading tipping points in autonomous dynamical systems is presented containing the double-fold, fold–Hopf, Hopf–fold and double-Hopf as the most generic cases. Statistical indicators which can be used as early warning indicators of cascading tipping events in stochastic, non-stationary systems are suggested. The concept of cascading tipping is illustrated through a conceptual model of the coupled North Atlantic Ocean – El Niño–Southern Oscillation (ENSO) system, demonstrating the possibility of such cascading events in the climate system.","container-title":"Earth System Dynamics","DOI":"10.5194/esd-9-1243-2018","ISSN":"2190-4979","issue":"4","language":"English","note":"publisher: Copernicus GmbH","page":"1243-1260","source":"Copernicus Online Journals","title":"Cascading transitions in the climate system","volume":"9","author":[{"family":"Dekker","given":"Mark M."},{"family":"Heydt","given":"Anna S.","non-dropping-particle":"von der"},{"family":"Dijkstra","given":"Henk A."}],"issued":{"date-parts":[["2018",11,6]]}}},{"id":1143,"uris":["http://zotero.org/users/7129331/items/8BQ54DHH"],"itemData":{"id":1143,"type":"article-journal","abstract":"Several large-scale components of the climate system may undergo a rapid transition as critical conditions are exceeded. These tipping elements are also dynamically coupled, allowing for a global domino effect under global warming. Here we focus on such cascading events involving the Greenland Ice Sheet (GIS), the West Antarctica Ice Sheet (WAIS) and the Atlantic Meridional Overturning Circulation (AMOC). Using a conceptual model, we study the combined tipping behavior due to three dominant feedbacks: the marine ice sheet instability for the WAIS, the height-surface mass balance feedback for the GIS and the salt-advection feedback for the AMOC. We show that, in a realistic parameter range of the model, a tipping of the WAIS can inhibit cascading events by preserving the AMOC stability.","container-title":"Geophysical Research Letters","DOI":"10.1029/2022GL100305","ISSN":"1944-8007","issue":"2","language":"en","license":"© 2023 The Authors.","note":"_eprint: https://onlinelibrary.wiley.com/doi/pdf/10.1029/2022GL100305","page":"e2022GL100305","source":"Wiley Online Library","title":"AMOC Stabilization Under the Interaction With Tipping Polar Ice Sheets","volume":"50","author":[{"family":"Sinet","given":"S."},{"family":"Heydt","given":"A. S.","non-dropping-particle":"von der"},{"family":"Dijkstra","given":"H. A."}],"issued":{"date-parts":[["2023"]]}}},{"id":2415,"uris":["http://zotero.org/users/7129331/items/H6ECF6ZA"],"itemData":{"id":2415,"type":"article-journal","abstract":"With progressing global warming, there is an increased risk that one or several tipping elements in the climate system might cross a critical threshold, resulting in severe consequences for the global climate, ecosystems and human societies. While the underlying processes are fairly well-understood, it is unclear how their interactions might impact the overall stability of the Earth's climate system. As of yet, this cannot be fully analysed with state-of-the-art Earth system models due to computational constraints as well as some missing and uncertain process representations of certain tipping elements. Here, we explicitly study the effects of known physical interactions among the Greenland and West Antarctic ice sheets, the Atlantic Meridional Overturning Circulation (AMOC) and the Amazon rainforest using a conceptual network approach. We analyse the risk of domino effects being triggered by each of the individual tipping elements under global warming in equilibrium experiments. In these experiments, we propagate the uncertainties in critical temperature thresholds, interaction strengths and interaction structure via large ensembles of simulations in a Monte Carlo approach. Overall, we find that the interactions tend to destabilise the network of tipping elements. Furthermore, our analysis reveals the qualitative role of each of the four tipping elements within the network, showing that the polar ice sheets on Greenland and West Antarctica are oftentimes the initiators of tipping cascades, while the AMOC acts as a mediator transmitting cascades. This indicates that the ice sheets, which are already at risk of transgressing their temperature thresholds within the Paris range of 1.5 to 2 ∘C, are of particular importance for the stability of the climate system as a whole.","container-title":"Earth System Dynamics","DOI":"10.5194/esd-12-601-2021","ISSN":"2190-4979","issue":"2","language":"English","note":"publisher: Copernicus GmbH","page":"601-619","source":"Copernicus Online Journals","title":"Interacting tipping elements increase risk of climate domino effects under global warming","volume":"12","author":[{"family":"Wunderling","given":"Nico"},{"family":"Donges","given":"Jonathan F."},{"family":"Kurths","given":"Jürgen"},{"family":"Winkelmann","given":"Ricarda"}],"issued":{"date-parts":[["2021",6,3]]}}}],"schema":"https://github.com/citation-style-language/schema/raw/master/csl-citation.json"} </w:instrText>
      </w:r>
      <w:r>
        <w:fldChar w:fldCharType="separate"/>
      </w:r>
      <w:r w:rsidR="007F2E43" w:rsidRPr="007F2E43">
        <w:rPr>
          <w:rFonts w:cs="Times New Roman"/>
        </w:rPr>
        <w:t>(35,40–42)</w:t>
      </w:r>
      <w:r>
        <w:fldChar w:fldCharType="end"/>
      </w:r>
      <w:r w:rsidRPr="002C2766">
        <w:t>.</w:t>
      </w:r>
    </w:p>
    <w:p w14:paraId="46A7CB0B" w14:textId="77777777" w:rsidR="004B201E" w:rsidRPr="002C2766" w:rsidRDefault="004B201E"/>
    <w:p w14:paraId="27BC7128" w14:textId="61F33C72" w:rsidR="004B201E" w:rsidRDefault="00B84193">
      <w:r>
        <w:t xml:space="preserve">This approach primarily relies on modelling the dynamics of tipping elements through a double-fold bifurcation structure </w:t>
      </w:r>
      <w:r>
        <w:fldChar w:fldCharType="begin"/>
      </w:r>
      <w:r w:rsidR="003A0D85">
        <w:instrText xml:space="preserve"> ADDIN ZOTERO_ITEM CSL_CITATION {"citationID":"FCtdlInb","properties":{"formattedCitation":"(40\\uc0\\u8211{}43)","plainCitation":"(40–43)","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id":1689,"uris":["http://zotero.org/users/7129331/items/HU3ICKDA"],"itemData":{"id":1689,"type":"article-journal","abstract":"We introduce a framework of cascading tipping, i.e. a sequence of abrupt transitions occurring because a transition in one subsystem changes the background conditions for another subsystem. A mathematical framework of elementary deterministic cascading tipping points in autonomous dynamical systems is presented containing the double-fold, fold–Hopf, Hopf–fold and double-Hopf as the most generic cases. Statistical indicators which can be used as early warning indicators of cascading tipping events in stochastic, non-stationary systems are suggested. The concept of cascading tipping is illustrated through a conceptual model of the coupled North Atlantic Ocean – El Niño–Southern Oscillation (ENSO) system, demonstrating the possibility of such cascading events in the climate system.","container-title":"Earth System Dynamics","DOI":"10.5194/esd-9-1243-2018","ISSN":"2190-4979","issue":"4","language":"English","note":"publisher: Copernicus GmbH","page":"1243-1260","source":"Copernicus Online Journals","title":"Cascading transitions in the climate system","volume":"9","author":[{"family":"Dekker","given":"Mark M."},{"family":"Heydt","given":"Anna S.","non-dropping-particle":"von der"},{"family":"Dijkstra","given":"Henk A."}],"issued":{"date-parts":[["2018",11,6]]}}},{"id":2415,"uris":["http://zotero.org/users/7129331/items/H6ECF6ZA"],"itemData":{"id":2415,"type":"article-journal","abstract":"With progressing global warming, there is an increased risk that one or several tipping elements in the climate system might cross a critical threshold, resulting in severe consequences for the global climate, ecosystems and human societies. While the underlying processes are fairly well-understood, it is unclear how their interactions might impact the overall stability of the Earth's climate system. As of yet, this cannot be fully analysed with state-of-the-art Earth system models due to computational constraints as well as some missing and uncertain process representations of certain tipping elements. Here, we explicitly study the effects of known physical interactions among the Greenland and West Antarctic ice sheets, the Atlantic Meridional Overturning Circulation (AMOC) and the Amazon rainforest using a conceptual network approach. We analyse the risk of domino effects being triggered by each of the individual tipping elements under global warming in equilibrium experiments. In these experiments, we propagate the uncertainties in critical temperature thresholds, interaction strengths and interaction structure via large ensembles of simulations in a Monte Carlo approach. Overall, we find that the interactions tend to destabilise the network of tipping elements. Furthermore, our analysis reveals the qualitative role of each of the four tipping elements within the network, showing that the polar ice sheets on Greenland and West Antarctica are oftentimes the initiators of tipping cascades, while the AMOC acts as a mediator transmitting cascades. This indicates that the ice sheets, which are already at risk of transgressing their temperature thresholds within the Paris range of 1.5 to 2 ∘C, are of particular importance for the stability of the climate system as a whole.","container-title":"Earth System Dynamics","DOI":"10.5194/esd-12-601-2021","ISSN":"2190-4979","issue":"2","language":"English","note":"publisher: Copernicus GmbH","page":"601-619","source":"Copernicus Online Journals","title":"Interacting tipping elements increase risk of climate domino effects under global warming","volume":"12","author":[{"family":"Wunderling","given":"Nico"},{"family":"Donges","given":"Jonathan F."},{"family":"Kurths","given":"Jürgen"},{"family":"Winkelmann","given":"Ricarda"}],"issued":{"date-parts":[["2021",6,3]]}}},{"id":"YXi9sT6M/irIU5z00","uris":["http://zotero.org/users/7129331/items/4P75IHJK"],"itemData":{"id":2667,"type":"article-journal","abstract":"In ecology, climate and other fields, (sub)systems have been identified that can transition into a qualitatively different state when a critical threshold or tipping point in a driving process is crossed. An understanding of those tipping elements is of great interest given the increasing influence of humans on the biophysical Earth system. Complex interactions exist between tipping elements, e.g. physical mechanisms connect subsystems of the climate system. Based on earlier work on such coupled nonlinear systems, we systematically assessed the qualitative long-term behaviour of interacting tipping elements. We developed an understanding of the consequences of interactions on the tipping behaviour allowing for tipping cascades to emerge under certain conditions. The (narrative) application of these qualitative results to real-world examples of interacting tipping elements indicates that tipping cascades with profound consequences may occur: the interacting Greenland ice sheet and thermohaline ocean circulation might tip before the tipping points of the isolated subsystems are crossed. The eutrophication of the first lake in a lake chain might propagate through the following lakes without a crossing of their individual critical nutrient input levels. The possibility of emerging cascading tipping dynamics calls for the development of a unified theory of interacting tipping elements and the quantitative analysis of interacting real-world tipping elements.","container-title":"Royal Society Open Science","DOI":"10.1098/rsos.200599","issue":"6","note":"publisher: Royal Society","page":"200599","source":"royalsocietypublishing.org (Atypon)","title":"Emergence of cascading dynamics in interacting tipping elements of ecology and climate","volume":"7","author":[{"family":"Klose","given":"Ann Kristin"},{"family":"Karle","given":"Volker"},{"family":"Winkelmann","given":"Ricarda"},{"family":"Donges","given":"Jonathan F."}],"issued":{"date-parts":[["2020",6,24]]}}}],"schema":"https://github.com/citation-style-language/schema/raw/master/csl-citation.json"} </w:instrText>
      </w:r>
      <w:r>
        <w:fldChar w:fldCharType="separate"/>
      </w:r>
      <w:r w:rsidR="007F2E43" w:rsidRPr="007F2E43">
        <w:rPr>
          <w:rFonts w:cs="Times New Roman"/>
        </w:rPr>
        <w:t>(40–43)</w:t>
      </w:r>
      <w:r>
        <w:fldChar w:fldCharType="end"/>
      </w:r>
      <w:r w:rsidR="0054424E">
        <w:t>, consistent with theory, and also supported by</w:t>
      </w:r>
      <w:r w:rsidR="00EA5DF3">
        <w:t xml:space="preserve"> real world measures of</w:t>
      </w:r>
      <w:r w:rsidR="008725EE">
        <w:t xml:space="preserve"> stability indicators </w:t>
      </w:r>
      <w:r w:rsidR="00EA5DF3">
        <w:t xml:space="preserve">suggesting that </w:t>
      </w:r>
      <w:r w:rsidR="008725EE">
        <w:t>AMOC resides in a bistable regime</w:t>
      </w:r>
      <w:r>
        <w:fldChar w:fldCharType="begin"/>
      </w:r>
      <w:r w:rsidR="007F2E43">
        <w:instrText xml:space="preserve"> ADDIN ZOTERO_ITEM CSL_CITATION {"citationID":"QR44wxdm","properties":{"formattedCitation":"(44\\uc0\\u8211{}46)","plainCitation":"(44–46)","noteIndex":0},"citationItems":[{"id":6557,"uris":["http://zotero.org/users/7129331/items/LCFXAWL4"],"itemData":{"id":6557,"type":"article-journal","abstract":"A diagnostic indicator ΔMov is proposed in this paper to monitor the stability of the Atlantic meridional overturning circulation (AMOC). The ΔMov is a diagnostic for a basinwide salt-advection feedback and defined as the difference between the freshwater transport induced by the AMOC across the southern border of the Atlantic Ocean and the overturning liquid freshwater transport from the Arctic Ocean to the North Atlantic. As validated in the Community Climate System Model, version 3 (CCSM3), for an AMOC in the conveyor state, a positive ΔMov (freshwater convergence) in the Atlantic basin indicates a monostable AMOC and a negative ΔMov (freshwater divergence) indicates a bistable AMOC. Based on ΔMov, the authors investigate the AMOC stability in the Last Glacial Maximum (LGM) and analyze the modulation of the AMOC stability by an open/closed Bering Strait. Moreover, the authors estimate that the real AMOC is likely to be bistable in the present day, since some observations suggest a negative ΔMov (freshwater divergence) is currently in the Atlantic basin. However, this estimation is very sensitive to the choice of the observational data.","container-title":"Journal of Climate","DOI":"10.1175/JCLI-D-11-00681.1","ISSN":"0894-8755, 1520-0442","issue":"6","language":"EN","note":"publisher: American Meteorological Society\nsection: Journal of Climate","page":"1926-1938","source":"journals.ametsoc.org","title":"A Diagnostic Indicator of the Stability of the Atlantic Meridional Overturning Circulation in CCSM3","volume":"26","author":[{"family":"Liu","given":"Wei"},{"family":"Liu","given":"Zhengyu"}],"issued":{"date-parts":[["2013",3,15]]}}},{"id":6173,"uris":["http://zotero.org/users/7129331/items/DWKCN699"],"itemData":{"id":6173,"type":"article-journal","abstract":"The 'conveyor belt' circulation of the Atlantic Ocean transports large amounts of heat northward, acting as a heating system for the northern North Atlantic region. It is widely thought that this circulation is driven by atmospheric freshwater export from the Atlantic catchment region, and that it transports freshwater northward to balance the loss to the atmosphere. Using results from a simple conceptual model and a global circulation model, it is argued here that the freshwater loss to the atmosphere arises mainly in the subtropical South Atlantic and is balanced by northward freshwater transport in the wind-driven subtropical gyre, while the thermohaline circulation transports freshwater southward. It is further argued that the direction of freshwater transport is closely linked to the dynamical regime and stability of the 'conveyor belt': if its freshwater transport is indeed southward, then its flow is purely thermally driven and inhibited by the freshwater forcing. In this case the circulation is not far from Stommel's saddle-node bifurcation, and a circulation state without NADW formation would also be stable.","container-title":"Climate Dynamics","DOI":"10.1007/s003820050144","ISSN":"1432-0894","issue":"12","journalAbbreviation":"Climate Dynamics","language":"en","page":"799-811","source":"Springer Link","title":"On the freshwater forcing and transport of the Atlantic thermohaline circulation","volume":"12","author":[{"family":"Rahmstorf","given":"S."}],"issued":{"date-parts":[["1996",11,1]]}}},{"id":6554,"uris":["http://zotero.org/users/7129331/items/S9SDZQCC"],"itemData":{"id":6554,"type":"article-journal","abstract":"Which physical processes effectively determine the stability regime of the Atlantic meridional overturning circulation (MOC) is not yet fully understood. We investigate the role of the oceanic freshwater transport into the basin, employing a coupled model of intermediate complexity. By modifying the longitudinal variation of surface salinities near the southern border at 33°S, the amount of salt flowing out of the Atlantic via the Brazil Current can be regulated. In turn, this will influence whether the MOC exports or imports salt water. The latter is associated with a basin-scale salinity-overturning feedback, which can be either positive or negative. Pulse experiments strongly suggest that its sign determines the existence of a monostable or bistable regime in our model.","container-title":"Geophysical Research Letters","DOI":"10.1029/2004GL021450","ISSN":"1944-8007","issue":"9","language":"en","license":"Copyright 2005 by the American Geophysical Union.","note":"_eprint: https://onlinelibrary.wiley.com/doi/pdf/10.1029/2004GL021450","source":"Wiley Online Library","title":"The Atlantic freshwater budget as a diagnostic for the existence of a stable shut down of the meridional overturning circulation","URL":"https://onlinelibrary.wiley.com/doi/abs/10.1029/2004GL021450","volume":"32","author":[{"family":"Vries","given":"Pedro","non-dropping-particle":"de"},{"family":"Weber","given":"Susanne L."}],"accessed":{"date-parts":[["2024",12,10]]},"issued":{"date-parts":[["2005"]]}}}],"schema":"https://github.com/citation-style-language/schema/raw/master/csl-citation.json"} </w:instrText>
      </w:r>
      <w:r>
        <w:fldChar w:fldCharType="separate"/>
      </w:r>
      <w:r w:rsidR="007F2E43" w:rsidRPr="007F2E43">
        <w:rPr>
          <w:rFonts w:cs="Times New Roman"/>
        </w:rPr>
        <w:t>(44–46)</w:t>
      </w:r>
      <w:r>
        <w:fldChar w:fldCharType="end"/>
      </w:r>
      <w:r>
        <w:t>.</w:t>
      </w:r>
      <w:r w:rsidR="007E6F40">
        <w:t xml:space="preserve"> T</w:t>
      </w:r>
      <w:r>
        <w:t>he</w:t>
      </w:r>
      <w:r w:rsidR="007E6F40">
        <w:t xml:space="preserve"> ocean circulation</w:t>
      </w:r>
      <w:r>
        <w:t xml:space="preserve"> system </w:t>
      </w:r>
      <w:r w:rsidR="007E6F40">
        <w:t>is then modelled possessing</w:t>
      </w:r>
      <w:r>
        <w:t xml:space="preserve"> two stable equilibria separated by an unstable equilibrium. When the bifurcation parameter reaches the critical value of the tipping point, the system can transition from its initial stable equilibrium to the second. These models mathematically impose that the AMOC behaves as a nonlinear dynamical system with this specific double-fold structure, thereby defining its intrinsic tipping element dynamics.</w:t>
      </w:r>
      <w:r w:rsidR="00AE7DD4">
        <w:t xml:space="preserve"> </w:t>
      </w:r>
      <w:r w:rsidR="00A9414A" w:rsidRPr="00A9414A">
        <w:t>The primary advantage of this approach, beyond its ability to capture the hypothesized dynamical behaviour in general terms, lies in its computational efficiency. By calibrating the simplified dynamics on the output of more complex models, we create what is known in the field as an “emulator,” while the complex model is referred to as the “simulator”</w:t>
      </w:r>
      <w:r w:rsidR="008C6149">
        <w:t xml:space="preserve"> </w:t>
      </w:r>
      <w:r w:rsidR="008C6149">
        <w:fldChar w:fldCharType="begin"/>
      </w:r>
      <w:r w:rsidR="008C6149">
        <w:instrText xml:space="preserve"> ADDIN ZOTERO_ITEM CSL_CITATION {"citationID":"w1lByt5m","properties":{"formattedCitation":"(47)","plainCitation":"(47)","noteIndex":0},"citationItems":[{"id":7637,"uris":["http://zotero.org/users/7129331/items/X7NLEP23"],"itemData":{"id":7637,"type":"article","abstract":"We calibrate a Natural History Model, which is a class of computer simulator used in the health industry, and here has been used to characterise bowel cancer incidence for the UK. The simulator tracks the development of bowel cancer in a sample of people, and its output mostly stratifies bowel cancer occurrence by patient age and bowel cancer type. Its output relies on 25 unknown inputs, which we are required to calibrate. In order to do this we must address that not only is the output count data, but it is also stochastic, due to the simulation procedure. We cannot feasibly achieve calibration of the simulator using Monte Carlo methods alone, as it is of `moderate' computational expense. To achieve a reliable calibration, we must also specify its discrepancy: how, when calibrated, it differs from reality. We propose a method for calibration that combines a statistical emulator for the likelihood function with importance sampling. The emulator provides an interim sample of inputs at which the simulator is run, from which the likelihood is calculated. Importance sampling is then used to re-weight the inputs and provide a final sample of calibrated inputs. Re-calculating the importance weights incurs little computational cost, and so we can easily investigate how different discrepancy specifications affect calibration.","DOI":"10.48550/arXiv.1403.5196","note":"arXiv:1403.5196 [stat]","number":"arXiv:1403.5196","publisher":"arXiv","source":"arXiv.org","title":"Calibration of Complex Computer Simulators using Likelihood Emulation","URL":"http://arxiv.org/abs/1403.5196","author":[{"family":"Oakley","given":"Jeremy E."},{"family":"Youngman","given":"Benjamin D."}],"accessed":{"date-parts":[["2025",10,15]]},"issued":{"date-parts":[["2014",10,28]]}}}],"schema":"https://github.com/citation-style-language/schema/raw/master/csl-citation.json"} </w:instrText>
      </w:r>
      <w:r w:rsidR="008C6149">
        <w:fldChar w:fldCharType="separate"/>
      </w:r>
      <w:r w:rsidR="008C6149" w:rsidRPr="008C6149">
        <w:t>(47)</w:t>
      </w:r>
      <w:r w:rsidR="008C6149">
        <w:fldChar w:fldCharType="end"/>
      </w:r>
      <w:r w:rsidR="00A9414A">
        <w:t xml:space="preserve">. </w:t>
      </w:r>
      <w:r>
        <w:t>When these tipping element emulators are coupled with a reduced-complexity climate model, they offer a tool that is both process-based and computationally efficient</w:t>
      </w:r>
      <w:r w:rsidR="00C303E5">
        <w:t>, adequate to</w:t>
      </w:r>
      <w:r w:rsidR="00E97462">
        <w:t xml:space="preserve"> study evolution over several </w:t>
      </w:r>
      <w:r w:rsidR="00577F7E">
        <w:t>millennia</w:t>
      </w:r>
      <w:r w:rsidR="00E97462">
        <w:t xml:space="preserve"> driven by </w:t>
      </w:r>
      <w:r>
        <w:t xml:space="preserve">realistic </w:t>
      </w:r>
      <w:r w:rsidR="00E97462">
        <w:t>concentration or emissions</w:t>
      </w:r>
      <w:r>
        <w:t xml:space="preserve"> scenarios </w:t>
      </w:r>
      <w:r>
        <w:fldChar w:fldCharType="begin"/>
      </w:r>
      <w:r w:rsidR="007F2E43">
        <w:instrText xml:space="preserve"> ADDIN ZOTERO_ITEM CSL_CITATION {"citationID":"ARQtFfra","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fldChar w:fldCharType="separate"/>
      </w:r>
      <w:r w:rsidR="007F2E43" w:rsidRPr="007F2E43">
        <w:t>(40)</w:t>
      </w:r>
      <w:r>
        <w:fldChar w:fldCharType="end"/>
      </w:r>
      <w:r>
        <w:t>.</w:t>
      </w:r>
    </w:p>
    <w:p w14:paraId="034DC2FB" w14:textId="0932A0D7" w:rsidR="004B201E" w:rsidRDefault="004B201E" w:rsidP="00E57510"/>
    <w:p w14:paraId="593DDA8B" w14:textId="77777777" w:rsidR="004B201E" w:rsidRDefault="00B84193">
      <w:pPr>
        <w:pStyle w:val="BodyText"/>
        <w:rPr>
          <w:rFonts w:ascii="Arial" w:eastAsia="Arial" w:hAnsi="Arial" w:cs="Arial"/>
          <w:b/>
          <w:sz w:val="24"/>
          <w:szCs w:val="28"/>
        </w:rPr>
      </w:pPr>
      <w:r>
        <w:rPr>
          <w:rFonts w:ascii="Arial" w:eastAsia="Arial" w:hAnsi="Arial" w:cs="Arial"/>
          <w:b/>
          <w:sz w:val="24"/>
          <w:szCs w:val="28"/>
        </w:rPr>
        <w:t>1.3 Challenges in Designing a Two-Forcing Emulator</w:t>
      </w:r>
    </w:p>
    <w:p w14:paraId="34F5EBA7" w14:textId="77777777" w:rsidR="004B201E" w:rsidRDefault="004B201E" w:rsidP="00E57510"/>
    <w:p w14:paraId="4B7EE2ED" w14:textId="1C6AB122" w:rsidR="00B80CB8" w:rsidRDefault="009A2CBE">
      <w:r w:rsidRPr="009A2CBE">
        <w:t xml:space="preserve">An emulator based on the concept of a double-fold bifurcation was introduced by Martinez Montero et al. </w:t>
      </w:r>
      <w:r>
        <w:fldChar w:fldCharType="begin"/>
      </w:r>
      <w:r w:rsidR="008C6149">
        <w:instrText xml:space="preserve"> ADDIN ZOTERO_ITEM CSL_CITATION {"citationID":"AqMh9j2l","properties":{"formattedCitation":"(48)","plainCitation":"(48)","noteIndex":0},"citationItems":[{"id":444,"uris":["http://zotero.org/users/7129331/items/NUYTQ2VV"],"itemData":{"id":444,"type":"article-journal","abstract":"We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fldChar w:fldCharType="separate"/>
      </w:r>
      <w:r w:rsidR="008C6149" w:rsidRPr="008C6149">
        <w:t>(48)</w:t>
      </w:r>
      <w:r>
        <w:fldChar w:fldCharType="end"/>
      </w:r>
      <w:r>
        <w:t xml:space="preserve"> </w:t>
      </w:r>
      <w:r w:rsidRPr="009A2CBE">
        <w:t>within the reduced-complexity climate model SURFER v2.0. to simulate the dynamics of ice sheets.</w:t>
      </w:r>
      <w:r>
        <w:t xml:space="preserve"> </w:t>
      </w:r>
      <w:r w:rsidR="00B84193">
        <w:t>This emulator consider</w:t>
      </w:r>
      <w:r w:rsidR="00501A4E">
        <w:t>s</w:t>
      </w:r>
      <w:r w:rsidR="00B84193">
        <w:t xml:space="preserve"> only a single forcing variable, specifically the temperature anomaly</w:t>
      </w:r>
      <w:r w:rsidR="008E517C">
        <w:t xml:space="preserve"> computed from </w:t>
      </w:r>
      <w:r w:rsidR="00042FB7">
        <w:t>emission scenarios</w:t>
      </w:r>
      <w:r w:rsidR="00B84193">
        <w:t xml:space="preserve">. Couplet et al. </w:t>
      </w:r>
      <w:r w:rsidR="00B84193">
        <w:fldChar w:fldCharType="begin"/>
      </w:r>
      <w:r w:rsidR="008C6149">
        <w:instrText xml:space="preserve"> ADDIN ZOTERO_ITEM CSL_CITATION {"citationID":"mubUfmdT","properties":{"formattedCitation":"(40,49)","plainCitation":"(40,49)","noteIndex":0},"citationItems":[{"id":6376,"uris":["http://zotero.org/users/7129331/items/I2NQ8QFR"],"itemData":{"id":6376,"type":"article-journal","abstract":"&lt;p&gt;&lt;strong class=\"journal-contentHeaderColor\"&gt;Abstract.&lt;/strong&gt; Simple climate models that are computationally inexpensive, transparent, and easy to modify are useful for assessing climate policies in the presence of uncertainties. This motivated the creation of SURFER v2.0, a model designed to estimate the impact of CO&lt;sub&gt;2&lt;/sub&gt; emissions and solar radiation modification on global mean temperatures, sea-level rise, and ocean pH. However, SURFER v2.0 is unsuitable for simulations beyond a few thousand years because it lacks some carbon cycle processes. This is problematic for assessing the long-term evolution of ice sheets and the associated sea level rise. Here, we present SURFER v3.0, an extension to SURFER v2.0 that allows for accurate simulation of the climate, carbon cycle, and sea level rise on time scales ranging from decades to millions of years. We incorporated in the model a dynamic cycling of alkalinity in the ocean, a carbonate sediments reservoir, and weathering fluxes. With these additions, we show that SURFER v3.0 reproduces results from a large class of models, ranging from centennial CMIP6 projections to 1 Myr runs performed with the cGENIE model of intermediate complexity. We show that compared to SURFER v2.0, including long-term carbon-cycle processes in SURFER v3.0 leads to a stabilisation of the Greenland ice sheet for the middle of the road emission scenarios, and a significant reduction in sea level rise contribution from Antarctica for high emissions scenarios.&lt;/p&gt;","container-title":"EGUsphere","DOI":"10.5194/egusphere-2024-2279","language":"English","note":"publisher: Copernicus GmbH","page":"1-77","source":"egusphere.copernicus.org","title":"SURFER v3.0: a fast model with ice sheet tipping points and carbon cycle feedbacks for short and long-term climate scenarios","title-short":"SURFER v3.0","author":[{"family":"Couplet","given":"Victor"},{"family":"Martínez Montero","given":"Marina"},{"family":"Crucifix","given":"Michel"}],"issued":{"date-parts":[["2024",9,11]]}}},{"id":6375,"uris":["http://zotero.org/users/7129331/items/BM5GXEMV"],"itemData":{"id":6375,"type":"article-journal","language":"en","source":"Zotero","title":"Tipping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rsidR="00B84193">
        <w:fldChar w:fldCharType="separate"/>
      </w:r>
      <w:r w:rsidR="008C6149" w:rsidRPr="008C6149">
        <w:t>(40,49)</w:t>
      </w:r>
      <w:r w:rsidR="00B84193">
        <w:fldChar w:fldCharType="end"/>
      </w:r>
      <w:r w:rsidR="009A3B67">
        <w:t>, further</w:t>
      </w:r>
      <w:r w:rsidR="00B84193">
        <w:t xml:space="preserve"> developed </w:t>
      </w:r>
      <w:r w:rsidR="009A3B67">
        <w:t xml:space="preserve">SURFER (v3.0) by </w:t>
      </w:r>
      <w:r w:rsidR="00B84193">
        <w:t xml:space="preserve">allowing for the coupling of tipping elements and hence the inclusion of an additional forcing variable. The challenge, however, lies in </w:t>
      </w:r>
      <w:r w:rsidR="00FE38B9">
        <w:t xml:space="preserve">the </w:t>
      </w:r>
      <w:r w:rsidR="00B84193">
        <w:t>calibration technique for the model parameters</w:t>
      </w:r>
      <w:r w:rsidR="003B207A">
        <w:t>, which must use</w:t>
      </w:r>
      <w:r w:rsidR="00B84193">
        <w:t xml:space="preserve"> existing literature and </w:t>
      </w:r>
      <w:r w:rsidR="003B207A">
        <w:t xml:space="preserve">additional simulations with </w:t>
      </w:r>
      <w:r w:rsidR="00B84193">
        <w:t xml:space="preserve">complex models. Couplet et al. </w:t>
      </w:r>
      <w:r w:rsidR="00B84193">
        <w:fldChar w:fldCharType="begin"/>
      </w:r>
      <w:r w:rsidR="007F2E43">
        <w:instrText xml:space="preserve"> ADDIN ZOTERO_ITEM CSL_CITATION {"citationID":"gj6lIJ11","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rsidR="00B84193">
        <w:fldChar w:fldCharType="separate"/>
      </w:r>
      <w:r w:rsidR="007F2E43" w:rsidRPr="007F2E43">
        <w:t>(40)</w:t>
      </w:r>
      <w:r w:rsidR="00B84193">
        <w:fldChar w:fldCharType="end"/>
      </w:r>
      <w:r w:rsidR="00B84193">
        <w:t xml:space="preserve"> </w:t>
      </w:r>
      <w:r w:rsidR="00D8617D" w:rsidRPr="00D8617D">
        <w:t xml:space="preserve">sampled the tipping element parameters from uniform distributions spanning the range of values reported in the </w:t>
      </w:r>
      <w:r w:rsidR="002412D4" w:rsidRPr="00D8617D">
        <w:t>literature</w:t>
      </w:r>
      <w:r w:rsidR="00D8617D" w:rsidRPr="00D8617D">
        <w:t>.</w:t>
      </w:r>
      <w:r w:rsidR="00B84193">
        <w:t xml:space="preserve"> </w:t>
      </w:r>
      <w:r w:rsidR="00B80CB8" w:rsidRPr="00B80CB8">
        <w:t xml:space="preserve">In contrast to Couplet et al. </w:t>
      </w:r>
      <w:r w:rsidR="005D0EC6">
        <w:fldChar w:fldCharType="begin"/>
      </w:r>
      <w:r w:rsidR="007F2E43">
        <w:instrText xml:space="preserve"> ADDIN ZOTERO_ITEM CSL_CITATION {"citationID":"tU6YMEnn","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rsidR="005D0EC6">
        <w:fldChar w:fldCharType="separate"/>
      </w:r>
      <w:r w:rsidR="007F2E43" w:rsidRPr="007F2E43">
        <w:t>(40)</w:t>
      </w:r>
      <w:r w:rsidR="005D0EC6">
        <w:fldChar w:fldCharType="end"/>
      </w:r>
      <w:r w:rsidR="00B80CB8" w:rsidRPr="00B80CB8">
        <w:t xml:space="preserve">, our approach focuses on calibrating the parameters of a two-parameter physical forcing emulator to align with any given hysteresis curve from a </w:t>
      </w:r>
      <w:r w:rsidR="0047180C">
        <w:t>simulator</w:t>
      </w:r>
      <w:r w:rsidR="00B80CB8" w:rsidRPr="00B80CB8">
        <w:t xml:space="preserve">. </w:t>
      </w:r>
      <w:r w:rsidR="00557287" w:rsidRPr="00557287">
        <w:t xml:space="preserve">To our knowledge, this methodology </w:t>
      </w:r>
      <w:r w:rsidR="00D97550">
        <w:t>is novel</w:t>
      </w:r>
      <w:r w:rsidR="00557287" w:rsidRPr="00557287">
        <w:t xml:space="preserve">. </w:t>
      </w:r>
      <w:r w:rsidR="00D97550">
        <w:t>I</w:t>
      </w:r>
      <w:r w:rsidR="00557287" w:rsidRPr="00557287">
        <w:t xml:space="preserve">t enables a more realistic calibration of the emulator while facilitating the systematic exploration of the forcing space across different emission scenarios </w:t>
      </w:r>
      <w:r w:rsidR="008A3D51">
        <w:t>across</w:t>
      </w:r>
      <w:r w:rsidR="008A3D51" w:rsidRPr="008A3D51">
        <w:t xml:space="preserve"> multimillennial timescales</w:t>
      </w:r>
      <w:r w:rsidR="003B5F81">
        <w:t xml:space="preserve">. </w:t>
      </w:r>
      <w:r w:rsidR="00557287" w:rsidRPr="00557287">
        <w:t xml:space="preserve">Importantly, it preserves the key characteristics of the emulated </w:t>
      </w:r>
      <w:r w:rsidR="009202C4">
        <w:t>simulator</w:t>
      </w:r>
      <w:r w:rsidR="00557287" w:rsidRPr="00557287">
        <w:t>, allowing for computationally efficient yet physically consistent simulations.</w:t>
      </w:r>
    </w:p>
    <w:p w14:paraId="67197FC0" w14:textId="77777777" w:rsidR="00D97550" w:rsidRDefault="00D97550"/>
    <w:p w14:paraId="0AE254A6" w14:textId="43FB4345" w:rsidR="009754B7" w:rsidRPr="00E57510" w:rsidRDefault="003B45A8" w:rsidP="009754B7">
      <w:r w:rsidRPr="00ED1C28">
        <w:t xml:space="preserve">Therefore, this study seeks to address the following objective of developing an AMOC emulator with two forcing parameters — temperature and freshwater flux — that can be calibrated against hysteresis </w:t>
      </w:r>
      <w:r w:rsidRPr="00ED1C28">
        <w:lastRenderedPageBreak/>
        <w:t xml:space="preserve">from </w:t>
      </w:r>
      <w:r w:rsidR="009202C4">
        <w:t xml:space="preserve">simulators </w:t>
      </w:r>
      <w:r w:rsidRPr="00ED1C28">
        <w:t>and integrated into a climate model.</w:t>
      </w:r>
      <w:r w:rsidR="00606DC3">
        <w:t xml:space="preserve"> </w:t>
      </w:r>
      <w:r w:rsidR="00606DC3" w:rsidRPr="00606DC3">
        <w:t xml:space="preserve">To assess the emulator’s performance, we consider three key criteria: (i) its ability to correctly predict whether a collapse occurs in the target </w:t>
      </w:r>
      <w:r w:rsidR="009202C4">
        <w:t>simulator</w:t>
      </w:r>
      <w:r w:rsidR="00606DC3" w:rsidRPr="00606DC3">
        <w:t xml:space="preserve">, (ii) its ability to reproduce the timing of such a collapse, and (iii) its skill in predicting an AMOC collapse under the combined influence of temperature and freshwater flux, as represented in the </w:t>
      </w:r>
      <w:r w:rsidR="009202C4">
        <w:t>simulator</w:t>
      </w:r>
      <w:r w:rsidR="00606DC3" w:rsidRPr="00606DC3">
        <w:t>.</w:t>
      </w:r>
      <w:r w:rsidR="00921660" w:rsidRPr="00664D7A">
        <w:t xml:space="preserve"> </w:t>
      </w:r>
      <w:r w:rsidR="00B84193" w:rsidRPr="00664D7A">
        <w:t xml:space="preserve">The paper is structured as follows. </w:t>
      </w:r>
      <w:r w:rsidR="00B84193">
        <w:t>In Section 2, we introduce the AMOC Tipping Calibration M</w:t>
      </w:r>
      <w:r w:rsidR="00E6628C">
        <w:t>odule</w:t>
      </w:r>
      <w:r w:rsidR="00B84193">
        <w:t xml:space="preserve"> (ATCM), a simplified nonlinear dynamical model based on the double-fold bifurcation structure with two forcing parameters: temperature anomaly and freshwater flux. We also describe the calibration module used to fit the double-fold structure to any hysteresis curve derived from a </w:t>
      </w:r>
      <w:r w:rsidR="009202C4">
        <w:t>simulator</w:t>
      </w:r>
      <w:r w:rsidR="00B84193">
        <w:t xml:space="preserve">. This novel module is based on the assumption of independent forcing calibration experiments, which allows for a generalization of the method by Martinez Monteiro et al. </w:t>
      </w:r>
      <w:r w:rsidR="00B84193">
        <w:fldChar w:fldCharType="begin"/>
      </w:r>
      <w:r w:rsidR="008C6149">
        <w:instrText xml:space="preserve"> ADDIN ZOTERO_ITEM CSL_CITATION {"citationID":"QAaAdnlX","properties":{"formattedCitation":"(48)","plainCitation":"(48)","noteIndex":0},"citationItems":[{"id":444,"uris":["http://zotero.org/users/7129331/items/NUYTQ2VV"],"itemData":{"id":444,"type":"article-journal","abstract":"We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rsidR="00B84193">
        <w:fldChar w:fldCharType="separate"/>
      </w:r>
      <w:r w:rsidR="008C6149" w:rsidRPr="008C6149">
        <w:t>(48)</w:t>
      </w:r>
      <w:r w:rsidR="00B84193">
        <w:fldChar w:fldCharType="end"/>
      </w:r>
      <w:r w:rsidR="0087267D">
        <w:t xml:space="preserve">. </w:t>
      </w:r>
      <w:r w:rsidR="00B84193">
        <w:t xml:space="preserve">In Section 3, we apply this calibration process to </w:t>
      </w:r>
      <w:r w:rsidR="007D15C1">
        <w:t>cGENIE</w:t>
      </w:r>
      <w:r w:rsidR="00B84193">
        <w:t xml:space="preserve">, an EMIC, using </w:t>
      </w:r>
      <w:r w:rsidR="00070D2B">
        <w:t>three</w:t>
      </w:r>
      <w:r w:rsidR="00B84193">
        <w:t xml:space="preserve"> calibration experiments. </w:t>
      </w:r>
      <w:r w:rsidR="00716E73" w:rsidRPr="00716E73">
        <w:t>We then validate the ATCM as an emulator by comparing its results with those from four additional cGENIE experiments.</w:t>
      </w:r>
      <w:r w:rsidR="00716E73">
        <w:t xml:space="preserve"> </w:t>
      </w:r>
      <w:r w:rsidR="00B84193">
        <w:t xml:space="preserve">Subsequently, we integrate the ATCM into the SURFER climate model, creating a new configuration that provides a calibrated emulator of the AMOC within a fast climate model. </w:t>
      </w:r>
      <w:r w:rsidR="004932A0" w:rsidRPr="004932A0">
        <w:t xml:space="preserve">This tool facilitates further investigation of the potential collapse dynamics of the AMOC under realistic emission scenarios. It also allows </w:t>
      </w:r>
      <w:r w:rsidR="00227F42">
        <w:t>an</w:t>
      </w:r>
      <w:r w:rsidR="004932A0" w:rsidRPr="004932A0">
        <w:t xml:space="preserve"> assessment of the linear critical manifold of the </w:t>
      </w:r>
      <w:r w:rsidR="00FD6E81">
        <w:t>simulator</w:t>
      </w:r>
      <w:r w:rsidR="004932A0" w:rsidRPr="004932A0">
        <w:t>.</w:t>
      </w:r>
      <w:r w:rsidR="004932A0">
        <w:t xml:space="preserve"> </w:t>
      </w:r>
      <w:r w:rsidR="004932A0" w:rsidRPr="004932A0">
        <w:t>Section 4 presents our key findings</w:t>
      </w:r>
      <w:r w:rsidR="004932A0">
        <w:t xml:space="preserve"> and</w:t>
      </w:r>
      <w:r w:rsidR="004932A0" w:rsidRPr="004932A0">
        <w:t xml:space="preserve"> discusses the limitations of our approach</w:t>
      </w:r>
      <w:r w:rsidR="004932A0">
        <w:t>.</w:t>
      </w:r>
      <w:r w:rsidR="004932A0" w:rsidRPr="00ED1C28">
        <w:t xml:space="preserve"> Additionally, the section outlines how </w:t>
      </w:r>
      <w:r w:rsidR="00D45342">
        <w:t>our methods</w:t>
      </w:r>
      <w:r w:rsidR="004932A0" w:rsidRPr="00ED1C28">
        <w:t xml:space="preserve"> can be applied to emulate other tipping elements, as well as to couple the impact of an AMOC collapse on GIS dynamics, thereby enabling a tipping cascade emulator. </w:t>
      </w:r>
      <w:r w:rsidR="00D45342">
        <w:t>W</w:t>
      </w:r>
      <w:r w:rsidR="004932A0" w:rsidRPr="00ED1C28">
        <w:t>e present our conclusions in Section 5.</w:t>
      </w:r>
    </w:p>
    <w:p w14:paraId="39B046CC" w14:textId="77777777" w:rsidR="004B201E" w:rsidRDefault="004B201E" w:rsidP="00687A1A"/>
    <w:p w14:paraId="49FEE242" w14:textId="6F7BD6C4" w:rsidR="0018377A" w:rsidRDefault="00B84193">
      <w:pPr>
        <w:pStyle w:val="Heading1"/>
      </w:pPr>
      <w:r>
        <w:t>2. Methods</w:t>
      </w:r>
    </w:p>
    <w:p w14:paraId="5EF3FE60" w14:textId="77777777" w:rsidR="004A0F21" w:rsidRDefault="004A0F21" w:rsidP="00687A1A"/>
    <w:p w14:paraId="2C31673E" w14:textId="23BFBEEE" w:rsidR="0018377A" w:rsidRPr="00921E97" w:rsidRDefault="0018377A" w:rsidP="0018377A">
      <w:r>
        <w:t>We introduce the AMOC Tipping Calibration Module (ATCM), an emulator designed to represent the</w:t>
      </w:r>
      <w:r w:rsidR="00A304AE">
        <w:t xml:space="preserve"> </w:t>
      </w:r>
      <w:r w:rsidR="008F5A27" w:rsidRPr="008F5A27">
        <w:t xml:space="preserve"> tipping dynamics of the AMOC under two forcing parameters</w:t>
      </w:r>
      <w:r w:rsidR="00A304AE">
        <w:t xml:space="preserve">. </w:t>
      </w:r>
      <w:r>
        <w:t xml:space="preserve">The key feature of this emulator is its ability to calibrate simplified AMOC dynamics to match any hysteresis curve derived from a more complex, process-based model. We detail the equations that define the model and describe the methodology used for its calibration. </w:t>
      </w:r>
      <w:r w:rsidR="00E95D6C" w:rsidRPr="00E95D6C">
        <w:t>The AMOC model is based on the normal form of a double-fold bifurcation, which has been demonstrated in previous studies to be effective in modelling the tipping element behaviour of the AMOC</w:t>
      </w:r>
      <w:r w:rsidR="00392AAC">
        <w:t xml:space="preserve"> </w:t>
      </w:r>
      <w:r w:rsidR="00392AAC">
        <w:fldChar w:fldCharType="begin"/>
      </w:r>
      <w:r w:rsidR="007F2E43">
        <w:instrText xml:space="preserve"> ADDIN ZOTERO_ITEM CSL_CITATION {"citationID":"0mstQJw0","properties":{"formattedCitation":"(40,42)","plainCitation":"(40,42)","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id":2415,"uris":["http://zotero.org/users/7129331/items/H6ECF6ZA"],"itemData":{"id":2415,"type":"article-journal","abstract":"With progressing global warming, there is an increased risk that one or several tipping elements in the climate system might cross a critical threshold, resulting in severe consequences for the global climate, ecosystems and human societies. While the underlying processes are fairly well-understood, it is unclear how their interactions might impact the overall stability of the Earth's climate system. As of yet, this cannot be fully analysed with state-of-the-art Earth system models due to computational constraints as well as some missing and uncertain process representations of certain tipping elements. Here, we explicitly study the effects of known physical interactions among the Greenland and West Antarctic ice sheets, the Atlantic Meridional Overturning Circulation (AMOC) and the Amazon rainforest using a conceptual network approach. We analyse the risk of domino effects being triggered by each of the individual tipping elements under global warming in equilibrium experiments. In these experiments, we propagate the uncertainties in critical temperature thresholds, interaction strengths and interaction structure via large ensembles of simulations in a Monte Carlo approach. Overall, we find that the interactions tend to destabilise the network of tipping elements. Furthermore, our analysis reveals the qualitative role of each of the four tipping elements within the network, showing that the polar ice sheets on Greenland and West Antarctica are oftentimes the initiators of tipping cascades, while the AMOC acts as a mediator transmitting cascades. This indicates that the ice sheets, which are already at risk of transgressing their temperature thresholds within the Paris range of 1.5 to 2 ∘C, are of particular importance for the stability of the climate system as a whole.","container-title":"Earth System Dynamics","DOI":"10.5194/esd-12-601-2021","ISSN":"2190-4979","issue":"2","language":"English","note":"publisher: Copernicus GmbH","page":"601-619","source":"Copernicus Online Journals","title":"Interacting tipping elements increase risk of climate domino effects under global warming","volume":"12","author":[{"family":"Wunderling","given":"Nico"},{"family":"Donges","given":"Jonathan F."},{"family":"Kurths","given":"Jürgen"},{"family":"Winkelmann","given":"Ricarda"}],"issued":{"date-parts":[["2021",6,3]]}}}],"schema":"https://github.com/citation-style-language/schema/raw/master/csl-citation.json"} </w:instrText>
      </w:r>
      <w:r w:rsidR="00392AAC">
        <w:fldChar w:fldCharType="separate"/>
      </w:r>
      <w:r w:rsidR="007F2E43" w:rsidRPr="007F2E43">
        <w:t>(40,42)</w:t>
      </w:r>
      <w:r w:rsidR="00392AAC">
        <w:fldChar w:fldCharType="end"/>
      </w:r>
      <w:r w:rsidR="00E95D6C" w:rsidRPr="00E95D6C">
        <w:t xml:space="preserve">. The calibration technique </w:t>
      </w:r>
      <w:r w:rsidR="00B80EE8">
        <w:t>is buil</w:t>
      </w:r>
      <w:r w:rsidR="004054E0">
        <w:t>t</w:t>
      </w:r>
      <w:r w:rsidR="00B80EE8" w:rsidRPr="00E95D6C">
        <w:t xml:space="preserve"> </w:t>
      </w:r>
      <w:r w:rsidR="00E95D6C" w:rsidRPr="00E95D6C">
        <w:t xml:space="preserve">upon the ice sheet emulator implemented in SURFER v2.0 </w:t>
      </w:r>
      <w:r w:rsidR="00D14AE7">
        <w:fldChar w:fldCharType="begin"/>
      </w:r>
      <w:r w:rsidR="008C6149">
        <w:instrText xml:space="preserve"> ADDIN ZOTERO_ITEM CSL_CITATION {"citationID":"CnmWiiZE","properties":{"formattedCitation":"(48)","plainCitation":"(48)","noteIndex":0},"citationItems":[{"id":444,"uris":["http://zotero.org/users/7129331/items/NUYTQ2VV"],"itemData":{"id":444,"type":"article-journal","abstract":"We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rsidR="00D14AE7">
        <w:fldChar w:fldCharType="separate"/>
      </w:r>
      <w:r w:rsidR="008C6149" w:rsidRPr="008C6149">
        <w:t>(48)</w:t>
      </w:r>
      <w:r w:rsidR="00D14AE7">
        <w:fldChar w:fldCharType="end"/>
      </w:r>
      <w:r w:rsidR="00443D4A">
        <w:t xml:space="preserve"> and</w:t>
      </w:r>
      <w:r w:rsidR="00E95D6C" w:rsidRPr="00E95D6C">
        <w:t xml:space="preserve"> incorporat</w:t>
      </w:r>
      <w:r w:rsidR="00443D4A">
        <w:t>es</w:t>
      </w:r>
      <w:r w:rsidR="00E95D6C" w:rsidRPr="00E95D6C">
        <w:t xml:space="preserve"> the assumption of independent forcing in the calibration experiments.</w:t>
      </w:r>
      <w:r w:rsidR="00E95D6C">
        <w:t xml:space="preserve"> </w:t>
      </w:r>
      <w:r>
        <w:t>Subsequently, in the results section, the ATCM is calibrated on the cGENIE model, enabling it to act as an emulator for the AMOC.</w:t>
      </w:r>
    </w:p>
    <w:p w14:paraId="260055E2" w14:textId="77777777" w:rsidR="0018377A" w:rsidRDefault="0018377A" w:rsidP="0018377A"/>
    <w:p w14:paraId="53128936" w14:textId="19AB7F2E" w:rsidR="004B201E" w:rsidRDefault="00462AA1" w:rsidP="00DA1983">
      <w:pPr>
        <w:jc w:val="center"/>
      </w:pPr>
      <w:r>
        <w:rPr>
          <w:noProof/>
        </w:rPr>
        <w:drawing>
          <wp:inline distT="0" distB="0" distL="0" distR="0" wp14:anchorId="633AC021" wp14:editId="3204FECE">
            <wp:extent cx="4919808" cy="2767331"/>
            <wp:effectExtent l="0" t="0" r="0" b="0"/>
            <wp:docPr id="1036355939" name="Picture 2" descr="A diagram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55939" name="Picture 2" descr="A diagram of mathematical equation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639" cy="2797610"/>
                    </a:xfrm>
                    <a:prstGeom prst="rect">
                      <a:avLst/>
                    </a:prstGeom>
                  </pic:spPr>
                </pic:pic>
              </a:graphicData>
            </a:graphic>
          </wp:inline>
        </w:drawing>
      </w:r>
    </w:p>
    <w:p w14:paraId="621C1F50" w14:textId="5F8EFFFB" w:rsidR="00F9416A" w:rsidRDefault="00B84193" w:rsidP="009E473E">
      <w:pPr>
        <w:pStyle w:val="BodyText"/>
      </w:pPr>
      <w:r>
        <w:rPr>
          <w:b/>
          <w:bCs/>
        </w:rPr>
        <w:t>Figure 1 :</w:t>
      </w:r>
      <w:r>
        <w:t xml:space="preserve"> </w:t>
      </w:r>
      <w:r>
        <w:rPr>
          <w:b/>
          <w:bCs/>
        </w:rPr>
        <w:t>Schematic of the AMOC Tipping Calibration Module (ATCM</w:t>
      </w:r>
      <w:r w:rsidRPr="43E505DD">
        <w:rPr>
          <w:b/>
          <w:bCs/>
        </w:rPr>
        <w:t>).</w:t>
      </w:r>
      <w:r>
        <w:t xml:space="preserve"> The module requires input in the form of bifurcation coordinates derived from complex experiments. </w:t>
      </w:r>
      <w:r w:rsidR="00791F15">
        <w:t>T</w:t>
      </w:r>
      <w:r>
        <w:t>hese coordinates are used to adjust the calibration coefficients within the simplified tipping element model.</w:t>
      </w:r>
    </w:p>
    <w:p w14:paraId="509BEBAD" w14:textId="4B62095C" w:rsidR="004B201E" w:rsidRDefault="00B84193">
      <w:pPr>
        <w:pStyle w:val="BodyText"/>
        <w:rPr>
          <w:rFonts w:ascii="Arial" w:eastAsia="Arial" w:hAnsi="Arial" w:cs="Arial"/>
          <w:b/>
          <w:sz w:val="24"/>
          <w:szCs w:val="28"/>
        </w:rPr>
      </w:pPr>
      <w:r>
        <w:rPr>
          <w:rFonts w:ascii="Arial" w:eastAsia="Arial" w:hAnsi="Arial" w:cs="Arial"/>
          <w:b/>
          <w:sz w:val="24"/>
          <w:szCs w:val="28"/>
        </w:rPr>
        <w:t>2.1 AMOC Dynamical Model</w:t>
      </w:r>
    </w:p>
    <w:p w14:paraId="08AD1AD3" w14:textId="77777777" w:rsidR="004B201E" w:rsidRDefault="004B201E">
      <w:pPr>
        <w:pStyle w:val="BodyText"/>
        <w:rPr>
          <w:rFonts w:ascii="Arial" w:eastAsia="Arial" w:hAnsi="Arial" w:cs="Arial"/>
          <w:b/>
          <w:sz w:val="24"/>
          <w:szCs w:val="28"/>
        </w:rPr>
      </w:pPr>
    </w:p>
    <w:p w14:paraId="5714055A" w14:textId="5C3E003E" w:rsidR="00A40568" w:rsidRDefault="009B7623" w:rsidP="00A40568">
      <w:r w:rsidRPr="009B7623">
        <w:lastRenderedPageBreak/>
        <w:t>The overall scheme of the ATCM is depicted in Fig</w:t>
      </w:r>
      <w:r w:rsidR="008E7ECB">
        <w:t xml:space="preserve">ure </w:t>
      </w:r>
      <w:r w:rsidRPr="009B7623">
        <w:t xml:space="preserve">1. </w:t>
      </w:r>
      <w:r w:rsidR="00B84193">
        <w:t xml:space="preserve">The non linear ordinary differential equation that describes the AMOC intensity </w:t>
      </w:r>
      <w:r w:rsidR="00AB1AD3">
        <w:t>is given by</w:t>
      </w:r>
      <w:r w:rsidR="00B84193">
        <w:t>,</w:t>
      </w:r>
    </w:p>
    <w:p w14:paraId="1FFCC2F3" w14:textId="77777777" w:rsidR="00A40568" w:rsidRDefault="00A40568" w:rsidP="00A40568"/>
    <w:tbl>
      <w:tblPr>
        <w:tblStyle w:val="TableGrid"/>
        <w:tblW w:w="10485" w:type="dxa"/>
        <w:jc w:val="center"/>
        <w:tblLook w:val="04A0" w:firstRow="1" w:lastRow="0" w:firstColumn="1" w:lastColumn="0" w:noHBand="0" w:noVBand="1"/>
      </w:tblPr>
      <w:tblGrid>
        <w:gridCol w:w="9964"/>
        <w:gridCol w:w="521"/>
      </w:tblGrid>
      <w:tr w:rsidR="009B3381" w14:paraId="6B77EEA8" w14:textId="77777777" w:rsidTr="00A60A5A">
        <w:trPr>
          <w:trHeight w:val="767"/>
          <w:jc w:val="center"/>
        </w:trPr>
        <w:tc>
          <w:tcPr>
            <w:tcW w:w="4752" w:type="pct"/>
            <w:tcBorders>
              <w:top w:val="nil"/>
              <w:left w:val="nil"/>
              <w:bottom w:val="nil"/>
              <w:right w:val="nil"/>
            </w:tcBorders>
          </w:tcPr>
          <w:p w14:paraId="056EF4A3" w14:textId="77777777" w:rsidR="000B3F37" w:rsidRDefault="00000000" w:rsidP="00212088">
            <w:pPr>
              <w:pStyle w:val="Heading1"/>
              <w:rPr>
                <w:rFonts w:ascii="Cambria" w:eastAsia="Cambria" w:hAnsi="Cambria" w:cs="Cambria"/>
                <w:color w:val="auto"/>
                <w:sz w:val="22"/>
                <w:szCs w:val="22"/>
                <w:lang w:val="fr-BE"/>
              </w:rPr>
            </w:pPr>
            <m:oMathPara>
              <m:oMath>
                <m:f>
                  <m:fPr>
                    <m:ctrlPr>
                      <w:rPr>
                        <w:rFonts w:ascii="Cambria Math" w:eastAsia="Cambria" w:hAnsi="Cambria Math" w:cs="Cambria"/>
                        <w:color w:val="auto"/>
                        <w:sz w:val="22"/>
                        <w:szCs w:val="22"/>
                      </w:rPr>
                    </m:ctrlPr>
                  </m:fPr>
                  <m:num>
                    <m:r>
                      <m:rPr>
                        <m:sty m:val="bi"/>
                      </m:rPr>
                      <w:rPr>
                        <w:rFonts w:ascii="Cambria Math" w:eastAsia="Cambria" w:hAnsi="Cambria Math" w:cs="Cambria"/>
                        <w:color w:val="auto"/>
                        <w:sz w:val="22"/>
                        <w:szCs w:val="22"/>
                      </w:rPr>
                      <m:t>d</m:t>
                    </m:r>
                    <m:r>
                      <m:rPr>
                        <m:sty m:val="b"/>
                      </m:rPr>
                      <w:rPr>
                        <w:rFonts w:ascii="Cambria Math" w:eastAsia="Cambria" w:hAnsi="Cambria Math" w:cs="Cambria"/>
                        <w:color w:val="auto"/>
                        <w:sz w:val="22"/>
                        <w:szCs w:val="22"/>
                      </w:rPr>
                      <m:t>Ψ</m:t>
                    </m:r>
                    <m:ctrlPr>
                      <w:rPr>
                        <w:rFonts w:ascii="Cambria Math" w:eastAsia="Cambria" w:hAnsi="Cambria Math" w:cs="Cambria"/>
                        <w:i/>
                        <w:color w:val="auto"/>
                        <w:sz w:val="22"/>
                        <w:szCs w:val="22"/>
                      </w:rPr>
                    </m:ctrlPr>
                  </m:num>
                  <m:den>
                    <m:r>
                      <m:rPr>
                        <m:sty m:val="bi"/>
                      </m:rPr>
                      <w:rPr>
                        <w:rFonts w:ascii="Cambria Math" w:eastAsia="Cambria" w:hAnsi="Cambria Math" w:cs="Cambria"/>
                        <w:color w:val="auto"/>
                        <w:sz w:val="22"/>
                        <w:szCs w:val="22"/>
                      </w:rPr>
                      <m:t>dt</m:t>
                    </m:r>
                    <m:ctrlPr>
                      <w:rPr>
                        <w:rFonts w:ascii="Cambria Math" w:eastAsia="Cambria" w:hAnsi="Cambria Math" w:cs="Cambria"/>
                        <w:i/>
                        <w:color w:val="auto"/>
                        <w:sz w:val="22"/>
                        <w:szCs w:val="22"/>
                      </w:rPr>
                    </m:ctrlPr>
                  </m:den>
                </m:f>
                <m:d>
                  <m:dPr>
                    <m:ctrlPr>
                      <w:rPr>
                        <w:rFonts w:ascii="Cambria Math" w:eastAsia="Cambria" w:hAnsi="Cambria Math" w:cs="Cambria"/>
                        <w:i/>
                        <w:color w:val="auto"/>
                        <w:sz w:val="22"/>
                        <w:szCs w:val="22"/>
                      </w:rPr>
                    </m:ctrlPr>
                  </m:dPr>
                  <m:e>
                    <m:r>
                      <m:rPr>
                        <m:sty m:val="b"/>
                      </m:rPr>
                      <w:rPr>
                        <w:rFonts w:ascii="Cambria Math" w:eastAsia="Cambria" w:hAnsi="Cambria Math" w:cs="Cambria"/>
                        <w:color w:val="auto"/>
                        <w:sz w:val="22"/>
                        <w:szCs w:val="22"/>
                      </w:rPr>
                      <m:t>Ψ</m:t>
                    </m:r>
                    <m:r>
                      <m:rPr>
                        <m:sty m:val="bi"/>
                      </m:rPr>
                      <w:rPr>
                        <w:rFonts w:ascii="Cambria Math" w:eastAsia="Cambria" w:hAnsi="Cambria Math" w:cs="Cambria"/>
                        <w:color w:val="auto"/>
                        <w:sz w:val="22"/>
                        <w:szCs w:val="22"/>
                        <w:lang w:val="fr-BE"/>
                      </w:rPr>
                      <m:t>,</m:t>
                    </m:r>
                    <m:r>
                      <m:rPr>
                        <m:sty m:val="bi"/>
                      </m:rPr>
                      <w:rPr>
                        <w:rFonts w:ascii="Cambria Math" w:eastAsia="Cambria" w:hAnsi="Cambria Math" w:cs="Cambria"/>
                        <w:color w:val="auto"/>
                        <w:sz w:val="22"/>
                        <w:szCs w:val="22"/>
                      </w:rPr>
                      <m:t>T</m:t>
                    </m:r>
                    <m:r>
                      <m:rPr>
                        <m:sty m:val="bi"/>
                      </m:rPr>
                      <w:rPr>
                        <w:rFonts w:ascii="Cambria Math" w:eastAsia="Cambria" w:hAnsi="Cambria Math" w:cs="Cambria"/>
                        <w:color w:val="auto"/>
                        <w:sz w:val="22"/>
                        <w:szCs w:val="22"/>
                        <w:lang w:val="fr-BE"/>
                      </w:rPr>
                      <m:t>,</m:t>
                    </m:r>
                    <m:sSub>
                      <m:sSubPr>
                        <m:ctrlPr>
                          <w:rPr>
                            <w:rFonts w:ascii="Cambria Math" w:eastAsia="Cambria" w:hAnsi="Cambria Math" w:cs="Cambria"/>
                            <w:i/>
                            <w:color w:val="auto"/>
                            <w:sz w:val="22"/>
                            <w:szCs w:val="22"/>
                          </w:rPr>
                        </m:ctrlPr>
                      </m:sSubPr>
                      <m:e>
                        <m:r>
                          <m:rPr>
                            <m:sty m:val="bi"/>
                          </m:rPr>
                          <w:rPr>
                            <w:rFonts w:ascii="Cambria Math" w:eastAsia="Cambria" w:hAnsi="Cambria Math" w:cs="Cambria"/>
                            <w:color w:val="auto"/>
                            <w:sz w:val="22"/>
                            <w:szCs w:val="22"/>
                          </w:rPr>
                          <m:t>F</m:t>
                        </m:r>
                      </m:e>
                      <m:sub>
                        <m:r>
                          <m:rPr>
                            <m:sty m:val="bi"/>
                          </m:rPr>
                          <w:rPr>
                            <w:rFonts w:ascii="Cambria Math" w:eastAsia="Cambria" w:hAnsi="Cambria Math" w:cs="Cambria"/>
                            <w:color w:val="auto"/>
                            <w:sz w:val="22"/>
                            <w:szCs w:val="22"/>
                          </w:rPr>
                          <m:t>GIS</m:t>
                        </m:r>
                      </m:sub>
                    </m:sSub>
                  </m:e>
                </m:d>
                <m:r>
                  <m:rPr>
                    <m:sty m:val="bi"/>
                  </m:rPr>
                  <w:rPr>
                    <w:rFonts w:ascii="Cambria Math" w:eastAsia="Cambria" w:hAnsi="Cambria Math" w:cs="Cambria"/>
                    <w:color w:val="auto"/>
                    <w:sz w:val="22"/>
                    <w:szCs w:val="22"/>
                    <w:lang w:val="fr-BE"/>
                  </w:rPr>
                  <m:t>=</m:t>
                </m:r>
                <m:d>
                  <m:dPr>
                    <m:ctrlPr>
                      <w:rPr>
                        <w:rFonts w:ascii="Cambria Math" w:eastAsia="Cambria" w:hAnsi="Cambria Math" w:cs="Cambria"/>
                        <w:i/>
                        <w:color w:val="auto"/>
                        <w:sz w:val="22"/>
                        <w:szCs w:val="22"/>
                      </w:rPr>
                    </m:ctrlPr>
                  </m:dPr>
                  <m:e>
                    <m:limUpp>
                      <m:limUppPr>
                        <m:ctrlPr>
                          <w:rPr>
                            <w:rFonts w:ascii="Cambria Math" w:eastAsia="Cambria" w:hAnsi="Cambria Math" w:cs="Cambria"/>
                            <w:i/>
                            <w:color w:val="auto"/>
                            <w:sz w:val="22"/>
                            <w:szCs w:val="22"/>
                          </w:rPr>
                        </m:ctrlPr>
                      </m:limUppPr>
                      <m:e>
                        <m:groupChr>
                          <m:groupChrPr>
                            <m:chr m:val="⏞"/>
                            <m:pos m:val="top"/>
                            <m:vertJc m:val="bot"/>
                            <m:ctrlPr>
                              <w:rPr>
                                <w:rFonts w:ascii="Cambria Math" w:eastAsia="Cambria" w:hAnsi="Cambria Math" w:cs="Cambria"/>
                                <w:color w:val="auto"/>
                                <w:sz w:val="22"/>
                                <w:szCs w:val="22"/>
                              </w:rPr>
                            </m:ctrlPr>
                          </m:groupChrPr>
                          <m:e>
                            <m:r>
                              <m:rPr>
                                <m:sty m:val="bi"/>
                              </m:rPr>
                              <w:rPr>
                                <w:rFonts w:ascii="Cambria Math" w:eastAsia="Cambria" w:hAnsi="Cambria Math" w:cs="Cambria"/>
                                <w:color w:val="auto"/>
                                <w:sz w:val="22"/>
                                <w:szCs w:val="22"/>
                                <w:lang w:val="fr-BE"/>
                              </w:rPr>
                              <m:t>-</m:t>
                            </m:r>
                            <m:sSup>
                              <m:sSupPr>
                                <m:ctrlPr>
                                  <w:rPr>
                                    <w:rFonts w:ascii="Cambria Math" w:eastAsia="Cambria" w:hAnsi="Cambria Math" w:cs="Cambria"/>
                                    <w:i/>
                                    <w:color w:val="auto"/>
                                    <w:sz w:val="22"/>
                                    <w:szCs w:val="22"/>
                                  </w:rPr>
                                </m:ctrlPr>
                              </m:sSupPr>
                              <m:e>
                                <m:r>
                                  <m:rPr>
                                    <m:sty m:val="b"/>
                                  </m:rPr>
                                  <w:rPr>
                                    <w:rFonts w:ascii="Cambria Math" w:eastAsia="Cambria" w:hAnsi="Cambria Math" w:cs="Cambria"/>
                                    <w:color w:val="auto"/>
                                    <w:sz w:val="22"/>
                                    <w:szCs w:val="22"/>
                                  </w:rPr>
                                  <m:t>Ψ</m:t>
                                </m:r>
                              </m:e>
                              <m:sup>
                                <m:r>
                                  <m:rPr>
                                    <m:sty m:val="bi"/>
                                  </m:rPr>
                                  <w:rPr>
                                    <w:rFonts w:ascii="Cambria Math" w:eastAsia="Cambria" w:hAnsi="Cambria Math" w:cs="Cambria"/>
                                    <w:color w:val="auto"/>
                                    <w:sz w:val="22"/>
                                    <w:szCs w:val="22"/>
                                  </w:rPr>
                                  <m:t>3</m:t>
                                </m:r>
                              </m:sup>
                            </m:sSup>
                            <m:r>
                              <m:rPr>
                                <m:sty m:val="bi"/>
                              </m:rPr>
                              <w:rPr>
                                <w:rFonts w:ascii="Cambria Math" w:eastAsia="Cambria" w:hAnsi="Cambria Math" w:cs="Cambria"/>
                                <w:color w:val="auto"/>
                                <w:sz w:val="22"/>
                                <w:szCs w:val="22"/>
                                <w:lang w:val="fr-BE"/>
                              </w:rPr>
                              <m:t>+</m:t>
                            </m:r>
                            <m:sSub>
                              <m:sSubPr>
                                <m:ctrlPr>
                                  <w:rPr>
                                    <w:rFonts w:ascii="Cambria Math" w:eastAsia="Cambria" w:hAnsi="Cambria Math" w:cs="Cambria"/>
                                    <w:i/>
                                    <w:color w:val="auto"/>
                                    <w:sz w:val="22"/>
                                    <w:szCs w:val="22"/>
                                  </w:rPr>
                                </m:ctrlPr>
                              </m:sSubPr>
                              <m:e>
                                <m:r>
                                  <m:rPr>
                                    <m:sty m:val="bi"/>
                                  </m:rPr>
                                  <w:rPr>
                                    <w:rFonts w:ascii="Cambria Math" w:eastAsia="Cambria" w:hAnsi="Cambria Math" w:cs="Cambria"/>
                                    <w:color w:val="auto"/>
                                    <w:sz w:val="22"/>
                                    <w:szCs w:val="22"/>
                                  </w:rPr>
                                  <m:t>a</m:t>
                                </m:r>
                              </m:e>
                              <m:sub>
                                <m:r>
                                  <m:rPr>
                                    <m:sty m:val="bi"/>
                                  </m:rPr>
                                  <w:rPr>
                                    <w:rFonts w:ascii="Cambria Math" w:eastAsia="Cambria" w:hAnsi="Cambria Math" w:cs="Cambria"/>
                                    <w:color w:val="auto"/>
                                    <w:sz w:val="22"/>
                                    <w:szCs w:val="22"/>
                                  </w:rPr>
                                  <m:t>1</m:t>
                                </m:r>
                              </m:sub>
                            </m:sSub>
                            <m:sSup>
                              <m:sSupPr>
                                <m:ctrlPr>
                                  <w:rPr>
                                    <w:rFonts w:ascii="Cambria Math" w:eastAsia="Cambria" w:hAnsi="Cambria Math" w:cs="Cambria"/>
                                    <w:i/>
                                    <w:color w:val="auto"/>
                                    <w:sz w:val="22"/>
                                    <w:szCs w:val="22"/>
                                  </w:rPr>
                                </m:ctrlPr>
                              </m:sSupPr>
                              <m:e>
                                <m:r>
                                  <m:rPr>
                                    <m:sty m:val="b"/>
                                  </m:rPr>
                                  <w:rPr>
                                    <w:rFonts w:ascii="Cambria Math" w:eastAsia="Cambria" w:hAnsi="Cambria Math" w:cs="Cambria"/>
                                    <w:color w:val="auto"/>
                                    <w:sz w:val="22"/>
                                    <w:szCs w:val="22"/>
                                  </w:rPr>
                                  <m:t>Ψ</m:t>
                                </m:r>
                                <m:ctrlPr>
                                  <w:rPr>
                                    <w:rFonts w:ascii="Cambria Math" w:eastAsia="Cambria" w:hAnsi="Cambria Math" w:cs="Cambria"/>
                                    <w:color w:val="auto"/>
                                    <w:sz w:val="22"/>
                                    <w:szCs w:val="22"/>
                                  </w:rPr>
                                </m:ctrlPr>
                              </m:e>
                              <m:sup>
                                <m:r>
                                  <m:rPr>
                                    <m:sty m:val="bi"/>
                                  </m:rPr>
                                  <w:rPr>
                                    <w:rFonts w:ascii="Cambria Math" w:eastAsia="Cambria" w:hAnsi="Cambria Math" w:cs="Cambria"/>
                                    <w:color w:val="auto"/>
                                    <w:sz w:val="22"/>
                                    <w:szCs w:val="22"/>
                                  </w:rPr>
                                  <m:t>2</m:t>
                                </m:r>
                              </m:sup>
                            </m:sSup>
                            <m:r>
                              <m:rPr>
                                <m:sty m:val="bi"/>
                              </m:rPr>
                              <w:rPr>
                                <w:rFonts w:ascii="Cambria Math" w:eastAsia="Cambria" w:hAnsi="Cambria Math" w:cs="Cambria"/>
                                <w:color w:val="auto"/>
                                <w:sz w:val="22"/>
                                <w:szCs w:val="22"/>
                                <w:lang w:val="fr-BE"/>
                              </w:rPr>
                              <m:t>+</m:t>
                            </m:r>
                            <m:sSub>
                              <m:sSubPr>
                                <m:ctrlPr>
                                  <w:rPr>
                                    <w:rFonts w:ascii="Cambria Math" w:eastAsia="Cambria" w:hAnsi="Cambria Math" w:cs="Cambria"/>
                                    <w:i/>
                                    <w:color w:val="auto"/>
                                    <w:sz w:val="22"/>
                                    <w:szCs w:val="22"/>
                                  </w:rPr>
                                </m:ctrlPr>
                              </m:sSubPr>
                              <m:e>
                                <m:r>
                                  <m:rPr>
                                    <m:sty m:val="bi"/>
                                  </m:rPr>
                                  <w:rPr>
                                    <w:rFonts w:ascii="Cambria Math" w:eastAsia="Cambria" w:hAnsi="Cambria Math" w:cs="Cambria"/>
                                    <w:color w:val="auto"/>
                                    <w:sz w:val="22"/>
                                    <w:szCs w:val="22"/>
                                  </w:rPr>
                                  <m:t>b</m:t>
                                </m:r>
                              </m:e>
                              <m:sub>
                                <m:r>
                                  <m:rPr>
                                    <m:sty m:val="bi"/>
                                  </m:rPr>
                                  <w:rPr>
                                    <w:rFonts w:ascii="Cambria Math" w:eastAsia="Cambria" w:hAnsi="Cambria Math" w:cs="Cambria"/>
                                    <w:color w:val="auto"/>
                                    <w:sz w:val="22"/>
                                    <w:szCs w:val="22"/>
                                  </w:rPr>
                                  <m:t>1</m:t>
                                </m:r>
                              </m:sub>
                            </m:sSub>
                            <m:r>
                              <m:rPr>
                                <m:sty m:val="b"/>
                              </m:rPr>
                              <w:rPr>
                                <w:rFonts w:ascii="Cambria Math" w:eastAsia="Cambria" w:hAnsi="Cambria Math" w:cs="Cambria"/>
                                <w:color w:val="auto"/>
                                <w:sz w:val="22"/>
                                <w:szCs w:val="22"/>
                              </w:rPr>
                              <m:t>Ψ</m:t>
                            </m:r>
                            <m:r>
                              <m:rPr>
                                <m:sty m:val="bi"/>
                              </m:rPr>
                              <w:rPr>
                                <w:rFonts w:ascii="Cambria Math" w:eastAsia="Cambria" w:hAnsi="Cambria Math" w:cs="Cambria"/>
                                <w:color w:val="auto"/>
                                <w:sz w:val="22"/>
                                <w:szCs w:val="22"/>
                                <w:lang w:val="fr-BE"/>
                              </w:rPr>
                              <m:t>+</m:t>
                            </m:r>
                            <m:sSub>
                              <m:sSubPr>
                                <m:ctrlPr>
                                  <w:rPr>
                                    <w:rFonts w:ascii="Cambria Math" w:eastAsia="Cambria" w:hAnsi="Cambria Math" w:cs="Cambria"/>
                                    <w:i/>
                                    <w:color w:val="auto"/>
                                    <w:sz w:val="22"/>
                                    <w:szCs w:val="22"/>
                                  </w:rPr>
                                </m:ctrlPr>
                              </m:sSubPr>
                              <m:e>
                                <m:r>
                                  <m:rPr>
                                    <m:sty m:val="bi"/>
                                  </m:rPr>
                                  <w:rPr>
                                    <w:rFonts w:ascii="Cambria Math" w:eastAsia="Cambria" w:hAnsi="Cambria Math" w:cs="Cambria"/>
                                    <w:color w:val="auto"/>
                                    <w:sz w:val="22"/>
                                    <w:szCs w:val="22"/>
                                  </w:rPr>
                                  <m:t>c</m:t>
                                </m:r>
                              </m:e>
                              <m:sub>
                                <m:r>
                                  <m:rPr>
                                    <m:sty m:val="bi"/>
                                  </m:rPr>
                                  <w:rPr>
                                    <w:rFonts w:ascii="Cambria Math" w:eastAsia="Cambria" w:hAnsi="Cambria Math" w:cs="Cambria"/>
                                    <w:color w:val="auto"/>
                                    <w:sz w:val="22"/>
                                    <w:szCs w:val="22"/>
                                  </w:rPr>
                                  <m:t>1</m:t>
                                </m:r>
                              </m:sub>
                            </m:sSub>
                          </m:e>
                        </m:groupChr>
                      </m:e>
                      <m:lim>
                        <m:r>
                          <m:rPr>
                            <m:nor/>
                          </m:rPr>
                          <w:rPr>
                            <w:rFonts w:ascii="Cambria Math" w:eastAsia="Cambria" w:hAnsi="Cambria Math" w:cs="Cambria"/>
                            <w:i/>
                            <w:iCs/>
                            <w:color w:val="548DD4" w:themeColor="text2" w:themeTint="99"/>
                            <w:sz w:val="24"/>
                            <w:szCs w:val="24"/>
                            <w:lang w:val="fr-BE"/>
                          </w:rPr>
                          <m:t>internal dynamics</m:t>
                        </m:r>
                      </m:lim>
                    </m:limUpp>
                    <m:r>
                      <m:rPr>
                        <m:sty m:val="bi"/>
                      </m:rPr>
                      <w:rPr>
                        <w:rFonts w:ascii="Cambria Math" w:eastAsia="Cambria" w:hAnsi="Cambria Math" w:cs="Cambria"/>
                        <w:color w:val="auto"/>
                        <w:sz w:val="22"/>
                        <w:szCs w:val="22"/>
                        <w:lang w:val="fr-BE"/>
                      </w:rPr>
                      <m:t>+</m:t>
                    </m:r>
                    <m:limLow>
                      <m:limLowPr>
                        <m:ctrlPr>
                          <w:rPr>
                            <w:rFonts w:ascii="Cambria Math" w:eastAsia="Cambria" w:hAnsi="Cambria Math" w:cs="Cambria"/>
                            <w:i/>
                            <w:color w:val="auto"/>
                            <w:sz w:val="22"/>
                            <w:szCs w:val="22"/>
                          </w:rPr>
                        </m:ctrlPr>
                      </m:limLowPr>
                      <m:e>
                        <m:groupChr>
                          <m:groupChrPr>
                            <m:ctrlPr>
                              <w:rPr>
                                <w:rFonts w:ascii="Cambria Math" w:eastAsia="Cambria" w:hAnsi="Cambria Math" w:cs="Cambria"/>
                                <w:color w:val="auto"/>
                                <w:sz w:val="22"/>
                                <w:szCs w:val="22"/>
                              </w:rPr>
                            </m:ctrlPr>
                          </m:groupChrPr>
                          <m:e>
                            <m:sSub>
                              <m:sSubPr>
                                <m:ctrlPr>
                                  <w:rPr>
                                    <w:rFonts w:ascii="Cambria Math" w:eastAsia="Cambria" w:hAnsi="Cambria Math" w:cs="Cambria"/>
                                    <w:i/>
                                    <w:color w:val="auto"/>
                                    <w:sz w:val="22"/>
                                    <w:szCs w:val="22"/>
                                  </w:rPr>
                                </m:ctrlPr>
                              </m:sSubPr>
                              <m:e>
                                <m:r>
                                  <m:rPr>
                                    <m:sty m:val="bi"/>
                                  </m:rPr>
                                  <w:rPr>
                                    <w:rFonts w:ascii="Cambria Math" w:eastAsia="Cambria" w:hAnsi="Cambria Math" w:cs="Cambria"/>
                                    <w:color w:val="auto"/>
                                    <w:sz w:val="22"/>
                                    <w:szCs w:val="22"/>
                                  </w:rPr>
                                  <m:t>d</m:t>
                                </m:r>
                              </m:e>
                              <m:sub>
                                <m:r>
                                  <m:rPr>
                                    <m:sty m:val="bi"/>
                                  </m:rPr>
                                  <w:rPr>
                                    <w:rFonts w:ascii="Cambria Math" w:eastAsia="Cambria" w:hAnsi="Cambria Math" w:cs="Cambria"/>
                                    <w:color w:val="auto"/>
                                    <w:sz w:val="22"/>
                                    <w:szCs w:val="22"/>
                                  </w:rPr>
                                  <m:t>1</m:t>
                                </m:r>
                              </m:sub>
                            </m:sSub>
                            <m:r>
                              <m:rPr>
                                <m:sty m:val="bi"/>
                              </m:rPr>
                              <w:rPr>
                                <w:rFonts w:ascii="Cambria Math" w:eastAsia="Cambria" w:hAnsi="Cambria Math" w:cs="Cambria"/>
                                <w:color w:val="auto"/>
                                <w:sz w:val="22"/>
                                <w:szCs w:val="22"/>
                              </w:rPr>
                              <m:t>T</m:t>
                            </m:r>
                            <m:r>
                              <m:rPr>
                                <m:sty m:val="bi"/>
                              </m:rPr>
                              <w:rPr>
                                <w:rFonts w:ascii="Cambria Math" w:eastAsia="Cambria" w:hAnsi="Cambria Math" w:cs="Cambria"/>
                                <w:color w:val="auto"/>
                                <w:sz w:val="22"/>
                                <w:szCs w:val="22"/>
                                <w:lang w:val="fr-BE"/>
                              </w:rPr>
                              <m:t>+</m:t>
                            </m:r>
                            <m:sSub>
                              <m:sSubPr>
                                <m:ctrlPr>
                                  <w:rPr>
                                    <w:rFonts w:ascii="Cambria Math" w:eastAsia="Cambria" w:hAnsi="Cambria Math" w:cs="Cambria"/>
                                    <w:i/>
                                    <w:color w:val="auto"/>
                                    <w:sz w:val="22"/>
                                    <w:szCs w:val="22"/>
                                  </w:rPr>
                                </m:ctrlPr>
                              </m:sSubPr>
                              <m:e>
                                <m:r>
                                  <m:rPr>
                                    <m:sty m:val="bi"/>
                                  </m:rPr>
                                  <w:rPr>
                                    <w:rFonts w:ascii="Cambria Math" w:eastAsia="Cambria" w:hAnsi="Cambria Math" w:cs="Cambria"/>
                                    <w:color w:val="auto"/>
                                    <w:sz w:val="22"/>
                                    <w:szCs w:val="22"/>
                                  </w:rPr>
                                  <m:t>e</m:t>
                                </m:r>
                              </m:e>
                              <m:sub>
                                <m:r>
                                  <m:rPr>
                                    <m:sty m:val="bi"/>
                                  </m:rPr>
                                  <w:rPr>
                                    <w:rFonts w:ascii="Cambria Math" w:eastAsia="Cambria" w:hAnsi="Cambria Math" w:cs="Cambria"/>
                                    <w:color w:val="auto"/>
                                    <w:sz w:val="22"/>
                                    <w:szCs w:val="22"/>
                                  </w:rPr>
                                  <m:t>12</m:t>
                                </m:r>
                              </m:sub>
                            </m:sSub>
                            <m:sSub>
                              <m:sSubPr>
                                <m:ctrlPr>
                                  <w:rPr>
                                    <w:rFonts w:ascii="Cambria Math" w:eastAsia="Cambria" w:hAnsi="Cambria Math" w:cs="Cambria"/>
                                    <w:i/>
                                    <w:color w:val="auto"/>
                                    <w:sz w:val="22"/>
                                    <w:szCs w:val="22"/>
                                  </w:rPr>
                                </m:ctrlPr>
                              </m:sSubPr>
                              <m:e>
                                <m:r>
                                  <m:rPr>
                                    <m:sty m:val="bi"/>
                                  </m:rPr>
                                  <w:rPr>
                                    <w:rFonts w:ascii="Cambria Math" w:eastAsia="Cambria" w:hAnsi="Cambria Math" w:cs="Cambria"/>
                                    <w:color w:val="auto"/>
                                    <w:sz w:val="22"/>
                                    <w:szCs w:val="22"/>
                                  </w:rPr>
                                  <m:t>F</m:t>
                                </m:r>
                              </m:e>
                              <m:sub>
                                <m:r>
                                  <m:rPr>
                                    <m:sty m:val="bi"/>
                                  </m:rPr>
                                  <w:rPr>
                                    <w:rFonts w:ascii="Cambria Math" w:eastAsia="Cambria" w:hAnsi="Cambria Math" w:cs="Cambria"/>
                                    <w:color w:val="auto"/>
                                    <w:sz w:val="22"/>
                                    <w:szCs w:val="22"/>
                                  </w:rPr>
                                  <m:t>GIS</m:t>
                                </m:r>
                              </m:sub>
                            </m:sSub>
                          </m:e>
                        </m:groupChr>
                      </m:e>
                      <m:lim>
                        <m:r>
                          <m:rPr>
                            <m:sty m:val="bi"/>
                          </m:rPr>
                          <w:rPr>
                            <w:rFonts w:ascii="Cambria Math" w:eastAsia="Cambria" w:hAnsi="Cambria Math" w:cs="Cambria"/>
                            <w:color w:val="548DD4" w:themeColor="text2" w:themeTint="99"/>
                            <w:sz w:val="22"/>
                            <w:szCs w:val="22"/>
                          </w:rPr>
                          <m:t>forcings</m:t>
                        </m:r>
                      </m:lim>
                    </m:limLow>
                  </m:e>
                </m:d>
                <m:r>
                  <m:rPr>
                    <m:sty m:val="bi"/>
                  </m:rPr>
                  <w:rPr>
                    <w:rFonts w:ascii="Cambria Math" w:eastAsia="Cambria" w:hAnsi="Cambria Math" w:cs="Cambria"/>
                    <w:color w:val="auto"/>
                    <w:sz w:val="22"/>
                    <w:szCs w:val="22"/>
                    <w:lang w:val="fr-BE"/>
                  </w:rPr>
                  <m:t xml:space="preserve"> </m:t>
                </m:r>
                <m:f>
                  <m:fPr>
                    <m:ctrlPr>
                      <w:rPr>
                        <w:rFonts w:ascii="Cambria Math" w:eastAsia="Cambria" w:hAnsi="Cambria Math" w:cs="Cambria"/>
                        <w:i/>
                        <w:color w:val="auto"/>
                        <w:sz w:val="22"/>
                        <w:szCs w:val="22"/>
                      </w:rPr>
                    </m:ctrlPr>
                  </m:fPr>
                  <m:num>
                    <m:r>
                      <m:rPr>
                        <m:sty m:val="bi"/>
                      </m:rPr>
                      <w:rPr>
                        <w:rFonts w:ascii="Cambria Math" w:eastAsia="Cambria" w:hAnsi="Cambria Math" w:cs="Cambria"/>
                        <w:color w:val="auto"/>
                        <w:sz w:val="22"/>
                        <w:szCs w:val="22"/>
                      </w:rPr>
                      <m:t>1</m:t>
                    </m:r>
                  </m:num>
                  <m:den>
                    <m:r>
                      <m:rPr>
                        <m:sty m:val="bi"/>
                      </m:rPr>
                      <w:rPr>
                        <w:rFonts w:ascii="Cambria Math" w:hAnsi="Cambria Math"/>
                        <w:color w:val="auto"/>
                      </w:rPr>
                      <m:t>τ</m:t>
                    </m:r>
                  </m:den>
                </m:f>
                <m:r>
                  <m:rPr>
                    <m:sty m:val="bi"/>
                  </m:rPr>
                  <w:rPr>
                    <w:rFonts w:ascii="Cambria Math" w:eastAsia="Cambria" w:hAnsi="Cambria Math" w:cs="Cambria"/>
                    <w:color w:val="auto"/>
                    <w:sz w:val="22"/>
                    <w:szCs w:val="22"/>
                    <w:lang w:val="fr-BE"/>
                  </w:rPr>
                  <m:t>,</m:t>
                </m:r>
              </m:oMath>
            </m:oMathPara>
          </w:p>
        </w:tc>
        <w:tc>
          <w:tcPr>
            <w:tcW w:w="248" w:type="pct"/>
            <w:tcBorders>
              <w:top w:val="nil"/>
              <w:left w:val="nil"/>
              <w:bottom w:val="nil"/>
              <w:right w:val="nil"/>
            </w:tcBorders>
          </w:tcPr>
          <w:p w14:paraId="0CABC631" w14:textId="77777777" w:rsidR="000B3F37" w:rsidRPr="000B3F37" w:rsidRDefault="000B3F37" w:rsidP="00212088">
            <w:pPr>
              <w:rPr>
                <w:lang w:val="fr-BE"/>
              </w:rPr>
            </w:pPr>
          </w:p>
          <w:p w14:paraId="34DF0963" w14:textId="77777777" w:rsidR="000B3F37" w:rsidRDefault="000B3F37" w:rsidP="00212088">
            <w:pPr>
              <w:rPr>
                <w:lang w:val="fr-BE"/>
              </w:rPr>
            </w:pPr>
            <w:r>
              <w:t>(1)</w:t>
            </w:r>
          </w:p>
        </w:tc>
      </w:tr>
    </w:tbl>
    <w:p w14:paraId="12E350A1" w14:textId="62AB65E4" w:rsidR="004B201E" w:rsidRDefault="00A60A5A">
      <w:r>
        <w:t xml:space="preserve">This equation is  derived from the normal form of a double-fold bifurcation, enabling the representation of the first-order tipping dynamics of the AMOC. Consequently, the tipping element model acts as a generic dynamical system designed to function as an emulator. The use of a generalized normal form of a double-fold bifurcation </w:t>
      </w:r>
      <w:r w:rsidR="00765CBB" w:rsidRPr="00765CBB">
        <w:t>is a parsimonious and effective approach to capture bi-stability and hysteresis generally associated with tipping elements in the climate system</w:t>
      </w:r>
      <w:r w:rsidR="00340B22">
        <w:t xml:space="preserve"> </w:t>
      </w:r>
      <w:r>
        <w:fldChar w:fldCharType="begin"/>
      </w:r>
      <w:r w:rsidR="008C6149">
        <w:instrText xml:space="preserve"> ADDIN ZOTERO_ITEM CSL_CITATION {"citationID":"IP4deDIu","properties":{"formattedCitation":"(40,42,48)","plainCitation":"(40,42,48)","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id":2415,"uris":["http://zotero.org/users/7129331/items/H6ECF6ZA"],"itemData":{"id":2415,"type":"article-journal","abstract":"With progressing global warming, there is an increased risk that one or several tipping elements in the climate system might cross a critical threshold, resulting in severe consequences for the global climate, ecosystems and human societies. While the underlying processes are fairly well-understood, it is unclear how their interactions might impact the overall stability of the Earth's climate system. As of yet, this cannot be fully analysed with state-of-the-art Earth system models due to computational constraints as well as some missing and uncertain process representations of certain tipping elements. Here, we explicitly study the effects of known physical interactions among the Greenland and West Antarctic ice sheets, the Atlantic Meridional Overturning Circulation (AMOC) and the Amazon rainforest using a conceptual network approach. We analyse the risk of domino effects being triggered by each of the individual tipping elements under global warming in equilibrium experiments. In these experiments, we propagate the uncertainties in critical temperature thresholds, interaction strengths and interaction structure via large ensembles of simulations in a Monte Carlo approach. Overall, we find that the interactions tend to destabilise the network of tipping elements. Furthermore, our analysis reveals the qualitative role of each of the four tipping elements within the network, showing that the polar ice sheets on Greenland and West Antarctica are oftentimes the initiators of tipping cascades, while the AMOC acts as a mediator transmitting cascades. This indicates that the ice sheets, which are already at risk of transgressing their temperature thresholds within the Paris range of 1.5 to 2 ∘C, are of particular importance for the stability of the climate system as a whole.","container-title":"Earth System Dynamics","DOI":"10.5194/esd-12-601-2021","ISSN":"2190-4979","issue":"2","language":"English","note":"publisher: Copernicus GmbH","page":"601-619","source":"Copernicus Online Journals","title":"Interacting tipping elements increase risk of climate domino effects under global warming","volume":"12","author":[{"family":"Wunderling","given":"Nico"},{"family":"Donges","given":"Jonathan F."},{"family":"Kurths","given":"Jürgen"},{"family":"Winkelmann","given":"Ricarda"}],"issued":{"date-parts":[["2021",6,3]]}}}],"schema":"https://github.com/citation-style-language/schema/raw/master/csl-citation.json"} </w:instrText>
      </w:r>
      <w:r>
        <w:fldChar w:fldCharType="separate"/>
      </w:r>
      <w:r w:rsidR="008C6149" w:rsidRPr="008C6149">
        <w:t>(40,42,48)</w:t>
      </w:r>
      <w:r>
        <w:fldChar w:fldCharType="end"/>
      </w:r>
      <w:r>
        <w:t xml:space="preserve">. The state variable </w:t>
      </w:r>
      <m:oMath>
        <m:r>
          <w:rPr>
            <w:rFonts w:ascii="Cambria Math" w:hAnsi="Cambria Math"/>
          </w:rPr>
          <m:t>Ψ</m:t>
        </m:r>
      </m:oMath>
      <w:r>
        <w:t xml:space="preserve"> is dimensionless and spans the interval </w:t>
      </w:r>
      <m:oMath>
        <m:d>
          <m:dPr>
            <m:begChr m:val="["/>
            <m:endChr m:val="]"/>
            <m:ctrlPr>
              <w:rPr>
                <w:rFonts w:ascii="Cambria Math" w:hAnsi="Cambria Math"/>
              </w:rPr>
            </m:ctrlPr>
          </m:dPr>
          <m:e>
            <m:r>
              <w:rPr>
                <w:rFonts w:ascii="Cambria Math" w:hAnsi="Cambria Math"/>
              </w:rPr>
              <m:t>0,1</m:t>
            </m:r>
          </m:e>
        </m:d>
        <m:r>
          <w:rPr>
            <w:rFonts w:ascii="Cambria Math" w:hAnsi="Cambria Math"/>
          </w:rPr>
          <m:t>,</m:t>
        </m:r>
      </m:oMath>
      <w:r>
        <w:t xml:space="preserve"> defining the state of the AMOC relative to its pre-industrial level </w:t>
      </w:r>
      <m:oMath>
        <m:r>
          <m:rPr>
            <m:sty m:val="p"/>
          </m:rPr>
          <w:rPr>
            <w:rFonts w:ascii="Cambria Math" w:hAnsi="Cambria Math"/>
          </w:rPr>
          <m:t>Ψ</m:t>
        </m:r>
        <m:d>
          <m:dPr>
            <m:ctrlPr>
              <w:rPr>
                <w:rFonts w:ascii="Cambria Math" w:hAnsi="Cambria Math"/>
                <w:i/>
              </w:rPr>
            </m:ctrlPr>
          </m:dPr>
          <m:e>
            <m:r>
              <w:rPr>
                <w:rFonts w:ascii="Cambria Math" w:hAnsi="Cambria Math"/>
              </w:rPr>
              <m:t>t=0</m:t>
            </m:r>
          </m:e>
        </m:d>
        <m:r>
          <w:rPr>
            <w:rFonts w:ascii="Cambria Math" w:hAnsi="Cambria Math"/>
          </w:rPr>
          <m:t>=1</m:t>
        </m:r>
      </m:oMath>
      <w:r>
        <w:t xml:space="preserve">. For the AMOC, </w:t>
      </w:r>
      <m:oMath>
        <m:r>
          <w:rPr>
            <w:rFonts w:ascii="Cambria Math" w:hAnsi="Cambria Math"/>
          </w:rPr>
          <m:t>Ψ</m:t>
        </m:r>
      </m:oMath>
      <w:r>
        <w:t xml:space="preserve"> is the ratio of its current intensity in </w:t>
      </w:r>
      <m:oMath>
        <m:r>
          <w:rPr>
            <w:rFonts w:ascii="Cambria Math" w:hAnsi="Cambria Math"/>
          </w:rPr>
          <m:t>Sv</m:t>
        </m:r>
      </m:oMath>
      <w:r>
        <w:t xml:space="preserve"> with its pre-industrial value. The first group of terms in Eq.(1) represents the internal dynamics of the tipping element. Since it is a cubic polynomial of the state variable it allows  the tipping element to have 1,2 or 3 stable states depending on its forcings </w:t>
      </w:r>
      <w:r>
        <w:fldChar w:fldCharType="begin"/>
      </w:r>
      <w:r w:rsidR="007F2E43">
        <w:instrText xml:space="preserve"> ADDIN ZOTERO_ITEM CSL_CITATION {"citationID":"fCMZRhih","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fldChar w:fldCharType="separate"/>
      </w:r>
      <w:r w:rsidR="007F2E43" w:rsidRPr="007F2E43">
        <w:t>(40)</w:t>
      </w:r>
      <w:r>
        <w:fldChar w:fldCharType="end"/>
      </w:r>
      <w:r>
        <w:t xml:space="preserve">. The coefficients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12</m:t>
            </m:r>
          </m:sub>
        </m:sSub>
      </m:oMath>
      <w:r>
        <w:t xml:space="preserve"> </w:t>
      </w:r>
      <w:r w:rsidR="004A2F13" w:rsidRPr="004A2F13">
        <w:t xml:space="preserve">do not correspond directly to specific physical properties, but they control the positions of the bifurcation points and can be calibrated based on hysteresis experiments diagnosed in </w:t>
      </w:r>
      <w:r w:rsidR="00AF33B5">
        <w:t>the simulators</w:t>
      </w:r>
      <w:r w:rsidR="004A2F13" w:rsidRPr="004A2F13">
        <w:t>.</w:t>
      </w:r>
      <w:r w:rsidR="004A2F13">
        <w:t xml:space="preserve"> </w:t>
      </w:r>
      <w:r w:rsidR="00811DE5" w:rsidRPr="00860354">
        <w:t xml:space="preserve">Finally, the parameter </w:t>
      </w:r>
      <m:oMath>
        <m:r>
          <w:rPr>
            <w:rFonts w:ascii="Cambria Math" w:hAnsi="Cambria Math"/>
            <w:sz w:val="24"/>
            <w:szCs w:val="24"/>
          </w:rPr>
          <m:t>τ</m:t>
        </m:r>
      </m:oMath>
      <w:r w:rsidR="00811DE5" w:rsidRPr="00860354">
        <w:t xml:space="preserve"> represents an inverse time scale characterizing the typical duration required for the system</w:t>
      </w:r>
      <w:r w:rsidR="00213D5B">
        <w:t xml:space="preserve"> </w:t>
      </w:r>
      <w:r w:rsidR="00811DE5" w:rsidRPr="00860354">
        <w:t>to deviate from its equilibrium states. In other words, it quantifies the characteristic timescale of AMOC adjustment following a perturbation.</w:t>
      </w:r>
      <w:r w:rsidR="00811DE5">
        <w:rPr>
          <w:b/>
          <w:bCs/>
        </w:rPr>
        <w:t xml:space="preserve"> </w:t>
      </w:r>
      <w:r w:rsidR="004F1DE1" w:rsidRPr="00583BF2">
        <w:t xml:space="preserve">It </w:t>
      </w:r>
      <w:r w:rsidR="00115AC4" w:rsidRPr="00115AC4">
        <w:t xml:space="preserve">can be calibrated based on </w:t>
      </w:r>
      <w:r w:rsidR="00A70BEC">
        <w:t xml:space="preserve">a </w:t>
      </w:r>
      <w:r w:rsidR="00115AC4" w:rsidRPr="00115AC4">
        <w:t xml:space="preserve">transient experiment </w:t>
      </w:r>
      <w:r w:rsidR="004D247E">
        <w:t xml:space="preserve">from the simulator </w:t>
      </w:r>
      <w:r w:rsidR="00115AC4">
        <w:t xml:space="preserve">and </w:t>
      </w:r>
      <w:r w:rsidR="004F1DE1" w:rsidRPr="00583BF2">
        <w:t>constitutes the final parameter of our emulator</w:t>
      </w:r>
      <w:r w:rsidR="00E13FFB">
        <w:t>.</w:t>
      </w:r>
      <w:r w:rsidR="00D629C1" w:rsidDel="00A60A5A">
        <w:t xml:space="preserve"> </w:t>
      </w:r>
    </w:p>
    <w:p w14:paraId="09026E61" w14:textId="77777777" w:rsidR="00A60A5A" w:rsidRDefault="00A60A5A"/>
    <w:p w14:paraId="332BC79E" w14:textId="064EEE6E" w:rsidR="004B201E" w:rsidRPr="00D629C1" w:rsidRDefault="00B54835" w:rsidP="00D629C1">
      <w:r w:rsidRPr="00D629C1">
        <w:t xml:space="preserve">The first forcing term, </w:t>
      </w:r>
      <m:oMath>
        <m:r>
          <w:rPr>
            <w:rFonts w:ascii="Cambria Math" w:hAnsi="Cambria Math"/>
          </w:rPr>
          <m:t>T</m:t>
        </m:r>
      </m:oMath>
      <w:r w:rsidRPr="00D629C1">
        <w:t>, which appears in Eq.(1)</w:t>
      </w:r>
      <w:r w:rsidR="00AC61A6">
        <w:t>,</w:t>
      </w:r>
      <w:r w:rsidRPr="00D629C1">
        <w:t xml:space="preserve"> represents the global mean surface air temperature anomaly relative to pre-industrial levels and encapsulates the physical effects of warming on AMOC water stratification.  The second forcing term, </w:t>
      </w:r>
      <m:oMath>
        <m:sSub>
          <m:sSubPr>
            <m:ctrlPr>
              <w:rPr>
                <w:rFonts w:ascii="Cambria Math" w:hAnsi="Cambria Math"/>
              </w:rPr>
            </m:ctrlPr>
          </m:sSubPr>
          <m:e>
            <m:r>
              <w:rPr>
                <w:rFonts w:ascii="Cambria Math" w:hAnsi="Cambria Math"/>
              </w:rPr>
              <m:t>F</m:t>
            </m:r>
          </m:e>
          <m:sub>
            <m:r>
              <w:rPr>
                <w:rFonts w:ascii="Cambria Math" w:hAnsi="Cambria Math"/>
              </w:rPr>
              <m:t>GIS</m:t>
            </m:r>
          </m:sub>
        </m:sSub>
      </m:oMath>
      <w:r w:rsidRPr="00D629C1">
        <w:t>, represents the freshwater flux resulting from GIS melting, which in turn weakens the AMOC by enhancing water column stratification</w:t>
      </w:r>
      <w:r w:rsidR="009E473E" w:rsidRPr="00D629C1">
        <w:t xml:space="preserve">. </w:t>
      </w:r>
      <w:r w:rsidR="00520652" w:rsidRPr="00D629C1">
        <w:t>In the following subsection, we introduce the method to calibrate all parameters of our emulator</w:t>
      </w:r>
      <w:r w:rsidR="008869FA">
        <w:t xml:space="preserve">, </w:t>
      </w:r>
      <w:r w:rsidR="00520652" w:rsidRPr="00D629C1">
        <w:rPr>
          <w:b/>
          <w:bCs/>
        </w:rP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12</m:t>
            </m:r>
          </m:sub>
        </m:sSub>
      </m:oMath>
      <w:r w:rsidR="00520652" w:rsidRPr="00D629C1">
        <w:t xml:space="preserve"> and </w:t>
      </w:r>
      <m:oMath>
        <m:r>
          <w:rPr>
            <w:rFonts w:ascii="Cambria Math" w:hAnsi="Cambria Math"/>
          </w:rPr>
          <m:t>τ</m:t>
        </m:r>
      </m:oMath>
      <w:r w:rsidR="008869FA">
        <w:t xml:space="preserve">, </w:t>
      </w:r>
      <w:r w:rsidR="00520652" w:rsidRPr="00D629C1">
        <w:t xml:space="preserve">using three calibration experiments derived from the </w:t>
      </w:r>
      <w:r w:rsidR="00FD6E81">
        <w:t>simulator</w:t>
      </w:r>
      <w:r w:rsidR="00520652" w:rsidRPr="00D629C1">
        <w:t>.</w:t>
      </w:r>
    </w:p>
    <w:p w14:paraId="76DD957F" w14:textId="77777777" w:rsidR="004B201E" w:rsidRPr="00583BF2" w:rsidRDefault="004B201E"/>
    <w:p w14:paraId="2DBD248C" w14:textId="77777777" w:rsidR="004B201E" w:rsidRDefault="00B84193">
      <w:pPr>
        <w:pStyle w:val="BodyText"/>
        <w:rPr>
          <w:rFonts w:ascii="Arial" w:eastAsia="Arial" w:hAnsi="Arial" w:cs="Arial"/>
          <w:b/>
          <w:sz w:val="24"/>
          <w:szCs w:val="28"/>
        </w:rPr>
      </w:pPr>
      <w:r>
        <w:rPr>
          <w:rFonts w:ascii="Arial" w:eastAsia="Arial" w:hAnsi="Arial" w:cs="Arial"/>
          <w:b/>
          <w:sz w:val="24"/>
          <w:szCs w:val="28"/>
        </w:rPr>
        <w:t>2.2 Calibration Module</w:t>
      </w:r>
    </w:p>
    <w:p w14:paraId="4B2BF8EB" w14:textId="77777777" w:rsidR="00A02841" w:rsidRDefault="00A02841"/>
    <w:p w14:paraId="6030A40D" w14:textId="70D5BD68" w:rsidR="004B201E" w:rsidRDefault="00E574D5">
      <w:r w:rsidRPr="00E574D5">
        <w:t>For the calibration, we aim to find the best fit of our double-fold structure to the complex hysteresis curve, ensuring that our simplified dynamics come as close as possible to the bifurcation points identified in the process-based hysteresis.</w:t>
      </w:r>
      <w:r>
        <w:t xml:space="preserve"> </w:t>
      </w:r>
      <w:r w:rsidR="008759EE" w:rsidRPr="00ED1C28">
        <w:t>In the paper describing the SURFER v2.0 model, Martinez-Montero et al.</w:t>
      </w:r>
      <w:r w:rsidR="008759EE">
        <w:fldChar w:fldCharType="begin"/>
      </w:r>
      <w:r w:rsidR="008C6149">
        <w:instrText xml:space="preserve"> ADDIN ZOTERO_ITEM CSL_CITATION {"citationID":"ORsUxsdm","properties":{"formattedCitation":"(48)","plainCitation":"(48)","noteIndex":0},"citationItems":[{"id":444,"uris":["http://zotero.org/users/7129331/items/NUYTQ2VV"],"itemData":{"id":444,"type":"article-journal","abstract":"We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rsidR="008759EE">
        <w:fldChar w:fldCharType="separate"/>
      </w:r>
      <w:r w:rsidR="008C6149" w:rsidRPr="008C6149">
        <w:t>(48)</w:t>
      </w:r>
      <w:r w:rsidR="008759EE">
        <w:fldChar w:fldCharType="end"/>
      </w:r>
      <w:r w:rsidR="008759EE" w:rsidRPr="00ED1C28">
        <w:t xml:space="preserve"> also modelled tipping elements using a canonical double-fold normal form. </w:t>
      </w:r>
      <w:r w:rsidR="00F534CA" w:rsidRPr="00F534CA">
        <w:t>They developed a method to calibrate the emulator using the coordinates of the bifurcation points identified in the simulator experiments.</w:t>
      </w:r>
      <w:r w:rsidR="00F534CA">
        <w:t xml:space="preserve"> </w:t>
      </w:r>
      <w:r w:rsidR="00B84193">
        <w:t>Martinez-Monteiro et al.</w:t>
      </w:r>
      <w:r w:rsidR="006530AB">
        <w:t xml:space="preserve"> </w:t>
      </w:r>
      <w:r w:rsidR="00B84193">
        <w:fldChar w:fldCharType="begin"/>
      </w:r>
      <w:r w:rsidR="008C6149">
        <w:instrText xml:space="preserve"> ADDIN ZOTERO_ITEM CSL_CITATION {"citationID":"fN3A0ceO","properties":{"formattedCitation":"(48)","plainCitation":"(48)","noteIndex":0},"citationItems":[{"id":444,"uris":["http://zotero.org/users/7129331/items/NUYTQ2VV"],"itemData":{"id":444,"type":"article-journal","abstract":"We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rsidR="00B84193">
        <w:fldChar w:fldCharType="separate"/>
      </w:r>
      <w:r w:rsidR="008C6149" w:rsidRPr="008C6149">
        <w:t>(48)</w:t>
      </w:r>
      <w:r w:rsidR="00B84193">
        <w:fldChar w:fldCharType="end"/>
      </w:r>
      <w:r w:rsidR="00B84193">
        <w:t xml:space="preserve"> </w:t>
      </w:r>
      <w:r w:rsidR="00D24E5B">
        <w:t>compute explicitly the</w:t>
      </w:r>
      <w:r w:rsidR="00B84193">
        <w:t xml:space="preserve"> calibration parameters</w:t>
      </w:r>
      <w:r w:rsidR="00D24E5B">
        <w:t xml:space="preserve"> as a function of the coordinates of the tipping point in the forcing space, as the latter are easier to jutify</w:t>
      </w:r>
      <w:r w:rsidR="00B84193">
        <w:t xml:space="preserve">. This </w:t>
      </w:r>
      <w:r w:rsidR="756FB3C8">
        <w:t>method</w:t>
      </w:r>
      <w:r w:rsidR="00B84193">
        <w:t xml:space="preserve"> also allows to test the underlying hypothesis that the leading-order dynamics of tipping elements such as the AMOC can be captured by a double-fold. </w:t>
      </w:r>
      <w:r w:rsidR="001C5D07">
        <w:t xml:space="preserve">Our objective is </w:t>
      </w:r>
      <w:r w:rsidR="00B84193">
        <w:t xml:space="preserve">to adhere to </w:t>
      </w:r>
      <w:r w:rsidR="001C5D07">
        <w:t>this</w:t>
      </w:r>
      <w:r w:rsidR="00B84193">
        <w:t xml:space="preserve"> calibration </w:t>
      </w:r>
      <w:r w:rsidR="00603628">
        <w:t>strategy</w:t>
      </w:r>
      <w:r w:rsidR="001C5D07">
        <w:t>.</w:t>
      </w:r>
      <w:r w:rsidR="00B84193">
        <w:t xml:space="preserve"> However, the mathematical framework presented by Martinez-Monteiro et al.</w:t>
      </w:r>
      <w:r w:rsidR="006530AB">
        <w:t xml:space="preserve"> </w:t>
      </w:r>
      <w:r w:rsidR="00B84193">
        <w:fldChar w:fldCharType="begin"/>
      </w:r>
      <w:r w:rsidR="008C6149">
        <w:instrText xml:space="preserve"> ADDIN ZOTERO_ITEM CSL_CITATION {"citationID":"r0q6KqFU","properties":{"formattedCitation":"(48)","plainCitation":"(48)","noteIndex":0},"citationItems":[{"id":444,"uris":["http://zotero.org/users/7129331/items/NUYTQ2VV"],"itemData":{"id":444,"type":"article-journal","abstract":"We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rsidR="00B84193">
        <w:fldChar w:fldCharType="separate"/>
      </w:r>
      <w:r w:rsidR="008C6149" w:rsidRPr="008C6149">
        <w:t>(48)</w:t>
      </w:r>
      <w:r w:rsidR="00B84193">
        <w:fldChar w:fldCharType="end"/>
      </w:r>
      <w:r w:rsidR="00B84193">
        <w:t xml:space="preserve"> for modelling each individual ice sheet relies on a</w:t>
      </w:r>
      <w:r w:rsidR="00E54F6F">
        <w:t>n</w:t>
      </w:r>
      <w:r w:rsidR="00B84193">
        <w:t xml:space="preserve"> ordinary differential equation with only one forcing parameter, namely the temperature anomaly. In our case, for the AMOC, we have two forcing </w:t>
      </w:r>
      <w:r w:rsidR="0025422F">
        <w:t>variables</w:t>
      </w:r>
      <w:r w:rsidR="00B84193">
        <w:t>: the temperature anomaly and the freshwater flux.</w:t>
      </w:r>
    </w:p>
    <w:p w14:paraId="00D1B4C2" w14:textId="77777777" w:rsidR="004B201E" w:rsidRDefault="004B201E"/>
    <w:p w14:paraId="513167B8" w14:textId="5F523943" w:rsidR="005732E6" w:rsidRDefault="00B84193">
      <w:r>
        <w:t xml:space="preserve">To generalize the method of Martinez-Monteiro et al. </w:t>
      </w:r>
      <w:r>
        <w:fldChar w:fldCharType="begin"/>
      </w:r>
      <w:r>
        <w:instrText>ADDIN ZOTERO_ITEM CSL_CITATION {"citationID":"UZ7uIO7i","properties":{"formattedCitation":"(Mart\\uc0\\u237{}nez Montero et al., 2022)","plainCitation":"(Martínez Montero et al., 2022)","dontUpdate":true,"noteIndex":0},"citationItems":[{"id":444,"uris":["http://zotero.org/users/7129331/items/NUYTQ2VV"],"itemData":{"id":444,"type":"article-journal","abstract":"We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w:instrText>
      </w:r>
      <w:r>
        <w:fldChar w:fldCharType="separate"/>
      </w:r>
      <w:r>
        <w:rPr>
          <w:rFonts w:cs="Times New Roman"/>
        </w:rPr>
        <w:t>(</w:t>
      </w:r>
      <w:r w:rsidR="006530AB">
        <w:rPr>
          <w:rFonts w:cs="Times New Roman"/>
        </w:rPr>
        <w:t>47</w:t>
      </w:r>
      <w:r>
        <w:rPr>
          <w:rFonts w:cs="Times New Roman"/>
        </w:rPr>
        <w:t>)</w:t>
      </w:r>
      <w:r>
        <w:fldChar w:fldCharType="end"/>
      </w:r>
      <w:r>
        <w:t xml:space="preserve"> we need  an operational assumption. Specifically, we assume that </w:t>
      </w:r>
      <w:r w:rsidR="00BF5CDF">
        <w:t xml:space="preserve">the </w:t>
      </w:r>
      <w:r w:rsidR="00F534CA">
        <w:t>simulator</w:t>
      </w:r>
      <w:r>
        <w:t xml:space="preserve"> </w:t>
      </w:r>
      <w:r w:rsidR="00BF5CDF">
        <w:t>used</w:t>
      </w:r>
      <w:r w:rsidR="00FB7B65">
        <w:t xml:space="preserve"> to c</w:t>
      </w:r>
      <w:r>
        <w:t xml:space="preserve">alibrate the hysteresis of the AMOC allow for independent </w:t>
      </w:r>
      <w:r w:rsidR="00FB7B65">
        <w:t xml:space="preserve">application of </w:t>
      </w:r>
      <w:r>
        <w:t xml:space="preserve">forcing </w:t>
      </w:r>
      <w:r w:rsidR="00403CF4">
        <w:t>to</w:t>
      </w:r>
      <w:r>
        <w:t xml:space="preserve"> the AMOC. </w:t>
      </w:r>
      <w:r w:rsidR="00997A01" w:rsidRPr="00997A01">
        <w:t xml:space="preserve">In other words, with our emulator, we should be able to access process-based models that can force the AMOC solely through globally averaged atmospheric temperature anomalies while keeping the freshwater flux forcing constant, and vice versa. </w:t>
      </w:r>
      <w:r>
        <w:t xml:space="preserve">This is technically feasible with most models.  If the aim is also to emulate the transition from the collapsed state to the nominal state, an additional constraint arises in the selection of </w:t>
      </w:r>
      <w:r w:rsidR="00A70765">
        <w:t>the simulator</w:t>
      </w:r>
      <w:r>
        <w:t xml:space="preserve">. Specifically, the </w:t>
      </w:r>
      <w:r w:rsidR="00AF006F">
        <w:t>simulator used as a reference mus</w:t>
      </w:r>
      <w:r>
        <w:t xml:space="preserve">t be </w:t>
      </w:r>
      <w:r w:rsidR="00AF006F">
        <w:t xml:space="preserve">adequate for </w:t>
      </w:r>
      <w:r>
        <w:t xml:space="preserve">conducting hysteresis experiments, which involve simulations where the tipping element remains in quasi-equilibrium. For instance, in the </w:t>
      </w:r>
      <w:r w:rsidR="007D15C1">
        <w:lastRenderedPageBreak/>
        <w:t>cGENIE</w:t>
      </w:r>
      <w:r>
        <w:t xml:space="preserve"> </w:t>
      </w:r>
      <w:r w:rsidR="00C3311A">
        <w:t xml:space="preserve">two first </w:t>
      </w:r>
      <w:r>
        <w:t xml:space="preserve">experiments used for calibration of collapse dynamics, simulations span over 20,000 years (see </w:t>
      </w:r>
      <w:r w:rsidR="001C3905">
        <w:t>Supplementary Materials</w:t>
      </w:r>
      <w:r w:rsidRPr="001C3905">
        <w:t>).</w:t>
      </w:r>
      <w:r>
        <w:t xml:space="preserve"> This requirement implies that models categorized as EMICs are generally </w:t>
      </w:r>
      <w:r w:rsidR="00FE74E9">
        <w:t xml:space="preserve">more </w:t>
      </w:r>
      <w:r>
        <w:t xml:space="preserve">suitable </w:t>
      </w:r>
      <w:r w:rsidR="00474474">
        <w:t>candidates</w:t>
      </w:r>
      <w:r>
        <w:t xml:space="preserve"> </w:t>
      </w:r>
      <w:r w:rsidR="00474474">
        <w:t>to provide reference si</w:t>
      </w:r>
      <w:r>
        <w:t>mulation</w:t>
      </w:r>
      <w:r w:rsidR="00530777">
        <w:t>s for emulation</w:t>
      </w:r>
      <w:r>
        <w:t xml:space="preserve"> </w:t>
      </w:r>
      <w:r>
        <w:fldChar w:fldCharType="begin"/>
      </w:r>
      <w:r w:rsidR="007F2E43">
        <w:instrText xml:space="preserve"> ADDIN ZOTERO_ITEM CSL_CITATION {"citationID":"ky0JO9gk","properties":{"formattedCitation":"(36)","plainCitation":"(36)","noteIndex":0},"citationItems":[{"id":701,"uris":["http://zotero.org/users/7129331/items/JQ7TZK3F"],"itemData":{"id":701,"type":"article-journal","abstract":"We examine the dynamics of thresholds of the Atlantic Meridional Overturning Circulation (AMOC) in an Atmosphere–Ocean General Circulation Model (AOGCM) and a simple box model. We show that AMOC thresholds in the AOGCM are controlled by low-order dynamics encapsulated in the box model. In both models, AMOC collapse is primarily initiated by the development of a strong salinity advection feedback in the North Atlantic. The box model parameters are potentially observable properties of the unperturbed (present day) ocean state, and when calibrated to a range of AOGCM states predict (within some error bars) the critical rate of fresh water input (Hcrit) needed to turn off the AMOC in the AOGCM. In contrast, the meridional fresh water transport by the MOC (MOV, a widely-used diagnostic of AMOC bi-stability) on its own is a poor predictor of Hcrit. When the AOGCM is run with increased atmospheric carbon dioxide, Hcrit increases. We use the dynamical understanding from the box model to show that this increase is due partly to intensification of the global hydrological cycle and heat penetration into the near-surface ocean, both robust features of climate change projections. However changes in the gyre fresh water transport efficiency (a less robustly modelled process) are also important.","container-title":"Climate Dynamics","DOI":"10.1007/s00382-019-04956-1","ISSN":"1432-0894","issue":"11","journalAbbreviation":"Clim Dyn","language":"en","page":"6815-6834","source":"Springer Link","title":"Observable, low-order dynamical controls on thresholds of the Atlantic meridional overturning circulation","volume":"53","author":[{"family":"Wood","given":"Richard A."},{"family":"Rodríguez","given":"José M."},{"family":"Smith","given":"Robin S."},{"family":"Jackson","given":"Laura C."},{"family":"Hawkins","given":"Ed"}],"issued":{"date-parts":[["2019",12,1]]}}}],"schema":"https://github.com/citation-style-language/schema/raw/master/csl-citation.json"} </w:instrText>
      </w:r>
      <w:r>
        <w:fldChar w:fldCharType="separate"/>
      </w:r>
      <w:r w:rsidR="007F2E43" w:rsidRPr="007F2E43">
        <w:t>(36)</w:t>
      </w:r>
      <w:r>
        <w:fldChar w:fldCharType="end"/>
      </w:r>
      <w:r>
        <w:t xml:space="preserve">. </w:t>
      </w:r>
      <w:r w:rsidR="00CC4530" w:rsidRPr="00CC4530">
        <w:t xml:space="preserve">Throughout the text, we will refer to EMICs as the </w:t>
      </w:r>
      <w:r w:rsidR="003701F5">
        <w:t>simulator</w:t>
      </w:r>
      <w:r w:rsidR="00CC4530" w:rsidRPr="00CC4530">
        <w:t xml:space="preserve"> we aim to emulate, although the emulator can be calibrated using any process-based model of the AMOC.</w:t>
      </w:r>
    </w:p>
    <w:p w14:paraId="11752CAF" w14:textId="77777777" w:rsidR="00307721" w:rsidRDefault="00307721"/>
    <w:p w14:paraId="5C06FF80" w14:textId="4B553E73" w:rsidR="00F77855" w:rsidRDefault="005C6146">
      <w:r w:rsidRPr="005C6146">
        <w:t>The procedure for calibrating our simplified bifurcation diagram, which is generalizable to N forcings, is as follows.</w:t>
      </w:r>
      <w:r w:rsidR="00790FCA" w:rsidRPr="00790FCA">
        <w:t xml:space="preserve"> </w:t>
      </w:r>
      <w:r w:rsidR="00790FCA">
        <w:t>W</w:t>
      </w:r>
      <w:r w:rsidR="00790FCA" w:rsidRPr="00277431">
        <w:t>ith</w:t>
      </w:r>
      <w:r w:rsidR="00790FCA">
        <w:t xml:space="preserve"> </w:t>
      </w:r>
      <w:r w:rsidR="00790FCA" w:rsidRPr="00277431">
        <w:rPr>
          <w:i/>
          <w:iCs/>
        </w:rPr>
        <w:t>N</w:t>
      </w:r>
      <w:r w:rsidR="00790FCA" w:rsidRPr="00277431">
        <w:t xml:space="preserve"> forcing variables, we conduct </w:t>
      </w:r>
      <w:r w:rsidR="00790FCA" w:rsidRPr="00277431">
        <w:rPr>
          <w:i/>
          <w:iCs/>
        </w:rPr>
        <w:t>N</w:t>
      </w:r>
      <w:r w:rsidR="00790FCA" w:rsidRPr="00277431">
        <w:t xml:space="preserve"> independent sensitivity experiments, each designed to separately calibrate the bifurcation diagram corresponding to a specific forcing variable</w:t>
      </w:r>
      <w:r w:rsidR="00400167" w:rsidRPr="00277431">
        <w:t>.</w:t>
      </w:r>
      <w:r w:rsidR="00400167">
        <w:t xml:space="preserve"> </w:t>
      </w:r>
      <w:r w:rsidR="00B84193">
        <w:t xml:space="preserve"> </w:t>
      </w:r>
      <w:r w:rsidR="00586028" w:rsidRPr="00586028">
        <w:t xml:space="preserve">In each case, the remaining </w:t>
      </w:r>
      <w:r w:rsidR="00586028" w:rsidRPr="00586028">
        <w:rPr>
          <w:i/>
          <w:iCs/>
        </w:rPr>
        <w:t>N – 1</w:t>
      </w:r>
      <w:r w:rsidR="00586028" w:rsidRPr="00586028">
        <w:t xml:space="preserve"> forcing variables are held constant, thereby reducing the calibration to a</w:t>
      </w:r>
      <w:r w:rsidR="00B84193">
        <w:t xml:space="preserve"> Martinez-Monteiro et al.</w:t>
      </w:r>
      <w:r w:rsidR="006530AB">
        <w:t xml:space="preserve"> </w:t>
      </w:r>
      <w:r w:rsidR="00B84193">
        <w:fldChar w:fldCharType="begin"/>
      </w:r>
      <w:r w:rsidR="008C6149">
        <w:instrText xml:space="preserve"> ADDIN ZOTERO_ITEM CSL_CITATION {"citationID":"3SoXI0zB","properties":{"formattedCitation":"(48)","plainCitation":"(48)","noteIndex":0},"citationItems":[{"id":444,"uris":["http://zotero.org/users/7129331/items/NUYTQ2VV"],"itemData":{"id":444,"type":"article-journal","abstract":"We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rsidR="00B84193">
        <w:fldChar w:fldCharType="separate"/>
      </w:r>
      <w:r w:rsidR="008C6149" w:rsidRPr="008C6149">
        <w:t>(48)</w:t>
      </w:r>
      <w:r w:rsidR="00B84193">
        <w:fldChar w:fldCharType="end"/>
      </w:r>
      <w:r w:rsidR="00B84193">
        <w:t xml:space="preserve">-type model </w:t>
      </w:r>
      <w:r w:rsidR="00987E22" w:rsidRPr="00987E22">
        <w:t>involving only a single forcing dimension.</w:t>
      </w:r>
      <w:r w:rsidR="00987E22">
        <w:t xml:space="preserve"> </w:t>
      </w:r>
      <w:r w:rsidR="00B84193">
        <w:t xml:space="preserve"> For the AMOC, </w:t>
      </w:r>
      <m:oMath>
        <m:r>
          <w:rPr>
            <w:rFonts w:ascii="Cambria Math" w:hAnsi="Cambria Math"/>
          </w:rPr>
          <m:t>EXPA</m:t>
        </m:r>
      </m:oMath>
      <w:r w:rsidR="00B84193">
        <w:t xml:space="preserve"> is defined as the calibration experiment of the AMOC intensity with respect to a temperature forcing</w:t>
      </w:r>
      <w:r w:rsidR="00494914">
        <w:t xml:space="preserve"> in </w:t>
      </w:r>
      <w:r w:rsidR="00B84193">
        <w:t xml:space="preserve">any </w:t>
      </w:r>
      <w:r w:rsidR="00A70765">
        <w:t>simulator</w:t>
      </w:r>
      <w:r w:rsidR="00B84193">
        <w:t xml:space="preserve"> that satisfies the aforementioned conditions. From this experiment we can retrieve the coordinates of the bifurcation points denoted by,</w:t>
      </w:r>
    </w:p>
    <w:p w14:paraId="688BD074" w14:textId="77777777" w:rsidR="00F77855" w:rsidRPr="0010139C" w:rsidRDefault="00F77855" w:rsidP="00F778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5"/>
        <w:gridCol w:w="521"/>
      </w:tblGrid>
      <w:tr w:rsidR="00F77855" w14:paraId="1EB42310" w14:textId="77777777" w:rsidTr="003974FB">
        <w:tc>
          <w:tcPr>
            <w:tcW w:w="9545" w:type="dxa"/>
          </w:tcPr>
          <w:p w14:paraId="56C8F0C5" w14:textId="77777777" w:rsidR="00F77855" w:rsidRPr="00001671" w:rsidRDefault="00000000" w:rsidP="001B7E8F">
            <w:pPr>
              <w:rPr>
                <w:rFonts w:ascii="Arial" w:eastAsia="Arial" w:hAnsi="Arial" w:cs="Arial"/>
              </w:rPr>
            </w:pPr>
            <m:oMathPara>
              <m:oMath>
                <m:d>
                  <m:dPr>
                    <m:ctrlPr>
                      <w:rPr>
                        <w:rFonts w:ascii="Cambria Math" w:hAnsi="Cambria Math"/>
                      </w:rPr>
                    </m:ctrlPr>
                  </m:dPr>
                  <m:e>
                    <m:sSup>
                      <m:sSupPr>
                        <m:ctrlPr>
                          <w:rPr>
                            <w:rFonts w:ascii="Cambria Math" w:hAnsi="Cambria Math"/>
                          </w:rPr>
                        </m:ctrlPr>
                      </m:sSupPr>
                      <m:e>
                        <m:r>
                          <m:rPr>
                            <m:sty m:val="p"/>
                          </m:rPr>
                          <w:rPr>
                            <w:rFonts w:ascii="Cambria Math" w:hAnsi="Cambria Math"/>
                          </w:rPr>
                          <m:t>Ψ</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Ψ</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oMath>
            </m:oMathPara>
          </w:p>
        </w:tc>
        <w:tc>
          <w:tcPr>
            <w:tcW w:w="521" w:type="dxa"/>
          </w:tcPr>
          <w:p w14:paraId="75C98E5A" w14:textId="3FD69C2D" w:rsidR="00F77855" w:rsidRDefault="00F77855" w:rsidP="001B7E8F">
            <w:r>
              <w:t>(</w:t>
            </w:r>
            <w:r w:rsidR="00E45DC9">
              <w:t>2</w:t>
            </w:r>
            <w:r>
              <w:t>)</w:t>
            </w:r>
          </w:p>
          <w:p w14:paraId="50671C43" w14:textId="77777777" w:rsidR="00F77855" w:rsidRDefault="00F77855" w:rsidP="001B7E8F"/>
        </w:tc>
      </w:tr>
    </w:tbl>
    <w:p w14:paraId="18E02250" w14:textId="0086EFA2" w:rsidR="00D41247" w:rsidRPr="00555727" w:rsidRDefault="00B84193" w:rsidP="00D41247">
      <w:r>
        <w:t xml:space="preserve">In this context, </w:t>
      </w:r>
      <m:oMath>
        <m:sSup>
          <m:sSupPr>
            <m:ctrlPr>
              <w:rPr>
                <w:rFonts w:ascii="Cambria Math" w:hAnsi="Cambria Math"/>
              </w:rPr>
            </m:ctrlPr>
          </m:sSupPr>
          <m:e>
            <m:r>
              <w:rPr>
                <w:rFonts w:ascii="Cambria Math" w:hAnsi="Cambria Math"/>
              </w:rPr>
              <m:t>Ψ</m:t>
            </m:r>
          </m:e>
          <m:sup>
            <m:r>
              <w:rPr>
                <w:rFonts w:ascii="Cambria Math" w:hAnsi="Cambria Math"/>
              </w:rPr>
              <m:t>±</m:t>
            </m:r>
          </m:sup>
        </m:sSup>
      </m:oMath>
      <w:r>
        <w:t xml:space="preserve"> represents the normalized values of the AMOC intensity, where the system transitions</w:t>
      </w:r>
      <m:oMath>
        <m:r>
          <w:rPr>
            <w:rFonts w:ascii="Cambria Math" w:hAnsi="Cambria Math"/>
          </w:rPr>
          <m:t xml:space="preserve"> </m:t>
        </m:r>
      </m:oMath>
      <w:r>
        <w:t>from its nominal stable equilibrium state</w:t>
      </w:r>
      <w:r w:rsidR="008971A2">
        <w:t xml:space="preserve"> (</w:t>
      </w:r>
      <m:oMath>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r>
          <w:rPr>
            <w:rFonts w:ascii="Cambria Math" w:hAnsi="Cambria Math"/>
          </w:rPr>
          <m:t>)</m:t>
        </m:r>
      </m:oMath>
      <w:r>
        <w:t xml:space="preserve"> to its collapsed equilibrium state, and from the collapsed equilibrium state </w:t>
      </w:r>
      <w:r w:rsidR="008971A2">
        <w:t>(</w:t>
      </w:r>
      <m:oMath>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r>
          <w:rPr>
            <w:rFonts w:ascii="Cambria Math" w:hAnsi="Cambria Math"/>
          </w:rPr>
          <m:t>)</m:t>
        </m:r>
      </m:oMath>
      <w:r>
        <w:t xml:space="preserve"> back to the nominal equilibrium state. The </w:t>
      </w:r>
      <m:oMath>
        <m:sSup>
          <m:sSupPr>
            <m:ctrlPr>
              <w:rPr>
                <w:rFonts w:ascii="Cambria Math" w:hAnsi="Cambria Math"/>
              </w:rPr>
            </m:ctrlPr>
          </m:sSupPr>
          <m:e>
            <m:r>
              <w:rPr>
                <w:rFonts w:ascii="Cambria Math" w:hAnsi="Cambria Math"/>
              </w:rPr>
              <m:t>T</m:t>
            </m:r>
          </m:e>
          <m:sup>
            <m:r>
              <w:rPr>
                <w:rFonts w:ascii="Cambria Math" w:hAnsi="Cambria Math"/>
              </w:rPr>
              <m:t>±</m:t>
            </m:r>
          </m:sup>
        </m:sSup>
      </m:oMath>
      <w:r>
        <w:t xml:space="preserve"> values denote the critical temperature anomaly forcing at which </w:t>
      </w:r>
      <w:r w:rsidR="00282409">
        <w:t xml:space="preserve">the two </w:t>
      </w:r>
      <w:r w:rsidR="00B2210A" w:rsidRPr="00B2210A">
        <w:t xml:space="preserve">aforementioned </w:t>
      </w:r>
      <w:r>
        <w:t>bifurcation</w:t>
      </w:r>
      <w:r w:rsidR="00282409">
        <w:t>s</w:t>
      </w:r>
      <w:r>
        <w:t xml:space="preserve"> occur within the system.</w:t>
      </w:r>
      <w:r w:rsidR="00996DEB">
        <w:t xml:space="preserve"> </w:t>
      </w:r>
      <w:r w:rsidR="00784088" w:rsidRPr="00784088">
        <w:t xml:space="preserve">It should be noted that the method used to measure the AMOC strength may vary from one </w:t>
      </w:r>
      <w:r w:rsidR="00966D31">
        <w:t xml:space="preserve">simulator </w:t>
      </w:r>
      <w:r w:rsidR="00784088" w:rsidRPr="00784088">
        <w:t xml:space="preserve">to another. </w:t>
      </w:r>
      <w:r w:rsidR="00E177C4" w:rsidRPr="00E177C4">
        <w:t xml:space="preserve">In this study using cGENIE, the definition chosen to quantify the maximum AMOC strength will be specified in the Results section. </w:t>
      </w:r>
      <w:r w:rsidRPr="00555727">
        <w:t xml:space="preserve">The Eq.(1) in the </w:t>
      </w:r>
      <m:oMath>
        <m:r>
          <w:rPr>
            <w:rFonts w:ascii="Cambria Math" w:hAnsi="Cambria Math"/>
          </w:rPr>
          <m:t>EXPA</m:t>
        </m:r>
      </m:oMath>
      <w:r w:rsidRPr="00555727">
        <w:t xml:space="preserve"> experiment can be written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567"/>
      </w:tblGrid>
      <w:tr w:rsidR="00D41247" w14:paraId="20D79811" w14:textId="77777777" w:rsidTr="003974FB">
        <w:trPr>
          <w:jc w:val="center"/>
        </w:trPr>
        <w:tc>
          <w:tcPr>
            <w:tcW w:w="9493" w:type="dxa"/>
            <w:vAlign w:val="center"/>
          </w:tcPr>
          <w:p w14:paraId="1B2E5FA2" w14:textId="77777777" w:rsidR="00F3156C" w:rsidRPr="00555727" w:rsidRDefault="00F3156C" w:rsidP="001B7E8F"/>
          <w:p w14:paraId="045B3ED8" w14:textId="3A1B49A2" w:rsidR="00D41247" w:rsidRPr="007B6205" w:rsidRDefault="00000000" w:rsidP="001B7E8F">
            <m:oMathPara>
              <m:oMath>
                <m:f>
                  <m:fPr>
                    <m:ctrlPr>
                      <w:rPr>
                        <w:rFonts w:ascii="Cambria Math" w:hAnsi="Cambria Math"/>
                      </w:rPr>
                    </m:ctrlPr>
                  </m:fPr>
                  <m:num>
                    <m:r>
                      <w:rPr>
                        <w:rFonts w:ascii="Cambria Math" w:hAnsi="Cambria Math"/>
                      </w:rPr>
                      <m:t>d</m:t>
                    </m:r>
                    <m:r>
                      <m:rPr>
                        <m:sty m:val="p"/>
                      </m:rPr>
                      <w:rPr>
                        <w:rFonts w:ascii="Cambria Math" w:hAnsi="Cambria Math"/>
                      </w:rPr>
                      <m:t>Ψ</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Ψ</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12</m:t>
                        </m:r>
                      </m:sub>
                    </m:sSub>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A</m:t>
                        </m:r>
                      </m:sup>
                    </m:sSubSup>
                  </m:e>
                </m:d>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oMath>
            </m:oMathPara>
          </w:p>
          <w:p w14:paraId="69911FE4" w14:textId="49EFC8A0" w:rsidR="00D41247" w:rsidRPr="00D41247" w:rsidRDefault="00D41247" w:rsidP="001B7E8F"/>
        </w:tc>
        <w:tc>
          <w:tcPr>
            <w:tcW w:w="567" w:type="dxa"/>
            <w:vAlign w:val="center"/>
          </w:tcPr>
          <w:p w14:paraId="7F815CF1" w14:textId="28646E37" w:rsidR="00D41247" w:rsidRDefault="00D41247" w:rsidP="001B7E8F">
            <w:r>
              <w:t>(</w:t>
            </w:r>
            <w:r w:rsidR="00E45DC9">
              <w:t>3</w:t>
            </w:r>
            <w:r>
              <w:t>)</w:t>
            </w:r>
          </w:p>
        </w:tc>
      </w:tr>
    </w:tbl>
    <w:p w14:paraId="1EEAA183" w14:textId="1837E55F" w:rsidR="00293405" w:rsidRPr="00F43A3F" w:rsidRDefault="00B84193" w:rsidP="00293405">
      <w:r>
        <w:t xml:space="preserve">where </w:t>
      </w:r>
      <m:oMath>
        <m:sSubSup>
          <m:sSubSupPr>
            <m:ctrlPr>
              <w:rPr>
                <w:rFonts w:ascii="Cambria Math" w:hAnsi="Cambria Math"/>
              </w:rPr>
            </m:ctrlPr>
          </m:sSubSupPr>
          <m:e>
            <m:r>
              <w:rPr>
                <w:rFonts w:ascii="Cambria Math" w:hAnsi="Cambria Math"/>
              </w:rPr>
              <m:t>F</m:t>
            </m:r>
          </m:e>
          <m:sub>
            <m:r>
              <w:rPr>
                <w:rFonts w:ascii="Cambria Math" w:hAnsi="Cambria Math"/>
              </w:rPr>
              <m:t>GIS</m:t>
            </m:r>
          </m:sub>
          <m:sup>
            <m:r>
              <w:rPr>
                <w:rFonts w:ascii="Cambria Math" w:hAnsi="Cambria Math"/>
              </w:rPr>
              <m:t>A</m:t>
            </m:r>
          </m:sup>
        </m:sSubSup>
      </m:oMath>
      <w:r>
        <w:t xml:space="preserve"> represents the arbitrary constant value of the freshwater flux forcing applied during the </w:t>
      </w:r>
      <w:r w:rsidR="00BB0FDD">
        <w:t>first calibration experiment</w:t>
      </w:r>
      <w:r>
        <w:t xml:space="preserve">. Consequently,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12</m:t>
            </m:r>
          </m:sub>
        </m:sSub>
        <m:sSubSup>
          <m:sSubSupPr>
            <m:ctrlPr>
              <w:rPr>
                <w:rFonts w:ascii="Cambria Math" w:hAnsi="Cambria Math"/>
              </w:rPr>
            </m:ctrlPr>
          </m:sSubSupPr>
          <m:e>
            <m:r>
              <w:rPr>
                <w:rFonts w:ascii="Cambria Math" w:hAnsi="Cambria Math"/>
              </w:rPr>
              <m:t>F</m:t>
            </m:r>
          </m:e>
          <m:sub>
            <m:r>
              <w:rPr>
                <w:rFonts w:ascii="Cambria Math" w:hAnsi="Cambria Math"/>
              </w:rPr>
              <m:t>GIS</m:t>
            </m:r>
          </m:sub>
          <m:sup>
            <m:r>
              <w:rPr>
                <w:rFonts w:ascii="Cambria Math" w:hAnsi="Cambria Math"/>
              </w:rPr>
              <m:t>A</m:t>
            </m:r>
          </m:sup>
        </m:sSubSup>
      </m:oMath>
      <w:r>
        <w:t xml:space="preserve"> is a constant term in this experiment, effectively reducing</w:t>
      </w:r>
      <w:r w:rsidR="00F43A3F">
        <w:t xml:space="preserve"> </w:t>
      </w:r>
      <w:r>
        <w:t xml:space="preserve">the conceptual model to a single-forcing experiment. </w:t>
      </w:r>
      <w:r w:rsidR="000910DF">
        <w:t>With t</w:t>
      </w:r>
      <w:r>
        <w:t xml:space="preserve">his simplification enables </w:t>
      </w:r>
      <w:r w:rsidR="000910DF">
        <w:t xml:space="preserve">we can calibrate </w:t>
      </w:r>
      <w:r>
        <w:t xml:space="preserve">the </w:t>
      </w:r>
      <w:r w:rsidR="009D4DA5">
        <w:t xml:space="preserve">parameters within the </w:t>
      </w:r>
      <w:r>
        <w:t>technique proposed by Martinez Montero et al.</w:t>
      </w:r>
      <w:r w:rsidR="006530AB">
        <w:t xml:space="preserve"> </w:t>
      </w:r>
      <w:r>
        <w:fldChar w:fldCharType="begin"/>
      </w:r>
      <w:r w:rsidR="008C6149">
        <w:instrText xml:space="preserve"> ADDIN ZOTERO_ITEM CSL_CITATION {"citationID":"nra8DXud","properties":{"formattedCitation":"(48)","plainCitation":"(48)","noteIndex":0},"citationItems":[{"id":444,"uris":["http://zotero.org/users/7129331/items/NUYTQ2VV"],"itemData":{"id":444,"type":"article-journal","abstract":"We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fldChar w:fldCharType="separate"/>
      </w:r>
      <w:r w:rsidR="008C6149" w:rsidRPr="008C6149">
        <w:t>(48)</w:t>
      </w:r>
      <w:r>
        <w:fldChar w:fldCharType="end"/>
      </w:r>
      <w:r w:rsidR="009D4DA5">
        <w:t xml:space="preserve"> :</w:t>
      </w:r>
    </w:p>
    <w:p w14:paraId="752EF93F" w14:textId="77777777" w:rsidR="00F918CC" w:rsidRDefault="00F918CC" w:rsidP="0029340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5"/>
        <w:gridCol w:w="521"/>
      </w:tblGrid>
      <w:tr w:rsidR="00293405" w14:paraId="6097A303" w14:textId="77777777" w:rsidTr="003974FB">
        <w:trPr>
          <w:jc w:val="center"/>
        </w:trPr>
        <w:tc>
          <w:tcPr>
            <w:tcW w:w="9776" w:type="dxa"/>
            <w:vAlign w:val="center"/>
          </w:tcPr>
          <w:p w14:paraId="7F8F0918" w14:textId="77777777" w:rsidR="00293405" w:rsidRPr="00706D76" w:rsidRDefault="00000000" w:rsidP="001B7E8F">
            <w:pPr>
              <w:rPr>
                <w:rFonts w:ascii="Arial" w:eastAsia="Arial" w:hAnsi="Arial" w:cs="Arial"/>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3</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Ψ</m:t>
                            </m: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m:t>
                            </m:r>
                          </m:sup>
                        </m:sSup>
                      </m:e>
                    </m:d>
                    <m:ctrlPr>
                      <w:rPr>
                        <w:rFonts w:ascii="Cambria Math" w:hAnsi="Cambria Math"/>
                        <w:i/>
                      </w:rPr>
                    </m:ctrlPr>
                  </m:num>
                  <m:den>
                    <m:r>
                      <w:rPr>
                        <w:rFonts w:ascii="Cambria Math" w:hAnsi="Cambria Math"/>
                      </w:rPr>
                      <m:t>2</m:t>
                    </m:r>
                    <m:ctrlPr>
                      <w:rPr>
                        <w:rFonts w:ascii="Cambria Math" w:hAnsi="Cambria Math"/>
                        <w:i/>
                      </w:rPr>
                    </m:ctrlPr>
                  </m:den>
                </m:f>
              </m:oMath>
            </m:oMathPara>
          </w:p>
        </w:tc>
        <w:tc>
          <w:tcPr>
            <w:tcW w:w="284" w:type="dxa"/>
            <w:vAlign w:val="center"/>
          </w:tcPr>
          <w:p w14:paraId="2D5CEA5C" w14:textId="3128D82E" w:rsidR="00293405" w:rsidRDefault="00293405" w:rsidP="007A6207">
            <w:pPr>
              <w:jc w:val="center"/>
            </w:pPr>
            <w:r>
              <w:t>(</w:t>
            </w:r>
            <w:r w:rsidR="00E45DC9">
              <w:t>4</w:t>
            </w:r>
            <w:r>
              <w:t>)</w:t>
            </w:r>
          </w:p>
        </w:tc>
      </w:tr>
      <w:tr w:rsidR="00293405" w14:paraId="298767D4" w14:textId="77777777" w:rsidTr="003974FB">
        <w:trPr>
          <w:jc w:val="center"/>
        </w:trPr>
        <w:tc>
          <w:tcPr>
            <w:tcW w:w="9776" w:type="dxa"/>
            <w:vAlign w:val="center"/>
          </w:tcPr>
          <w:p w14:paraId="345590E4" w14:textId="77777777" w:rsidR="00293405" w:rsidRPr="00706D76" w:rsidRDefault="00000000" w:rsidP="001B7E8F">
            <w:pPr>
              <w:rPr>
                <w:rFonts w:ascii="Arial" w:eastAsia="Arial" w:hAnsi="Arial" w:cs="Arial"/>
              </w:rPr>
            </w:pPr>
            <m:oMathPara>
              <m:oMath>
                <m:sSub>
                  <m:sSubPr>
                    <m:ctrlPr>
                      <w:rPr>
                        <w:rFonts w:ascii="Cambria Math" w:eastAsia="Arial" w:hAnsi="Cambria Math" w:cs="Arial"/>
                        <w:i/>
                      </w:rPr>
                    </m:ctrlPr>
                  </m:sSubPr>
                  <m:e>
                    <m:r>
                      <w:rPr>
                        <w:rFonts w:ascii="Cambria Math" w:eastAsia="Arial" w:hAnsi="Cambria Math" w:cs="Arial"/>
                      </w:rPr>
                      <m:t>b</m:t>
                    </m:r>
                  </m:e>
                  <m:sub>
                    <m:r>
                      <w:rPr>
                        <w:rFonts w:ascii="Cambria Math" w:eastAsia="Arial" w:hAnsi="Cambria Math" w:cs="Arial"/>
                      </w:rPr>
                      <m:t>1</m:t>
                    </m:r>
                  </m:sub>
                </m:sSub>
                <m:r>
                  <w:rPr>
                    <w:rFonts w:ascii="Cambria Math" w:eastAsia="Arial" w:hAnsi="Cambria Math" w:cs="Arial"/>
                  </w:rPr>
                  <m:t>=-3</m:t>
                </m:r>
                <m:sSup>
                  <m:sSupPr>
                    <m:ctrlPr>
                      <w:rPr>
                        <w:rFonts w:ascii="Cambria Math" w:eastAsia="Arial" w:hAnsi="Cambria Math" w:cs="Arial"/>
                        <w:i/>
                      </w:rPr>
                    </m:ctrlPr>
                  </m:sSupPr>
                  <m:e>
                    <m:r>
                      <m:rPr>
                        <m:sty m:val="p"/>
                      </m:rPr>
                      <w:rPr>
                        <w:rFonts w:ascii="Cambria Math" w:eastAsia="Arial" w:hAnsi="Cambria Math" w:cs="Arial"/>
                      </w:rPr>
                      <m:t>Ψ</m:t>
                    </m:r>
                  </m:e>
                  <m:sup>
                    <m:r>
                      <w:rPr>
                        <w:rFonts w:ascii="Cambria Math" w:eastAsia="Arial" w:hAnsi="Cambria Math" w:cs="Arial"/>
                      </w:rPr>
                      <m:t>-</m:t>
                    </m:r>
                  </m:sup>
                </m:sSup>
                <m:sSup>
                  <m:sSupPr>
                    <m:ctrlPr>
                      <w:rPr>
                        <w:rFonts w:ascii="Cambria Math" w:eastAsia="Arial" w:hAnsi="Cambria Math" w:cs="Arial"/>
                        <w:i/>
                      </w:rPr>
                    </m:ctrlPr>
                  </m:sSupPr>
                  <m:e>
                    <m:r>
                      <m:rPr>
                        <m:sty m:val="p"/>
                      </m:rPr>
                      <w:rPr>
                        <w:rFonts w:ascii="Cambria Math" w:eastAsia="Arial" w:hAnsi="Cambria Math" w:cs="Arial"/>
                      </w:rPr>
                      <m:t>Ψ</m:t>
                    </m:r>
                    <m:ctrlPr>
                      <w:rPr>
                        <w:rFonts w:ascii="Cambria Math" w:eastAsia="Arial" w:hAnsi="Cambria Math" w:cs="Arial"/>
                      </w:rPr>
                    </m:ctrlPr>
                  </m:e>
                  <m:sup>
                    <m:r>
                      <w:rPr>
                        <w:rFonts w:ascii="Cambria Math" w:eastAsia="Arial" w:hAnsi="Cambria Math" w:cs="Arial"/>
                      </w:rPr>
                      <m:t>+</m:t>
                    </m:r>
                  </m:sup>
                </m:sSup>
              </m:oMath>
            </m:oMathPara>
          </w:p>
        </w:tc>
        <w:tc>
          <w:tcPr>
            <w:tcW w:w="284" w:type="dxa"/>
            <w:vAlign w:val="center"/>
          </w:tcPr>
          <w:p w14:paraId="51A45CC2" w14:textId="7648160C" w:rsidR="00293405" w:rsidRDefault="00293405" w:rsidP="007A6207">
            <w:pPr>
              <w:jc w:val="center"/>
            </w:pPr>
            <w:r>
              <w:t>(</w:t>
            </w:r>
            <w:r w:rsidR="00E45DC9">
              <w:t>5</w:t>
            </w:r>
            <w:r>
              <w:t>)</w:t>
            </w:r>
          </w:p>
        </w:tc>
      </w:tr>
      <w:tr w:rsidR="00293405" w14:paraId="24491728" w14:textId="77777777" w:rsidTr="003974FB">
        <w:trPr>
          <w:jc w:val="center"/>
        </w:trPr>
        <w:tc>
          <w:tcPr>
            <w:tcW w:w="9776" w:type="dxa"/>
            <w:vAlign w:val="center"/>
          </w:tcPr>
          <w:p w14:paraId="7083C552" w14:textId="77777777" w:rsidR="00284B17" w:rsidRPr="00284B17" w:rsidRDefault="00284B17" w:rsidP="001B7E8F"/>
          <w:p w14:paraId="4AA6F254" w14:textId="14421C2A" w:rsidR="00293405" w:rsidRPr="00706D76" w:rsidRDefault="00000000" w:rsidP="001B7E8F">
            <w:pPr>
              <w:rPr>
                <w:rFonts w:ascii="Arial" w:eastAsia="Arial" w:hAnsi="Arial" w:cs="Arial"/>
              </w:rPr>
            </w:pPr>
            <m:oMathPara>
              <m:oMath>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r>
                  <w:rPr>
                    <w:rFonts w:ascii="Cambria Math" w:eastAsia="Arial" w:hAnsi="Cambria Math" w:cs="Arial"/>
                  </w:rPr>
                  <m:t>=</m:t>
                </m:r>
                <m:f>
                  <m:fPr>
                    <m:ctrlPr>
                      <w:rPr>
                        <w:rFonts w:ascii="Cambria Math" w:eastAsia="Arial" w:hAnsi="Cambria Math" w:cs="Arial"/>
                      </w:rPr>
                    </m:ctrlPr>
                  </m:fPr>
                  <m:num>
                    <m:sSup>
                      <m:sSupPr>
                        <m:ctrlPr>
                          <w:rPr>
                            <w:rFonts w:ascii="Cambria Math" w:hAnsi="Cambria Math"/>
                          </w:rPr>
                        </m:ctrlPr>
                      </m:sSupPr>
                      <m:e>
                        <m:r>
                          <w:rPr>
                            <w:rFonts w:ascii="Cambria Math" w:hAnsi="Cambria Math"/>
                          </w:rPr>
                          <m:t>T</m:t>
                        </m:r>
                      </m:e>
                      <m:sup>
                        <m:r>
                          <m:rPr>
                            <m:sty m:val="p"/>
                          </m:rPr>
                          <w:rPr>
                            <w:rFonts w:ascii="Cambria Math" w:hAnsi="Cambria Math"/>
                          </w:rPr>
                          <m:t>+</m:t>
                        </m:r>
                      </m:sup>
                    </m:sSup>
                    <m:sSup>
                      <m:sSupPr>
                        <m:ctrlPr>
                          <w:rPr>
                            <w:rFonts w:ascii="Cambria Math" w:eastAsia="Arial" w:hAnsi="Cambria Math" w:cs="Arial"/>
                            <w:i/>
                          </w:rPr>
                        </m:ctrlPr>
                      </m:sSupPr>
                      <m:e>
                        <m:r>
                          <m:rPr>
                            <m:sty m:val="p"/>
                          </m:rPr>
                          <w:rPr>
                            <w:rFonts w:ascii="Cambria Math" w:eastAsia="Arial" w:hAnsi="Cambria Math" w:cs="Arial"/>
                          </w:rPr>
                          <m:t>Ψ</m:t>
                        </m:r>
                        <m:ctrlPr>
                          <w:rPr>
                            <w:rFonts w:ascii="Cambria Math" w:eastAsia="Arial" w:hAnsi="Cambria Math" w:cs="Arial"/>
                          </w:rPr>
                        </m:ctrlPr>
                      </m:e>
                      <m:sup>
                        <m:sSup>
                          <m:sSupPr>
                            <m:ctrlPr>
                              <w:rPr>
                                <w:rFonts w:ascii="Cambria Math" w:eastAsia="Arial" w:hAnsi="Cambria Math" w:cs="Arial"/>
                                <w:i/>
                              </w:rPr>
                            </m:ctrlPr>
                          </m:sSupPr>
                          <m:e>
                            <m:r>
                              <w:rPr>
                                <w:rFonts w:ascii="Cambria Math" w:eastAsia="Arial" w:hAnsi="Cambria Math" w:cs="Arial"/>
                              </w:rPr>
                              <m:t>-</m:t>
                            </m:r>
                          </m:e>
                          <m:sup>
                            <m:r>
                              <w:rPr>
                                <w:rFonts w:ascii="Cambria Math" w:eastAsia="Arial" w:hAnsi="Cambria Math" w:cs="Arial"/>
                              </w:rPr>
                              <m:t>2</m:t>
                            </m:r>
                          </m:sup>
                        </m:sSup>
                      </m:sup>
                    </m:sSup>
                    <m:d>
                      <m:dPr>
                        <m:ctrlPr>
                          <w:rPr>
                            <w:rFonts w:ascii="Cambria Math" w:eastAsia="Arial" w:hAnsi="Cambria Math" w:cs="Arial"/>
                            <w:i/>
                          </w:rPr>
                        </m:ctrlPr>
                      </m:dPr>
                      <m:e>
                        <m:sSup>
                          <m:sSupPr>
                            <m:ctrlPr>
                              <w:rPr>
                                <w:rFonts w:ascii="Cambria Math" w:eastAsia="Arial" w:hAnsi="Cambria Math" w:cs="Arial"/>
                                <w:i/>
                              </w:rPr>
                            </m:ctrlPr>
                          </m:sSupPr>
                          <m:e>
                            <m:r>
                              <m:rPr>
                                <m:sty m:val="p"/>
                              </m:rPr>
                              <w:rPr>
                                <w:rFonts w:ascii="Cambria Math" w:eastAsia="Arial" w:hAnsi="Cambria Math" w:cs="Arial"/>
                              </w:rPr>
                              <m:t>Ψ</m:t>
                            </m:r>
                          </m:e>
                          <m:sup>
                            <m:r>
                              <w:rPr>
                                <w:rFonts w:ascii="Cambria Math" w:eastAsia="Arial" w:hAnsi="Cambria Math" w:cs="Arial"/>
                              </w:rPr>
                              <m:t>-</m:t>
                            </m:r>
                          </m:sup>
                        </m:sSup>
                        <m:r>
                          <w:rPr>
                            <w:rFonts w:ascii="Cambria Math" w:eastAsia="Arial" w:hAnsi="Cambria Math" w:cs="Arial"/>
                          </w:rPr>
                          <m:t>-3</m:t>
                        </m:r>
                        <m:sSup>
                          <m:sSupPr>
                            <m:ctrlPr>
                              <w:rPr>
                                <w:rFonts w:ascii="Cambria Math" w:eastAsia="Arial" w:hAnsi="Cambria Math" w:cs="Arial"/>
                                <w:i/>
                              </w:rPr>
                            </m:ctrlPr>
                          </m:sSupPr>
                          <m:e>
                            <m:r>
                              <m:rPr>
                                <m:sty m:val="p"/>
                              </m:rPr>
                              <w:rPr>
                                <w:rFonts w:ascii="Cambria Math" w:eastAsia="Arial" w:hAnsi="Cambria Math" w:cs="Arial"/>
                              </w:rPr>
                              <m:t>Ψ</m:t>
                            </m:r>
                            <m:ctrlPr>
                              <w:rPr>
                                <w:rFonts w:ascii="Cambria Math" w:eastAsia="Arial" w:hAnsi="Cambria Math" w:cs="Arial"/>
                              </w:rPr>
                            </m:ctrlPr>
                          </m:e>
                          <m:sup>
                            <m:r>
                              <w:rPr>
                                <w:rFonts w:ascii="Cambria Math" w:eastAsia="Arial" w:hAnsi="Cambria Math" w:cs="Arial"/>
                              </w:rPr>
                              <m:t>+</m:t>
                            </m:r>
                          </m:sup>
                        </m:sSup>
                      </m:e>
                    </m:d>
                    <m:r>
                      <w:rPr>
                        <w:rFonts w:ascii="Cambria Math" w:eastAsia="Arial" w:hAnsi="Cambria Math" w:cs="Arial"/>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sSup>
                      <m:sSupPr>
                        <m:ctrlPr>
                          <w:rPr>
                            <w:rFonts w:ascii="Cambria Math" w:eastAsia="Arial" w:hAnsi="Cambria Math" w:cs="Arial"/>
                            <w:i/>
                          </w:rPr>
                        </m:ctrlPr>
                      </m:sSupPr>
                      <m:e>
                        <m:r>
                          <m:rPr>
                            <m:sty m:val="p"/>
                          </m:rPr>
                          <w:rPr>
                            <w:rFonts w:ascii="Cambria Math" w:eastAsia="Arial" w:hAnsi="Cambria Math" w:cs="Arial"/>
                          </w:rPr>
                          <m:t>Ψ</m:t>
                        </m:r>
                        <m:ctrlPr>
                          <w:rPr>
                            <w:rFonts w:ascii="Cambria Math" w:eastAsia="Arial" w:hAnsi="Cambria Math" w:cs="Arial"/>
                          </w:rPr>
                        </m:ctrlPr>
                      </m:e>
                      <m:sup>
                        <m:sSup>
                          <m:sSupPr>
                            <m:ctrlPr>
                              <w:rPr>
                                <w:rFonts w:ascii="Cambria Math" w:eastAsia="Arial" w:hAnsi="Cambria Math" w:cs="Arial"/>
                                <w:i/>
                              </w:rPr>
                            </m:ctrlPr>
                          </m:sSupPr>
                          <m:e>
                            <m:r>
                              <w:rPr>
                                <w:rFonts w:ascii="Cambria Math" w:eastAsia="Arial" w:hAnsi="Cambria Math" w:cs="Arial"/>
                              </w:rPr>
                              <m:t>+</m:t>
                            </m:r>
                          </m:e>
                          <m:sup>
                            <m:r>
                              <w:rPr>
                                <w:rFonts w:ascii="Cambria Math" w:eastAsia="Arial" w:hAnsi="Cambria Math" w:cs="Arial"/>
                              </w:rPr>
                              <m:t>2</m:t>
                            </m:r>
                          </m:sup>
                        </m:sSup>
                      </m:sup>
                    </m:sSup>
                    <m:d>
                      <m:dPr>
                        <m:ctrlPr>
                          <w:rPr>
                            <w:rFonts w:ascii="Cambria Math" w:eastAsia="Arial" w:hAnsi="Cambria Math" w:cs="Arial"/>
                            <w:i/>
                          </w:rPr>
                        </m:ctrlPr>
                      </m:dPr>
                      <m:e>
                        <m:sSup>
                          <m:sSupPr>
                            <m:ctrlPr>
                              <w:rPr>
                                <w:rFonts w:ascii="Cambria Math" w:eastAsia="Arial" w:hAnsi="Cambria Math" w:cs="Arial"/>
                                <w:i/>
                              </w:rPr>
                            </m:ctrlPr>
                          </m:sSupPr>
                          <m:e>
                            <m:r>
                              <m:rPr>
                                <m:sty m:val="p"/>
                              </m:rPr>
                              <w:rPr>
                                <w:rFonts w:ascii="Cambria Math" w:eastAsia="Arial" w:hAnsi="Cambria Math" w:cs="Arial"/>
                              </w:rPr>
                              <m:t>Ψ</m:t>
                            </m:r>
                          </m:e>
                          <m:sup>
                            <m:r>
                              <w:rPr>
                                <w:rFonts w:ascii="Cambria Math" w:eastAsia="Arial" w:hAnsi="Cambria Math" w:cs="Arial"/>
                              </w:rPr>
                              <m:t>+</m:t>
                            </m:r>
                          </m:sup>
                        </m:sSup>
                        <m:r>
                          <w:rPr>
                            <w:rFonts w:ascii="Cambria Math" w:eastAsia="Arial" w:hAnsi="Cambria Math" w:cs="Arial"/>
                          </w:rPr>
                          <m:t>-3</m:t>
                        </m:r>
                        <m:sSup>
                          <m:sSupPr>
                            <m:ctrlPr>
                              <w:rPr>
                                <w:rFonts w:ascii="Cambria Math" w:eastAsia="Arial" w:hAnsi="Cambria Math" w:cs="Arial"/>
                                <w:i/>
                              </w:rPr>
                            </m:ctrlPr>
                          </m:sSupPr>
                          <m:e>
                            <m:r>
                              <m:rPr>
                                <m:sty m:val="p"/>
                              </m:rPr>
                              <w:rPr>
                                <w:rFonts w:ascii="Cambria Math" w:eastAsia="Arial" w:hAnsi="Cambria Math" w:cs="Arial"/>
                              </w:rPr>
                              <m:t>Ψ</m:t>
                            </m:r>
                            <m:ctrlPr>
                              <w:rPr>
                                <w:rFonts w:ascii="Cambria Math" w:eastAsia="Arial" w:hAnsi="Cambria Math" w:cs="Arial"/>
                              </w:rPr>
                            </m:ctrlPr>
                          </m:e>
                          <m:sup>
                            <m:r>
                              <w:rPr>
                                <w:rFonts w:ascii="Cambria Math" w:eastAsia="Arial" w:hAnsi="Cambria Math" w:cs="Arial"/>
                              </w:rPr>
                              <m:t>-</m:t>
                            </m:r>
                          </m:sup>
                        </m:sSup>
                      </m:e>
                    </m:d>
                    <m:ctrlPr>
                      <w:rPr>
                        <w:rFonts w:ascii="Cambria Math" w:eastAsia="Arial" w:hAnsi="Cambria Math" w:cs="Arial"/>
                        <w:i/>
                      </w:rPr>
                    </m:ctrlPr>
                  </m:num>
                  <m:den>
                    <m:r>
                      <w:rPr>
                        <w:rFonts w:ascii="Cambria Math" w:eastAsia="Arial" w:hAnsi="Cambria Math" w:cs="Arial"/>
                      </w:rPr>
                      <m:t>2</m:t>
                    </m:r>
                    <m:d>
                      <m:dPr>
                        <m:ctrlPr>
                          <w:rPr>
                            <w:rFonts w:ascii="Cambria Math" w:eastAsia="Arial" w:hAnsi="Cambria Math" w:cs="Arial"/>
                            <w:i/>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eastAsia="Arial" w:hAnsi="Cambria Math" w:cs="Arial"/>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ctrlPr>
                      <w:rPr>
                        <w:rFonts w:ascii="Cambria Math" w:eastAsia="Arial" w:hAnsi="Cambria Math" w:cs="Arial"/>
                        <w:i/>
                      </w:rPr>
                    </m:ctrlP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12</m:t>
                    </m:r>
                  </m:sub>
                </m:sSub>
                <m:sSubSup>
                  <m:sSubSupPr>
                    <m:ctrlPr>
                      <w:rPr>
                        <w:rFonts w:ascii="Cambria Math" w:eastAsia="Arial" w:hAnsi="Cambria Math" w:cs="Arial"/>
                        <w:i/>
                      </w:rPr>
                    </m:ctrlPr>
                  </m:sSubSupPr>
                  <m:e>
                    <m:r>
                      <w:rPr>
                        <w:rFonts w:ascii="Cambria Math" w:eastAsia="Arial" w:hAnsi="Cambria Math" w:cs="Arial"/>
                      </w:rPr>
                      <m:t>F</m:t>
                    </m:r>
                  </m:e>
                  <m:sub>
                    <m:r>
                      <w:rPr>
                        <w:rFonts w:ascii="Cambria Math" w:eastAsia="Arial" w:hAnsi="Cambria Math" w:cs="Arial"/>
                      </w:rPr>
                      <m:t>GIS</m:t>
                    </m:r>
                  </m:sub>
                  <m:sup>
                    <m:r>
                      <w:rPr>
                        <w:rFonts w:ascii="Cambria Math" w:eastAsia="Arial" w:hAnsi="Cambria Math" w:cs="Arial"/>
                      </w:rPr>
                      <m:t>A</m:t>
                    </m:r>
                  </m:sup>
                </m:sSubSup>
              </m:oMath>
            </m:oMathPara>
          </w:p>
        </w:tc>
        <w:tc>
          <w:tcPr>
            <w:tcW w:w="284" w:type="dxa"/>
            <w:vAlign w:val="center"/>
          </w:tcPr>
          <w:p w14:paraId="01AB50D8" w14:textId="09DD9C27" w:rsidR="00293405" w:rsidRDefault="00293405" w:rsidP="007A6207">
            <w:pPr>
              <w:jc w:val="center"/>
            </w:pPr>
            <w:r>
              <w:t>(</w:t>
            </w:r>
            <w:r w:rsidR="00E45DC9">
              <w:t>6</w:t>
            </w:r>
            <w:r>
              <w:t>)</w:t>
            </w:r>
          </w:p>
        </w:tc>
      </w:tr>
      <w:tr w:rsidR="00293405" w14:paraId="291B506D" w14:textId="77777777" w:rsidTr="003974FB">
        <w:trPr>
          <w:jc w:val="center"/>
        </w:trPr>
        <w:tc>
          <w:tcPr>
            <w:tcW w:w="9776" w:type="dxa"/>
            <w:vAlign w:val="center"/>
          </w:tcPr>
          <w:p w14:paraId="230A2537" w14:textId="0B0ECD66" w:rsidR="00293405" w:rsidRPr="00706D76" w:rsidRDefault="00000000" w:rsidP="001B7E8F">
            <w:pPr>
              <w:rPr>
                <w:rFonts w:ascii="Arial" w:eastAsia="Arial" w:hAnsi="Arial" w:cs="Arial"/>
              </w:rPr>
            </w:pPr>
            <m:oMathPara>
              <m:oMath>
                <m:sSub>
                  <m:sSubPr>
                    <m:ctrlPr>
                      <w:rPr>
                        <w:rFonts w:ascii="Cambria Math" w:eastAsia="Arial" w:hAnsi="Cambria Math" w:cs="Arial"/>
                        <w:i/>
                      </w:rPr>
                    </m:ctrlPr>
                  </m:sSubPr>
                  <m:e>
                    <m:r>
                      <w:rPr>
                        <w:rFonts w:ascii="Cambria Math" w:eastAsia="Arial" w:hAnsi="Cambria Math" w:cs="Arial"/>
                      </w:rPr>
                      <m:t>d</m:t>
                    </m:r>
                  </m:e>
                  <m:sub>
                    <m:r>
                      <w:rPr>
                        <w:rFonts w:ascii="Cambria Math" w:eastAsia="Arial" w:hAnsi="Cambria Math" w:cs="Arial"/>
                      </w:rPr>
                      <m:t>1</m:t>
                    </m:r>
                  </m:sub>
                </m:sSub>
                <m:r>
                  <w:rPr>
                    <w:rFonts w:ascii="Cambria Math" w:eastAsia="Arial" w:hAnsi="Cambria Math" w:cs="Arial"/>
                  </w:rPr>
                  <m:t>=-</m:t>
                </m:r>
                <m:f>
                  <m:fPr>
                    <m:ctrlPr>
                      <w:rPr>
                        <w:rFonts w:ascii="Cambria Math" w:eastAsia="Arial" w:hAnsi="Cambria Math" w:cs="Arial"/>
                      </w:rPr>
                    </m:ctrlPr>
                  </m:fPr>
                  <m:num>
                    <m:sSup>
                      <m:sSupPr>
                        <m:ctrlPr>
                          <w:rPr>
                            <w:rFonts w:ascii="Cambria Math" w:eastAsia="Arial" w:hAnsi="Cambria Math" w:cs="Arial"/>
                            <w:i/>
                          </w:rPr>
                        </m:ctrlPr>
                      </m:sSupPr>
                      <m:e>
                        <m:d>
                          <m:dPr>
                            <m:ctrlPr>
                              <w:rPr>
                                <w:rFonts w:ascii="Cambria Math" w:eastAsia="Arial" w:hAnsi="Cambria Math" w:cs="Arial"/>
                                <w:i/>
                              </w:rPr>
                            </m:ctrlPr>
                          </m:dPr>
                          <m:e>
                            <m:sSup>
                              <m:sSupPr>
                                <m:ctrlPr>
                                  <w:rPr>
                                    <w:rFonts w:ascii="Cambria Math" w:eastAsia="Arial" w:hAnsi="Cambria Math" w:cs="Arial"/>
                                    <w:i/>
                                  </w:rPr>
                                </m:ctrlPr>
                              </m:sSupPr>
                              <m:e>
                                <m:r>
                                  <m:rPr>
                                    <m:sty m:val="p"/>
                                  </m:rPr>
                                  <w:rPr>
                                    <w:rFonts w:ascii="Cambria Math" w:eastAsia="Arial" w:hAnsi="Cambria Math" w:cs="Arial"/>
                                  </w:rPr>
                                  <m:t>Ψ</m:t>
                                </m:r>
                              </m:e>
                              <m:sup>
                                <m:r>
                                  <w:rPr>
                                    <w:rFonts w:ascii="Cambria Math" w:eastAsia="Arial" w:hAnsi="Cambria Math" w:cs="Arial"/>
                                  </w:rPr>
                                  <m:t>+</m:t>
                                </m:r>
                              </m:sup>
                            </m:sSup>
                            <m:r>
                              <w:rPr>
                                <w:rFonts w:ascii="Cambria Math" w:eastAsia="Arial" w:hAnsi="Cambria Math" w:cs="Arial"/>
                              </w:rPr>
                              <m:t>-</m:t>
                            </m:r>
                            <m:sSup>
                              <m:sSupPr>
                                <m:ctrlPr>
                                  <w:rPr>
                                    <w:rFonts w:ascii="Cambria Math" w:eastAsia="Arial" w:hAnsi="Cambria Math" w:cs="Arial"/>
                                    <w:i/>
                                  </w:rPr>
                                </m:ctrlPr>
                              </m:sSupPr>
                              <m:e>
                                <m:r>
                                  <m:rPr>
                                    <m:sty m:val="p"/>
                                  </m:rPr>
                                  <w:rPr>
                                    <w:rFonts w:ascii="Cambria Math" w:eastAsia="Arial" w:hAnsi="Cambria Math" w:cs="Arial"/>
                                  </w:rPr>
                                  <m:t>Ψ</m:t>
                                </m:r>
                              </m:e>
                              <m:sup>
                                <m:r>
                                  <w:rPr>
                                    <w:rFonts w:ascii="Cambria Math" w:eastAsia="Arial" w:hAnsi="Cambria Math" w:cs="Arial"/>
                                  </w:rPr>
                                  <m:t>-</m:t>
                                </m:r>
                              </m:sup>
                            </m:sSup>
                          </m:e>
                        </m:d>
                      </m:e>
                      <m:sup>
                        <m:r>
                          <w:rPr>
                            <w:rFonts w:ascii="Cambria Math" w:eastAsia="Arial" w:hAnsi="Cambria Math" w:cs="Arial"/>
                          </w:rPr>
                          <m:t>3</m:t>
                        </m:r>
                      </m:sup>
                    </m:sSup>
                    <m:ctrlPr>
                      <w:rPr>
                        <w:rFonts w:ascii="Cambria Math" w:eastAsia="Arial" w:hAnsi="Cambria Math" w:cs="Arial"/>
                        <w:i/>
                      </w:rPr>
                    </m:ctrlPr>
                  </m:num>
                  <m:den>
                    <m:r>
                      <w:rPr>
                        <w:rFonts w:ascii="Cambria Math" w:eastAsia="Arial" w:hAnsi="Cambria Math" w:cs="Arial"/>
                      </w:rPr>
                      <m:t>2</m:t>
                    </m:r>
                    <m:d>
                      <m:dPr>
                        <m:ctrlPr>
                          <w:rPr>
                            <w:rFonts w:ascii="Cambria Math" w:eastAsia="Arial" w:hAnsi="Cambria Math" w:cs="Arial"/>
                            <w:i/>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eastAsia="Arial" w:hAnsi="Cambria Math" w:cs="Arial"/>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ctrlPr>
                      <w:rPr>
                        <w:rFonts w:ascii="Cambria Math" w:eastAsia="Arial" w:hAnsi="Cambria Math" w:cs="Arial"/>
                        <w:i/>
                      </w:rPr>
                    </m:ctrlPr>
                  </m:den>
                </m:f>
              </m:oMath>
            </m:oMathPara>
          </w:p>
        </w:tc>
        <w:tc>
          <w:tcPr>
            <w:tcW w:w="284" w:type="dxa"/>
            <w:vAlign w:val="center"/>
          </w:tcPr>
          <w:p w14:paraId="574264A1" w14:textId="0152B573" w:rsidR="00293405" w:rsidRDefault="00293405" w:rsidP="001B7E8F">
            <w:r>
              <w:t>(</w:t>
            </w:r>
            <w:r w:rsidR="00E45DC9">
              <w:t>7</w:t>
            </w:r>
            <w:r>
              <w:t>)</w:t>
            </w:r>
          </w:p>
        </w:tc>
      </w:tr>
    </w:tbl>
    <w:p w14:paraId="5648FB8F" w14:textId="77777777" w:rsidR="00F918CC" w:rsidRDefault="00F918CC"/>
    <w:p w14:paraId="46784A90" w14:textId="1002F613" w:rsidR="004B201E" w:rsidRDefault="00B84193">
      <w:r>
        <w:t xml:space="preserve">We define </w:t>
      </w:r>
      <m:oMath>
        <m:r>
          <w:rPr>
            <w:rFonts w:ascii="Cambria Math" w:hAnsi="Cambria Math"/>
          </w:rPr>
          <m:t>EXPB</m:t>
        </m:r>
      </m:oMath>
      <w:r>
        <w:t xml:space="preserve"> as the second calibration experiment examining the AMOC intensity response to freshwater forcing,</w:t>
      </w:r>
      <w:r w:rsidR="009F1DDF">
        <w:t xml:space="preserve"> </w:t>
      </w:r>
      <w:r>
        <w:t xml:space="preserve">using the same </w:t>
      </w:r>
      <w:r w:rsidR="00A70765">
        <w:t>simulator</w:t>
      </w:r>
      <w:r>
        <w:t xml:space="preserve">. </w:t>
      </w:r>
      <w:r w:rsidR="00F15151">
        <w:t>T</w:t>
      </w:r>
      <w:r w:rsidR="00546E63" w:rsidRPr="00546E63">
        <w:t xml:space="preserve">he freshwater flux parameterization in the </w:t>
      </w:r>
      <w:r w:rsidR="00A70765">
        <w:t>simulator</w:t>
      </w:r>
      <w:r w:rsidR="008F3839">
        <w:t xml:space="preserve"> </w:t>
      </w:r>
      <w:r w:rsidR="00546E63" w:rsidRPr="00546E63">
        <w:t xml:space="preserve">is implemented as a hosing tipping experiment. </w:t>
      </w:r>
      <w:r>
        <w:t>From this experiment, we can extract the coordinates of the bifurcation points,</w:t>
      </w:r>
    </w:p>
    <w:p w14:paraId="590A00F1" w14:textId="77777777" w:rsidR="00F918CC" w:rsidRDefault="00F918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5"/>
        <w:gridCol w:w="521"/>
      </w:tblGrid>
      <w:tr w:rsidR="00F918CC" w14:paraId="2DB000AF" w14:textId="77777777" w:rsidTr="003974FB">
        <w:tc>
          <w:tcPr>
            <w:tcW w:w="9634" w:type="dxa"/>
          </w:tcPr>
          <w:p w14:paraId="7E1F3FA6" w14:textId="77777777" w:rsidR="00F918CC" w:rsidRPr="00C50FCF" w:rsidRDefault="00000000" w:rsidP="001B7E8F">
            <m:oMathPara>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Ψ</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p"/>
                          </m:rPr>
                          <w:rPr>
                            <w:rFonts w:ascii="Cambria Math" w:hAnsi="Cambria Math"/>
                          </w:rPr>
                          <m:t>Ψ</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e>
                </m:d>
                <m:r>
                  <w:rPr>
                    <w:rFonts w:ascii="Cambria Math" w:hAnsi="Cambria Math"/>
                  </w:rPr>
                  <m:t>.</m:t>
                </m:r>
              </m:oMath>
            </m:oMathPara>
          </w:p>
        </w:tc>
        <w:tc>
          <w:tcPr>
            <w:tcW w:w="426" w:type="dxa"/>
          </w:tcPr>
          <w:p w14:paraId="0FD9B2E0" w14:textId="671CD2CF" w:rsidR="00F918CC" w:rsidRDefault="00F918CC" w:rsidP="001B7E8F">
            <w:r>
              <w:t>(</w:t>
            </w:r>
            <w:r w:rsidR="00E45DC9">
              <w:t>8</w:t>
            </w:r>
            <w:r>
              <w:t>)</w:t>
            </w:r>
          </w:p>
        </w:tc>
      </w:tr>
    </w:tbl>
    <w:p w14:paraId="2FF25CAF" w14:textId="77777777" w:rsidR="004B201E" w:rsidRDefault="004B201E"/>
    <w:p w14:paraId="100FBA74" w14:textId="619E0DA5" w:rsidR="00C806B4" w:rsidRPr="00EF1362" w:rsidRDefault="00000000" w:rsidP="00C806B4">
      <m:oMath>
        <m:sSubSup>
          <m:sSubSupPr>
            <m:ctrlPr>
              <w:rPr>
                <w:rFonts w:ascii="Cambria Math" w:hAnsi="Cambria Math"/>
                <w:i/>
              </w:rPr>
            </m:ctrlPr>
          </m:sSubSupPr>
          <m:e>
            <m:r>
              <w:rPr>
                <w:rFonts w:ascii="Cambria Math" w:hAnsi="Cambria Math"/>
              </w:rPr>
              <m:t>F</m:t>
            </m:r>
          </m:e>
          <m:sub>
            <m:r>
              <w:rPr>
                <w:rFonts w:ascii="Cambria Math" w:hAnsi="Cambria Math"/>
              </w:rPr>
              <m:t>GIS</m:t>
            </m:r>
          </m:sub>
          <m:sup>
            <m:r>
              <m:rPr>
                <m:sty m:val="p"/>
              </m:rPr>
              <w:rPr>
                <w:rFonts w:ascii="Cambria Math" w:hAnsi="Cambria Math"/>
              </w:rPr>
              <m:t>±</m:t>
            </m:r>
          </m:sup>
        </m:sSubSup>
      </m:oMath>
      <w:r w:rsidR="00B84193">
        <w:t xml:space="preserve"> represents the critical values of the freshwater flux forcing at which the bifurcation of the AMOC occurs. By defining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B</m:t>
            </m:r>
          </m:sup>
        </m:sSup>
      </m:oMath>
      <w:r w:rsidR="00146AD9">
        <w:t xml:space="preserve"> </w:t>
      </w:r>
      <w:r w:rsidR="00B84193">
        <w:t>as the constant value of the temperature anomaly imposed during th</w:t>
      </w:r>
      <w:r w:rsidR="003555B5">
        <w:t>is second calibration experiment</w:t>
      </w:r>
      <w:r w:rsidR="00B84193">
        <w:t>, Eq.(1) can be expressed as:</w:t>
      </w:r>
    </w:p>
    <w:p w14:paraId="175E9572" w14:textId="77777777" w:rsidR="00C806B4" w:rsidRDefault="00C806B4" w:rsidP="00C806B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5"/>
        <w:gridCol w:w="521"/>
      </w:tblGrid>
      <w:tr w:rsidR="00C806B4" w14:paraId="3F40972C" w14:textId="77777777" w:rsidTr="003974FB">
        <w:trPr>
          <w:trHeight w:val="538"/>
          <w:jc w:val="center"/>
        </w:trPr>
        <w:tc>
          <w:tcPr>
            <w:tcW w:w="9634" w:type="dxa"/>
            <w:vAlign w:val="center"/>
          </w:tcPr>
          <w:p w14:paraId="4670BB53" w14:textId="42466D0F" w:rsidR="00C806B4" w:rsidRPr="00C806B4" w:rsidRDefault="00000000" w:rsidP="001B7E8F">
            <m:oMathPara>
              <m:oMath>
                <m:f>
                  <m:fPr>
                    <m:ctrlPr>
                      <w:rPr>
                        <w:rFonts w:ascii="Cambria Math" w:hAnsi="Cambria Math"/>
                      </w:rPr>
                    </m:ctrlPr>
                  </m:fPr>
                  <m:num>
                    <m:r>
                      <w:rPr>
                        <w:rFonts w:ascii="Cambria Math" w:hAnsi="Cambria Math"/>
                      </w:rPr>
                      <m:t>d</m:t>
                    </m:r>
                    <m:r>
                      <m:rPr>
                        <m:sty m:val="p"/>
                      </m:rPr>
                      <w:rPr>
                        <w:rFonts w:ascii="Cambria Math" w:hAnsi="Cambria Math"/>
                      </w:rPr>
                      <m:t>Ψ</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Ψ</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12</m:t>
                        </m:r>
                      </m:sub>
                    </m:sSub>
                    <m:sSub>
                      <m:sSubPr>
                        <m:ctrlPr>
                          <w:rPr>
                            <w:rFonts w:ascii="Cambria Math" w:hAnsi="Cambria Math"/>
                            <w:i/>
                          </w:rPr>
                        </m:ctrlPr>
                      </m:sSubPr>
                      <m:e>
                        <m:r>
                          <w:rPr>
                            <w:rFonts w:ascii="Cambria Math" w:hAnsi="Cambria Math"/>
                          </w:rPr>
                          <m:t>F</m:t>
                        </m:r>
                      </m:e>
                      <m:sub>
                        <m:r>
                          <w:rPr>
                            <w:rFonts w:ascii="Cambria Math" w:hAnsi="Cambria Math"/>
                          </w:rPr>
                          <m:t>GIS</m:t>
                        </m:r>
                      </m:sub>
                    </m:sSub>
                  </m:e>
                </m:d>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oMath>
            </m:oMathPara>
          </w:p>
        </w:tc>
        <w:tc>
          <w:tcPr>
            <w:tcW w:w="426" w:type="dxa"/>
            <w:vAlign w:val="center"/>
          </w:tcPr>
          <w:p w14:paraId="6DCF280E" w14:textId="643C0ABF" w:rsidR="00C806B4" w:rsidRDefault="00C806B4" w:rsidP="00C806B4">
            <w:r>
              <w:t>(</w:t>
            </w:r>
            <w:r w:rsidR="00E45DC9">
              <w:t>9</w:t>
            </w:r>
            <w:r>
              <w:t>)</w:t>
            </w:r>
          </w:p>
        </w:tc>
      </w:tr>
    </w:tbl>
    <w:p w14:paraId="11B90FB4" w14:textId="77777777" w:rsidR="00950A50" w:rsidRDefault="00950A50" w:rsidP="0015729E"/>
    <w:p w14:paraId="177F5953" w14:textId="77777777" w:rsidR="00950A50" w:rsidRDefault="00950A50" w:rsidP="0015729E"/>
    <w:p w14:paraId="553950CE" w14:textId="00861AF3" w:rsidR="0015729E" w:rsidRDefault="00B84193" w:rsidP="0015729E">
      <w:r>
        <w:t xml:space="preserve">Here,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sSup>
          <m:sSupPr>
            <m:ctrlPr>
              <w:rPr>
                <w:rFonts w:ascii="Cambria Math" w:hAnsi="Cambria Math"/>
              </w:rPr>
            </m:ctrlPr>
          </m:sSupPr>
          <m:e>
            <m:r>
              <w:rPr>
                <w:rFonts w:ascii="Cambria Math" w:hAnsi="Cambria Math"/>
              </w:rPr>
              <m:t>T</m:t>
            </m:r>
          </m:e>
          <m:sup>
            <m:r>
              <w:rPr>
                <w:rFonts w:ascii="Cambria Math" w:hAnsi="Cambria Math"/>
              </w:rPr>
              <m:t>B</m:t>
            </m:r>
          </m:sup>
        </m:sSup>
      </m:oMath>
      <w:r>
        <w:t xml:space="preserve"> represents the constant term, and the method proposed by Martinez Monteiro et al. </w:t>
      </w:r>
      <w:r>
        <w:fldChar w:fldCharType="begin"/>
      </w:r>
      <w:r w:rsidR="008C6149">
        <w:instrText xml:space="preserve"> ADDIN ZOTERO_ITEM CSL_CITATION {"citationID":"xgL8MOs7","properties":{"formattedCitation":"(48)","plainCitation":"(48)","noteIndex":0},"citationItems":[{"id":444,"uris":["http://zotero.org/users/7129331/items/NUYTQ2VV"],"itemData":{"id":444,"type":"article-journal","abstract":"We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fldChar w:fldCharType="separate"/>
      </w:r>
      <w:r w:rsidR="008C6149" w:rsidRPr="008C6149">
        <w:t>(48)</w:t>
      </w:r>
      <w:r>
        <w:fldChar w:fldCharType="end"/>
      </w:r>
      <w:r>
        <w:t xml:space="preserve"> enables the determination of two new values for the following parameters,</w:t>
      </w:r>
    </w:p>
    <w:p w14:paraId="698D6743" w14:textId="77777777" w:rsidR="0015729E" w:rsidRDefault="0015729E" w:rsidP="001572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7"/>
        <w:gridCol w:w="649"/>
      </w:tblGrid>
      <w:tr w:rsidR="0015729E" w14:paraId="14FD6F55" w14:textId="77777777" w:rsidTr="003974FB">
        <w:tc>
          <w:tcPr>
            <w:tcW w:w="9634" w:type="dxa"/>
          </w:tcPr>
          <w:p w14:paraId="12DDC216" w14:textId="77777777" w:rsidR="0015729E" w:rsidRDefault="00000000" w:rsidP="001B7E8F">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sSup>
                      <m:sSupPr>
                        <m:ctrlPr>
                          <w:rPr>
                            <w:rFonts w:ascii="Cambria Math" w:hAnsi="Cambria Math"/>
                            <w:i/>
                          </w:rPr>
                        </m:ctrlPr>
                      </m:sSupPr>
                      <m:e>
                        <m:r>
                          <m:rPr>
                            <m:sty m:val="p"/>
                          </m:rPr>
                          <w:rPr>
                            <w:rFonts w:ascii="Cambria Math" w:hAnsi="Cambria Math"/>
                          </w:rPr>
                          <m:t>Ψ</m:t>
                        </m:r>
                        <m:ctrlPr>
                          <w:rPr>
                            <w:rFonts w:ascii="Cambria Math" w:hAnsi="Cambria Math"/>
                          </w:rPr>
                        </m:ctrlPr>
                      </m:e>
                      <m:sup>
                        <m:sSup>
                          <m:sSupPr>
                            <m:ctrlPr>
                              <w:rPr>
                                <w:rFonts w:ascii="Cambria Math" w:hAnsi="Cambria Math"/>
                                <w:i/>
                              </w:rPr>
                            </m:ctrlPr>
                          </m:sSupPr>
                          <m:e>
                            <m:r>
                              <w:rPr>
                                <w:rFonts w:ascii="Cambria Math" w:hAnsi="Cambria Math"/>
                              </w:rPr>
                              <m:t>-</m:t>
                            </m:r>
                          </m:e>
                          <m:sup>
                            <m:r>
                              <w:rPr>
                                <w:rFonts w:ascii="Cambria Math" w:hAnsi="Cambria Math"/>
                              </w:rPr>
                              <m:t>2</m:t>
                            </m:r>
                          </m:sup>
                        </m:sSup>
                      </m:sup>
                    </m:sSup>
                    <m:d>
                      <m:dPr>
                        <m:ctrlPr>
                          <w:rPr>
                            <w:rFonts w:ascii="Cambria Math" w:hAnsi="Cambria Math"/>
                            <w:i/>
                          </w:rPr>
                        </m:ctrlPr>
                      </m:dPr>
                      <m:e>
                        <m:sSup>
                          <m:sSupPr>
                            <m:ctrlPr>
                              <w:rPr>
                                <w:rFonts w:ascii="Cambria Math" w:hAnsi="Cambria Math"/>
                                <w:i/>
                              </w:rPr>
                            </m:ctrlPr>
                          </m:sSupPr>
                          <m:e>
                            <m:r>
                              <m:rPr>
                                <m:sty m:val="p"/>
                              </m:rPr>
                              <w:rPr>
                                <w:rFonts w:ascii="Cambria Math" w:hAnsi="Cambria Math"/>
                              </w:rPr>
                              <m:t>Ψ</m:t>
                            </m:r>
                          </m:e>
                          <m:sup>
                            <m:r>
                              <w:rPr>
                                <w:rFonts w:ascii="Cambria Math" w:hAnsi="Cambria Math"/>
                              </w:rPr>
                              <m:t>-</m:t>
                            </m:r>
                          </m:sup>
                        </m:sSup>
                        <m:r>
                          <w:rPr>
                            <w:rFonts w:ascii="Cambria Math" w:hAnsi="Cambria Math"/>
                          </w:rPr>
                          <m:t>-3</m:t>
                        </m:r>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sSup>
                      <m:sSupPr>
                        <m:ctrlPr>
                          <w:rPr>
                            <w:rFonts w:ascii="Cambria Math" w:hAnsi="Cambria Math"/>
                            <w:i/>
                          </w:rPr>
                        </m:ctrlPr>
                      </m:sSupPr>
                      <m:e>
                        <m:r>
                          <m:rPr>
                            <m:sty m:val="p"/>
                          </m:rPr>
                          <w:rPr>
                            <w:rFonts w:ascii="Cambria Math" w:hAnsi="Cambria Math"/>
                          </w:rPr>
                          <m:t>Ψ</m:t>
                        </m:r>
                        <m:ctrlPr>
                          <w:rPr>
                            <w:rFonts w:ascii="Cambria Math" w:hAnsi="Cambria Math"/>
                          </w:rPr>
                        </m:ctrlPr>
                      </m:e>
                      <m:sup>
                        <m:sSup>
                          <m:sSupPr>
                            <m:ctrlPr>
                              <w:rPr>
                                <w:rFonts w:ascii="Cambria Math" w:hAnsi="Cambria Math"/>
                                <w:i/>
                              </w:rPr>
                            </m:ctrlPr>
                          </m:sSupPr>
                          <m:e>
                            <m:r>
                              <w:rPr>
                                <w:rFonts w:ascii="Cambria Math" w:hAnsi="Cambria Math"/>
                              </w:rPr>
                              <m:t>+</m:t>
                            </m:r>
                          </m:e>
                          <m:sup>
                            <m:r>
                              <w:rPr>
                                <w:rFonts w:ascii="Cambria Math" w:hAnsi="Cambria Math"/>
                              </w:rPr>
                              <m:t>2</m:t>
                            </m:r>
                          </m:sup>
                        </m:sSup>
                      </m:sup>
                    </m:sSup>
                    <m:d>
                      <m:dPr>
                        <m:ctrlPr>
                          <w:rPr>
                            <w:rFonts w:ascii="Cambria Math" w:hAnsi="Cambria Math"/>
                            <w:i/>
                          </w:rPr>
                        </m:ctrlPr>
                      </m:dPr>
                      <m:e>
                        <m:sSup>
                          <m:sSupPr>
                            <m:ctrlPr>
                              <w:rPr>
                                <w:rFonts w:ascii="Cambria Math" w:hAnsi="Cambria Math"/>
                                <w:i/>
                              </w:rPr>
                            </m:ctrlPr>
                          </m:sSupPr>
                          <m:e>
                            <m:r>
                              <m:rPr>
                                <m:sty m:val="p"/>
                              </m:rPr>
                              <w:rPr>
                                <w:rFonts w:ascii="Cambria Math" w:hAnsi="Cambria Math"/>
                              </w:rPr>
                              <m:t>Ψ</m:t>
                            </m:r>
                          </m:e>
                          <m:sup>
                            <m:r>
                              <w:rPr>
                                <w:rFonts w:ascii="Cambria Math" w:hAnsi="Cambria Math"/>
                              </w:rPr>
                              <m:t>+</m:t>
                            </m:r>
                          </m:sup>
                        </m:sSup>
                        <m:r>
                          <w:rPr>
                            <w:rFonts w:ascii="Cambria Math" w:hAnsi="Cambria Math"/>
                          </w:rPr>
                          <m:t>-3</m:t>
                        </m:r>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e>
                    </m:d>
                    <m:ctrlPr>
                      <w:rPr>
                        <w:rFonts w:ascii="Cambria Math" w:hAnsi="Cambria Math"/>
                        <w:i/>
                      </w:rPr>
                    </m:ctrlPr>
                  </m:num>
                  <m:den>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e>
                    </m:d>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B</m:t>
                    </m:r>
                  </m:sup>
                </m:sSup>
                <m:r>
                  <w:rPr>
                    <w:rFonts w:ascii="Cambria Math" w:hAnsi="Cambria Math"/>
                  </w:rPr>
                  <m:t>,</m:t>
                </m:r>
              </m:oMath>
            </m:oMathPara>
          </w:p>
        </w:tc>
        <w:tc>
          <w:tcPr>
            <w:tcW w:w="426" w:type="dxa"/>
            <w:vAlign w:val="center"/>
          </w:tcPr>
          <w:p w14:paraId="606B71E6" w14:textId="17BDAB0A" w:rsidR="0015729E" w:rsidRDefault="0015729E" w:rsidP="001B7E8F">
            <w:r>
              <w:t>(1</w:t>
            </w:r>
            <w:r w:rsidR="00E45DC9">
              <w:t>0</w:t>
            </w:r>
            <w:r>
              <w:t>)</w:t>
            </w:r>
          </w:p>
        </w:tc>
      </w:tr>
      <w:tr w:rsidR="0015729E" w14:paraId="237CC966" w14:textId="77777777" w:rsidTr="003974FB">
        <w:tc>
          <w:tcPr>
            <w:tcW w:w="9634" w:type="dxa"/>
          </w:tcPr>
          <w:p w14:paraId="59A4BD22" w14:textId="77777777" w:rsidR="0015729E" w:rsidRDefault="00000000" w:rsidP="001B7E8F">
            <m:oMathPara>
              <m:oMath>
                <m:sSub>
                  <m:sSubPr>
                    <m:ctrlPr>
                      <w:rPr>
                        <w:rFonts w:ascii="Cambria Math" w:hAnsi="Cambria Math"/>
                        <w:i/>
                      </w:rPr>
                    </m:ctrlPr>
                  </m:sSubPr>
                  <m:e>
                    <m:r>
                      <w:rPr>
                        <w:rFonts w:ascii="Cambria Math" w:hAnsi="Cambria Math"/>
                      </w:rPr>
                      <m:t>e</m:t>
                    </m:r>
                  </m:e>
                  <m:sub>
                    <m:r>
                      <w:rPr>
                        <w:rFonts w:ascii="Cambria Math" w:hAnsi="Cambria Math"/>
                      </w:rPr>
                      <m:t>12</m:t>
                    </m:r>
                  </m:sub>
                </m:sSub>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p"/>
                                  </m:rPr>
                                  <w:rPr>
                                    <w:rFonts w:ascii="Cambria Math" w:hAnsi="Cambria Math"/>
                                  </w:rPr>
                                  <m:t>Ψ</m:t>
                                </m: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m:t>
                                </m:r>
                              </m:sup>
                            </m:sSup>
                          </m:e>
                        </m:d>
                      </m:e>
                      <m:sup>
                        <m:r>
                          <w:rPr>
                            <w:rFonts w:ascii="Cambria Math" w:hAnsi="Cambria Math"/>
                          </w:rPr>
                          <m:t>3</m:t>
                        </m:r>
                      </m:sup>
                    </m:sSup>
                    <m:ctrlPr>
                      <w:rPr>
                        <w:rFonts w:ascii="Cambria Math" w:hAnsi="Cambria Math"/>
                        <w:i/>
                      </w:rPr>
                    </m:ctrlPr>
                  </m:num>
                  <m:den>
                    <m:r>
                      <w:rPr>
                        <w:rFonts w:ascii="Cambria Math" w:hAnsi="Cambria Math"/>
                      </w:rPr>
                      <m:t>2</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e>
                    </m:d>
                    <m:ctrlPr>
                      <w:rPr>
                        <w:rFonts w:ascii="Cambria Math" w:hAnsi="Cambria Math"/>
                        <w:i/>
                      </w:rPr>
                    </m:ctrlPr>
                  </m:den>
                </m:f>
                <m:r>
                  <w:rPr>
                    <w:rFonts w:ascii="Cambria Math" w:hAnsi="Cambria Math"/>
                  </w:rPr>
                  <m:t>,</m:t>
                </m:r>
              </m:oMath>
            </m:oMathPara>
          </w:p>
        </w:tc>
        <w:tc>
          <w:tcPr>
            <w:tcW w:w="426" w:type="dxa"/>
            <w:vAlign w:val="center"/>
          </w:tcPr>
          <w:p w14:paraId="1FF8B677" w14:textId="7441C3E1" w:rsidR="0015729E" w:rsidRDefault="0015729E" w:rsidP="001B7E8F">
            <w:r>
              <w:t>(1</w:t>
            </w:r>
            <w:r w:rsidR="00E45DC9">
              <w:t>1</w:t>
            </w:r>
            <w:r>
              <w:t>)</w:t>
            </w:r>
          </w:p>
        </w:tc>
      </w:tr>
    </w:tbl>
    <w:p w14:paraId="490252DD" w14:textId="77777777" w:rsidR="004B201E" w:rsidRDefault="004B201E"/>
    <w:p w14:paraId="0D184EF2" w14:textId="29A778C9" w:rsidR="00064005" w:rsidRPr="00354C79" w:rsidRDefault="00B84193" w:rsidP="00064005">
      <w:r>
        <w:t xml:space="preserve">Thus, </w:t>
      </w:r>
      <w:r w:rsidR="00A07DD7">
        <w:t>from</w:t>
      </w:r>
      <w:r>
        <w:t xml:space="preserve"> the five unknowns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12</m:t>
                </m:r>
              </m:sub>
            </m:sSub>
          </m:e>
        </m:d>
      </m:oMath>
      <w:r w:rsidR="00A07DD7">
        <w:t xml:space="preserve"> and two forcing variables</w:t>
      </w:r>
      <w:r>
        <w:t xml:space="preserve">, independent calibration experiments allows us to apply the methodological framework of Martinez Monteiro </w:t>
      </w:r>
      <w:r w:rsidR="006530AB">
        <w:t xml:space="preserve">et al. </w:t>
      </w:r>
      <w:r>
        <w:fldChar w:fldCharType="begin"/>
      </w:r>
      <w:r w:rsidR="008C6149">
        <w:instrText xml:space="preserve"> ADDIN ZOTERO_ITEM CSL_CITATION {"citationID":"6PF9UEoX","properties":{"formattedCitation":"(48)","plainCitation":"(48)","noteIndex":0},"citationItems":[{"id":444,"uris":["http://zotero.org/users/7129331/items/NUYTQ2VV"],"itemData":{"id":444,"type":"article-journal","abstract":"We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fldChar w:fldCharType="separate"/>
      </w:r>
      <w:r w:rsidR="008C6149" w:rsidRPr="008C6149">
        <w:t>(48)</w:t>
      </w:r>
      <w:r>
        <w:fldChar w:fldCharType="end"/>
      </w:r>
      <w:r>
        <w:t xml:space="preserve"> to </w:t>
      </w:r>
      <w:r w:rsidR="00413992">
        <w:t xml:space="preserve">reduce to the case of </w:t>
      </w:r>
      <w:r>
        <w:t xml:space="preserve">a single forcing variable. This results in six equations with an over-determination of the independent parameter </w:t>
      </w:r>
      <m:oMath>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w:t>
      </w:r>
      <w:r w:rsidR="00221526">
        <w:t>I</w:t>
      </w:r>
      <w:r w:rsidR="00064005">
        <w:t>t is possible to generalize the approach to include more than two forcing</w:t>
      </w:r>
      <w:r w:rsidR="00A951BE">
        <w:t xml:space="preserve"> variables</w:t>
      </w:r>
      <w:r w:rsidR="00064005">
        <w:t xml:space="preserve">. </w:t>
      </w:r>
      <w:r w:rsidR="000A7E6A" w:rsidRPr="000A7E6A">
        <w:t xml:space="preserve">For instance, as demonstrated in the Supplementary Materials (S2), an additional freshwater flux forcing term was incorporated into Eq. (1), which can be used </w:t>
      </w:r>
      <w:r w:rsidR="00C30D7B">
        <w:t xml:space="preserve">for instance </w:t>
      </w:r>
      <w:r w:rsidR="000A7E6A" w:rsidRPr="000A7E6A">
        <w:t xml:space="preserve">to calibrate the impact of variations in glacier melt under future scenarios. </w:t>
      </w:r>
      <w:r w:rsidR="00064005">
        <w:t xml:space="preserve"> Mathematically, the generalization to </w:t>
      </w:r>
      <m:oMath>
        <m:r>
          <w:rPr>
            <w:rFonts w:ascii="Cambria Math" w:hAnsi="Cambria Math"/>
          </w:rPr>
          <m:t>N</m:t>
        </m:r>
      </m:oMath>
      <w:r w:rsidR="00064005">
        <w:t xml:space="preserve"> forcing variables results in obtaining </w:t>
      </w:r>
      <m:oMath>
        <m:r>
          <w:rPr>
            <w:rFonts w:ascii="Cambria Math" w:hAnsi="Cambria Math"/>
          </w:rPr>
          <m:t>4N-2</m:t>
        </m:r>
        <m:d>
          <m:dPr>
            <m:ctrlPr>
              <w:rPr>
                <w:rFonts w:ascii="Cambria Math" w:hAnsi="Cambria Math"/>
              </w:rPr>
            </m:ctrlPr>
          </m:dPr>
          <m:e>
            <m:r>
              <w:rPr>
                <w:rFonts w:ascii="Cambria Math" w:hAnsi="Cambria Math"/>
              </w:rPr>
              <m:t>N-1</m:t>
            </m:r>
          </m:e>
        </m:d>
      </m:oMath>
      <w:r w:rsidR="00064005">
        <w:t xml:space="preserve"> equations with </w:t>
      </w:r>
      <m:oMath>
        <m:r>
          <w:rPr>
            <w:rFonts w:ascii="Cambria Math" w:hAnsi="Cambria Math"/>
          </w:rPr>
          <m:t>4+</m:t>
        </m:r>
        <m:d>
          <m:dPr>
            <m:ctrlPr>
              <w:rPr>
                <w:rFonts w:ascii="Cambria Math" w:hAnsi="Cambria Math"/>
              </w:rPr>
            </m:ctrlPr>
          </m:dPr>
          <m:e>
            <m:r>
              <w:rPr>
                <w:rFonts w:ascii="Cambria Math" w:hAnsi="Cambria Math"/>
              </w:rPr>
              <m:t>N-1</m:t>
            </m:r>
          </m:e>
        </m:d>
      </m:oMath>
      <w:r w:rsidR="00064005">
        <w:t xml:space="preserve"> knowns and </w:t>
      </w:r>
      <m:oMath>
        <m:r>
          <w:rPr>
            <w:rFonts w:ascii="Cambria Math" w:hAnsi="Cambria Math"/>
          </w:rPr>
          <m:t>N-1</m:t>
        </m:r>
      </m:oMath>
      <w:r w:rsidR="00064005">
        <w:t xml:space="preserve"> over-determined equations. As shown in the next section, these over-determinations occur because the coefficient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064005">
        <w:t xml:space="preserve"> is the constant shared across all calibrations of different sensitivity experiments. What value, then, should be assigned to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064005">
        <w:t xml:space="preserve">? Sensitivity experiments have shown that defining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A</m:t>
            </m:r>
          </m:sup>
        </m:sSubSup>
      </m:oMath>
      <w:r w:rsidR="00064005">
        <w:t xml:space="preserve">, where </w:t>
      </w:r>
      <m:oMath>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A</m:t>
            </m:r>
          </m:sup>
        </m:sSubSup>
      </m:oMath>
      <w:r w:rsidR="00064005">
        <w:t xml:space="preserve"> is determined from Eq.(6), yields the most accurate results for emulating the evolution of the AMOC based on </w:t>
      </w:r>
      <w:r w:rsidR="007262ED">
        <w:t>the simulator</w:t>
      </w:r>
      <w:r w:rsidR="00064005">
        <w:t xml:space="preserve">. This is because temperature forcing is the primary driver of AMOC collapse </w:t>
      </w:r>
      <w:r w:rsidR="00064005">
        <w:fldChar w:fldCharType="begin"/>
      </w:r>
      <w:r w:rsidR="00064005">
        <w:instrText xml:space="preserve"> ADDIN ZOTERO_ITEM CSL_CITATION {"citationID":"G2Ifxu8N","properties":{"formattedCitation":"(15)","plainCitation":"(15)","noteIndex":0},"citationItems":[{"id":6643,"uris":["http://zotero.org/users/7129331/items/AJWMSHTV"],"itemData":{"id":6643,"type":"article-journal","abstract":"The most recent Intergovernmental Panel on Climate Change assessment report concludes that the Atlantic Meridional Overturning Circulation (AMOC) could weaken substantially but is very unlikely to collapse in the 21st century. However, the assessment largely neglected Greenland Ice Sheet (GrIS) mass loss, lacked a comprehensive uncertainty analysis, and was limited to the 21st century. Here in a community effort, improved estimates of GrIS mass loss are included in multicentennial projections using eight state-of-the-science climate models, and an AMOC emulator is used to provide a probabilistic uncertainty assessment. We find that GrIS melting affects AMOC projections, even though it is of secondary importance. By years 2090–2100, the AMOC weakens by 18% [−3%, −34%; 90% probability] in an intermediate greenhouse-gas mitigation scenario and by 37% [−15%, −65%] under continued high emissions. Afterward, it stabilizes in the former but continues to decline in the latter to −74% [+4%, −100%] by 2290–2300, with a 44% likelihood of an AMOC collapse. This result suggests that an AMOC collapse can be avoided by CO2 mitigation.","container-title":"Geophysical Research Letters","DOI":"10.1002/2016GL070457","ISSN":"1944-8007","issue":"23","language":"en","license":"©2016. American Geophysical Union and Her Majesty The Queen in Right of Canada. Reproduced with the permission of the Minister of the Environment, Canada.","note":"_eprint: https://onlinelibrary.wiley.com/doi/pdf/10.1002/2016GL070457","page":"12,252-12,260","source":"Wiley Online Library","title":"Fate of the Atlantic Meridional Overturning Circulation: Strong decline under continued warming and Greenland melting","title-short":"Fate of the Atlantic Meridional Overturning Circulation","volume":"43","author":[{"family":"Bakker","given":"P."},{"family":"Schmittner","given":"A."},{"family":"Lenaerts","given":"J. T. M."},{"family":"Abe-Ouchi","given":"A."},{"family":"Bi","given":"D."},{"family":"Broeke","given":"M. R.","non-dropping-particle":"van den"},{"family":"Chan","given":"W.-L."},{"family":"Hu","given":"A."},{"family":"Beadling","given":"R. L."},{"family":"Marsland","given":"S. J."},{"family":"Mernild","given":"S. H."},{"family":"Saenko","given":"O. A."},{"family":"Swingedouw","given":"D."},{"family":"Sullivan","given":"A."},{"family":"Yin","given":"J."}],"issued":{"date-parts":[["2016"]]}}}],"schema":"https://github.com/citation-style-language/schema/raw/master/csl-citation.json"} </w:instrText>
      </w:r>
      <w:r w:rsidR="00064005">
        <w:fldChar w:fldCharType="separate"/>
      </w:r>
      <w:r w:rsidR="00064005" w:rsidRPr="00275483">
        <w:t>(15)</w:t>
      </w:r>
      <w:r w:rsidR="00064005">
        <w:fldChar w:fldCharType="end"/>
      </w:r>
      <w:r w:rsidR="00064005">
        <w:t xml:space="preserve">, as demonstrated in CMIP5 experiments </w:t>
      </w:r>
      <w:r w:rsidR="00064005">
        <w:fldChar w:fldCharType="begin"/>
      </w:r>
      <w:r w:rsidR="00064005">
        <w:instrText xml:space="preserve"> ADDIN ZOTERO_ITEM CSL_CITATION {"citationID":"szhNBYt6","properties":{"formattedCitation":"(13)","plainCitation":"(13)","noteIndex":0},"citationItems":[{"id":6586,"uris":["http://zotero.org/users/7129331/items/I79XA89E"],"itemData":{"id":6586,"type":"article-journal","abstract":"In a transient warming scenario, the North Atlantic is influenced by a complex pattern of surface buoyancy flux changes that ultimately weaken the Atlantic meridional overturning circulation (AMOC). Here we study the AMOC response in the CMIP5 experiment, using the near-geostrophic balance of the AMOC on interannual time scales to identify the role of temperature and salinity changes in altering the circulation. The thermal wind relationship is used to quantify changes in the zonal density gradients that control the strength of the flow. At 40°N, where the overturning cell is at its strongest, weakening of the AMOC is largely driven by warming between 1000- and 2000-m depth along the western margin. Despite significant subpolar surface freshening, salinity changes are small in the deep branch of the circulation. This is likely due to the influence of anomalously salty water in the subpolar intermediate layers, which is carried northward from the subtropics in the upper limb of the AMOC. In the upper 1000 m at 40°N, salty anomalies due to increased evaporation largely cancel the buoyancy increase due to warming. Therefore, in CMIP5, temperature dynamics are responsible for AMOC weakening, while freshwater forcing instead acts to strengthen the circulation in the net. These results indicate that past modeling studies of AMOC weakening, which rely on freshwater hosing in the subpolar gyre, may not be directly applicable to a more complex warming scenario.","container-title":"Journal of Climate","DOI":"10.1175/JCLI-D-19-0547.1","ISSN":"0894-8755, 1520-0442","issue":"4","language":"EN","note":"publisher: American Meteorological Society\nsection: Journal of Climate","page":"1535-1545","source":"journals.ametsoc.org","title":"What Causes the AMOC to Weaken in CMIP5?","volume":"33","author":[{"family":"Levang","given":"Samuel J."},{"family":"Schmitt","given":"Raymond W."}],"issued":{"date-parts":[["2020",2,15]]}}}],"schema":"https://github.com/citation-style-language/schema/raw/master/csl-citation.json"} </w:instrText>
      </w:r>
      <w:r w:rsidR="00064005">
        <w:fldChar w:fldCharType="separate"/>
      </w:r>
      <w:r w:rsidR="00064005" w:rsidRPr="00275483">
        <w:t>(13)</w:t>
      </w:r>
      <w:r w:rsidR="00064005">
        <w:fldChar w:fldCharType="end"/>
      </w:r>
      <w:r w:rsidR="00064005">
        <w:t xml:space="preserve">. </w:t>
      </w:r>
      <w:r w:rsidR="00064005" w:rsidRPr="00ED1C28">
        <w:t xml:space="preserve">Consequently, we prioritize achieving the most accurate calibration for temperature forcing while </w:t>
      </w:r>
      <w:r w:rsidR="00F66CED">
        <w:t>tolerating</w:t>
      </w:r>
      <w:r w:rsidR="00064005" w:rsidRPr="00ED1C28">
        <w:t xml:space="preserve"> a greater error in calibrating freshwater forcing. </w:t>
      </w:r>
      <w:r w:rsidR="00064005" w:rsidRPr="000F2130">
        <w:t xml:space="preserve">Therefore, we adopt the value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r w:rsidR="00064005">
        <w:t xml:space="preserve"> </w:t>
      </w:r>
      <w:r w:rsidR="00064005" w:rsidRPr="000F2130">
        <w:t>as determined by the temperature sensitivity calibration experiment.</w:t>
      </w:r>
    </w:p>
    <w:p w14:paraId="78E70433" w14:textId="77777777" w:rsidR="004B201E" w:rsidRDefault="004B201E"/>
    <w:p w14:paraId="604F611E" w14:textId="0E908890" w:rsidR="00BC6E79" w:rsidRDefault="00B84193">
      <w:r>
        <w:t>The final parameter in the ATCM module that needs to be calibrated is the internal dynamic time scale of the AMOC, denoted as</w:t>
      </w:r>
      <w:r w:rsidR="0045508C">
        <w:t xml:space="preserve"> </w:t>
      </w:r>
      <m:oMath>
        <m:r>
          <w:rPr>
            <w:rFonts w:ascii="Cambria Math" w:hAnsi="Cambria Math"/>
          </w:rPr>
          <m:t>τ</m:t>
        </m:r>
      </m:oMath>
      <w:r w:rsidR="00354C79">
        <w:t>.</w:t>
      </w:r>
      <w:r>
        <w:t xml:space="preserve"> Based on Armstrong McKay et al.</w:t>
      </w:r>
      <w:r w:rsidR="005A4F06">
        <w:t xml:space="preserve"> </w:t>
      </w:r>
      <w:r>
        <w:fldChar w:fldCharType="begin"/>
      </w:r>
      <w:r w:rsidR="003A0D85">
        <w:instrText xml:space="preserve"> ADDIN ZOTERO_ITEM CSL_CITATION {"citationID":"V6h1o8iN","properties":{"formattedCitation":"(50)","plainCitation":"(50)","noteIndex":0},"citationItems":[{"id":"YXi9sT6M/5S6edfbf","uris":["http://zotero.org/users/7129331/items/CWZF85CR"],"itemData":{"id":2908,"type":"article-journal","abstract":"Climate tipping points occur when change in a part of the climate system becomes self-perpetuating beyond a warming threshold, leading to substantial Earth system impacts. Synthesizing paleoclimate, observational, and model-based studies, we provide a revised shortlist of global “core” tipping elements and regional “impact” tipping elements and their temperature thresholds. Current global warming of ~1.1°C above preindustrial temperatures already lies within the lower end of some tipping point uncertainty ranges. Several tipping points may be triggered in the Paris Agreement range of 1.5 to &lt;2°C global warming, with many more likely at the 2 to 3°C of warming expected on current policy trajectories. This strengthens the evidence base for urgent action to mitigate climate change and to develop improved tipping point risk assessment, early warning capability, and adaptation strategies.\n          , \n            Getting tipsy\n            \n              Climate tipping points are conditions beyond which changes in a part of the climate system become self-perpetuating. These changes may lead to abrupt, irreversible, and dangerous impacts with serious implications for humanity. Armstrong McKay\n              et al\n              . present an updated assessment of the most important climate tipping elements and their potential tipping points, including their temperature thresholds, time scales, and impacts. Their analysis indicates that even global warming of 1°C, a threshold that we already have passed, puts us at risk by triggering some tipping points. This finding provides a compelling reason to limit additional warming as much as possible. —HJS\n            \n          , \n            Global warming greater than 1.5°C could trigger multiple climate tipping points.\n          , \n            \n              INTRODUCTION\n              \n                Climate tipping points (CTPs) are a source of growing scientific, policy, and public concern. They occur when change in large parts of the climate system—known as tipping elements—become self-perpetuating beyond a warming threshold. Triggering CTPs leads to significant, policy-relevant impacts, including substantial sea level rise from collapsing ice sheets, dieback of biodiverse biomes such as the Amazon rainforest or warm-water corals, and carbon release from thawing permafrost. Nine policy-relevant tipping elements and their CTPs were originally identified by Lenton\n                et al\n                . (2008). We carry out the first comprehensive reassessment of all suggested tipping elements, their CTPs, and the timescales and impacts of tipping. We also highlight steps to further improve understanding of CTPs, including an expert elicitation, a model intercomparison project, and early warning systems leveraging deep learning and remotely sensed data.\n              \n            \n            \n              RATIONALE\n              \n                Since the original identification of tipping elements there have been substantial advances in scientific understanding from paleoclimate, observational, and model-based studies. Additional tipping elements have been proposed (e.g., parts of the East Antarctic ice sheet) and the status of others (e.g., Arctic summer sea ice) has been questioned. Observations have revealed that parts of the West Antarctic ice sheet may have already passed a tipping point. Potential early warning signals of the Greenland ice sheet, Atlantic Meridional Overturning Circulation, and Amazon rainforest destabilization have been detected. Multiple abrupt shifts have been found in climate models. Recent work has suggested that up to 15 tipping elements are now active (Lenton\n                et al\n                ., 2019). Hence it is timely to synthesize this new knowledge to provide a revised shortlist of potential tipping elements and their CTP thresholds.\n              \n            \n            \n              RESULTS\n              We identify nine global “core” tipping elements which contribute substantially to Earth system functioning and seven regional “impact” tipping elements which contribute substantially to human welfare or have great value as unique features of the Earth system (see figure). Their estimated CTP thresholds have significant implications for climate policy: Current global warming of ~1.1°C above pre-industrial already lies within the lower end of five CTP uncertainty ranges. Six CTPs become likely (with a further four possible) within the Paris Agreement range of 1.5 to &lt;2°C warming, including collapse of the Greenland and West Antarctic ice sheets, die-off of low-latitude coral reefs, and widespread abrupt permafrost thaw. An additional CTP becomes likely and another three possible at the ~2.6°C of warming expected under current policies.\n            \n            \n              CONCLUSION\n              Our assessment provides strong scientific evidence for urgent action to mitigate climate change. We show that even the Paris Agreement goal of limiting warming to well below 2°C and preferably 1.5°C is not safe as 1.5°C and above risks crossing multiple tipping points. Crossing these CTPs can generate positive feedbacks that increase the likelihood of crossing other CTPs. Currently the world is heading toward ~2 to 3°C of global warming; at best, if all net-zero pledges and nationally determined contributions are implemented it could reach just below 2°C. This would lower tipping point risks somewhat but would still be dangerous as it could trigger multiple climate tipping points.\n              \n                \n                  The location of climate tipping elements in the cryosphere (blue), biosphere (green), and ocean/atmosphere (orange), and global warming levels at which their tipping points will likely be triggered.\n                  Pins are colored according to our central global warming threshold estimate being below 2°C, i.e., within the Paris Agreement range (light orange, circles); between 2 and 4°C, i.e., accessible with current policies (orange, diamonds); and 4°C and above (red, triangles).","container-title":"Science","DOI":"10.1126/science.abn7950","ISSN":"0036-8075, 1095-9203","issue":"6611","journalAbbreviation":"Science","language":"en","page":"eabn7950","source":"DOI.org (Crossref)","title":"Exceeding 1.5°C global warming could trigger multiple climate tipping points","volume":"377","author":[{"family":"Armstrong McKay","given":"David I."},{"family":"Staal","given":"Arie"},{"family":"Abrams","given":"Jesse F."},{"family":"Winkelmann","given":"Ricarda"},{"family":"Sakschewski","given":"Boris"},{"family":"Loriani","given":"Sina"},{"family":"Fetzer","given":"Ingo"},{"family":"Cornell","given":"Sarah E."},{"family":"Rockström","given":"Johan"},{"family":"Lenton","given":"Timothy M."}],"issued":{"date-parts":[["2022",9,9]]}}}],"schema":"https://github.com/citation-style-language/schema/raw/master/csl-citation.json"} </w:instrText>
      </w:r>
      <w:r>
        <w:fldChar w:fldCharType="separate"/>
      </w:r>
      <w:r w:rsidR="008C6149" w:rsidRPr="008C6149">
        <w:t>(50)</w:t>
      </w:r>
      <w:r>
        <w:fldChar w:fldCharType="end"/>
      </w:r>
      <w:r w:rsidR="00553E03">
        <w:t>,</w:t>
      </w:r>
      <w:r>
        <w:t xml:space="preserve"> we assume that the internal dynamic time scale of the AMOC</w:t>
      </w:r>
      <w:r w:rsidR="002224F4">
        <w:t xml:space="preserve"> is the same </w:t>
      </w:r>
      <w:r w:rsidR="00AB4FCD">
        <w:t>w</w:t>
      </w:r>
      <w:r w:rsidR="002224F4">
        <w:t>h</w:t>
      </w:r>
      <w:r w:rsidR="00AB4FCD">
        <w:t xml:space="preserve">ether </w:t>
      </w:r>
      <w:r w:rsidR="00D04C38">
        <w:t xml:space="preserve">it </w:t>
      </w:r>
      <w:r w:rsidR="00AB4FCD">
        <w:t>is collapsing or recovering</w:t>
      </w:r>
      <w:r w:rsidR="00204C32">
        <w:t>,</w:t>
      </w:r>
      <w:r>
        <w:t xml:space="preserve"> i.e., </w:t>
      </w:r>
      <m:oMath>
        <m:r>
          <w:rPr>
            <w:rFonts w:ascii="Cambria Math" w:hAnsi="Cambria Math"/>
          </w:rPr>
          <m:t>τ≡</m:t>
        </m:r>
        <m:sSubSup>
          <m:sSubSupPr>
            <m:ctrlPr>
              <w:rPr>
                <w:rFonts w:ascii="Cambria Math" w:hAnsi="Cambria Math"/>
              </w:rPr>
            </m:ctrlPr>
          </m:sSubSupPr>
          <m:e>
            <m:r>
              <w:rPr>
                <w:rFonts w:ascii="Cambria Math" w:hAnsi="Cambria Math"/>
              </w:rPr>
              <m:t>τ</m:t>
            </m:r>
          </m:e>
          <m:sub>
            <m:r>
              <w:rPr>
                <w:rFonts w:ascii="Cambria Math" w:hAnsi="Cambria Math"/>
              </w:rPr>
              <m:t>Ψ</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τ</m:t>
            </m:r>
          </m:e>
          <m:sub>
            <m:r>
              <m:rPr>
                <m:sty m:val="p"/>
              </m:rPr>
              <w:rPr>
                <w:rFonts w:ascii="Cambria Math" w:hAnsi="Cambria Math"/>
              </w:rPr>
              <m:t>Ψ</m:t>
            </m:r>
          </m:sub>
          <m:sup>
            <m:r>
              <w:rPr>
                <w:rFonts w:ascii="Cambria Math" w:hAnsi="Cambria Math"/>
              </w:rPr>
              <m:t>-</m:t>
            </m:r>
          </m:sup>
        </m:sSubSup>
      </m:oMath>
      <w:r>
        <w:t xml:space="preserve">. </w:t>
      </w:r>
      <w:r w:rsidR="00643D08" w:rsidRPr="00856F61">
        <w:t xml:space="preserve">To calibrate τ, we aim to minimize the discrepancy between the </w:t>
      </w:r>
      <w:r w:rsidR="006A2430">
        <w:t xml:space="preserve">timing of the </w:t>
      </w:r>
      <w:r w:rsidR="00643D08" w:rsidRPr="00856F61">
        <w:t xml:space="preserve">AMOC collapse in the </w:t>
      </w:r>
      <w:r w:rsidR="00BC6E79">
        <w:t>simulator</w:t>
      </w:r>
      <w:r w:rsidR="00643D08" w:rsidRPr="00856F61">
        <w:t xml:space="preserve"> and in the emulator. </w:t>
      </w:r>
      <w:r w:rsidR="00F81CB5" w:rsidRPr="00F81CB5">
        <w:t>This is achieved through classical numerical optimization to determine the optimal</w:t>
      </w:r>
      <w:r w:rsidR="00643D08" w:rsidRPr="00856F61">
        <w:t xml:space="preserve"> τ calibration</w:t>
      </w:r>
      <w:r w:rsidR="00E40112">
        <w:t xml:space="preserve"> in the emulator</w:t>
      </w:r>
      <w:r w:rsidR="00643D08" w:rsidRPr="00856F61">
        <w:t>,</w:t>
      </w:r>
      <w:r w:rsidR="006F41B4">
        <w:t xml:space="preserve"> </w:t>
      </w:r>
      <w:r w:rsidR="00F81CB5" w:rsidRPr="00F81CB5">
        <w:t>allowing a maximum tolerance of 1% difference between the projected timings in the two models.</w:t>
      </w:r>
    </w:p>
    <w:p w14:paraId="4EFCAC11" w14:textId="77777777" w:rsidR="00F81CB5" w:rsidRDefault="00F81CB5"/>
    <w:p w14:paraId="2E8C2A64" w14:textId="245B4B16" w:rsidR="00523A26" w:rsidRPr="0018544E" w:rsidRDefault="00CA517E">
      <w:r w:rsidRPr="00856F61">
        <w:t xml:space="preserve">What type of forcing experiment should be conducted with the </w:t>
      </w:r>
      <w:r w:rsidR="00063880">
        <w:t>simulator</w:t>
      </w:r>
      <w:r w:rsidRPr="00856F61">
        <w:t xml:space="preserve"> for this purpose? By definition, τ requires transient experiments measuring AMOC intensity in our </w:t>
      </w:r>
      <w:r w:rsidR="00604400">
        <w:t>simulator</w:t>
      </w:r>
      <w:r w:rsidRPr="00856F61">
        <w:t xml:space="preserve">. </w:t>
      </w:r>
      <w:r w:rsidR="000A0AD4" w:rsidRPr="00856F61">
        <w:t xml:space="preserve">As we </w:t>
      </w:r>
      <w:r w:rsidR="000A0AD4">
        <w:t>show next</w:t>
      </w:r>
      <w:r w:rsidR="000A0AD4" w:rsidRPr="00856F61">
        <w:t xml:space="preserve">, this simplified AMOC dynamics framework cannot simultaneously reproduce with equal accuracy the characteristic timescales of AMOC response to both rapid and slow forcing regimes. </w:t>
      </w:r>
      <w:r w:rsidR="000A0AD4">
        <w:t>Hence, the</w:t>
      </w:r>
      <w:r w:rsidRPr="00856F61">
        <w:t xml:space="preserve"> </w:t>
      </w:r>
      <w:r w:rsidR="000A0AD4">
        <w:t>user should chose a forcing function that is consistent</w:t>
      </w:r>
      <w:r w:rsidR="00B8350D">
        <w:t xml:space="preserve"> </w:t>
      </w:r>
      <w:r w:rsidRPr="00856F61">
        <w:t xml:space="preserve">with the emulator's intended application. </w:t>
      </w:r>
      <w:r w:rsidR="00B8350D">
        <w:t xml:space="preserve">Here, </w:t>
      </w:r>
      <w:r w:rsidRPr="00856F61">
        <w:t>given our emulator's primary purpose of investigating plausible near-term AMOC collapse scenarios, we calibrate τ in the following section using a cGENIE simulation where atmospheric CO₂ concentrations increase by 1% annually until reaching eight times pre-industrial levels. We will subsequently demonstrate the robustness of these calibration results while discussing their inherent limitations.</w:t>
      </w:r>
    </w:p>
    <w:p w14:paraId="3250632D" w14:textId="77777777" w:rsidR="004B201E" w:rsidRPr="00C12245" w:rsidRDefault="004B201E"/>
    <w:p w14:paraId="5F048D54" w14:textId="30030CB8" w:rsidR="00E5748B" w:rsidRDefault="00B84193" w:rsidP="00E5748B">
      <w:pPr>
        <w:pStyle w:val="Heading1"/>
      </w:pPr>
      <w:r>
        <w:t>3. Results</w:t>
      </w:r>
    </w:p>
    <w:p w14:paraId="5D6F86A5" w14:textId="77777777" w:rsidR="00E5748B" w:rsidRDefault="00E5748B" w:rsidP="00E5748B"/>
    <w:p w14:paraId="63307D87" w14:textId="790181E8" w:rsidR="00950A50" w:rsidRDefault="00CF25AE" w:rsidP="00360796">
      <w:r w:rsidRPr="00CF25AE">
        <w:t>In this section, we calibrate the ATCM using cGENIE, following the methodology developed in Section 2. Next, we evaluate the ATCM by simulating the AMOC under two SSP scenarios and comparing the results with cGENIE simulations. Finally, we integrate the ATCM into SURFER and simulate the evolution of the AMOC under a range of realistic emission scenarios.</w:t>
      </w:r>
    </w:p>
    <w:p w14:paraId="7201337F" w14:textId="77777777" w:rsidR="00827A66" w:rsidRPr="00CF25AE" w:rsidRDefault="00827A66" w:rsidP="00360796"/>
    <w:p w14:paraId="51AE5238" w14:textId="47574A69" w:rsidR="004B201E" w:rsidRDefault="00B84193">
      <w:pPr>
        <w:pStyle w:val="BodyText"/>
        <w:rPr>
          <w:rFonts w:ascii="Arial" w:eastAsia="Arial" w:hAnsi="Arial" w:cs="Arial"/>
          <w:b/>
          <w:sz w:val="24"/>
          <w:szCs w:val="28"/>
        </w:rPr>
      </w:pPr>
      <w:r>
        <w:rPr>
          <w:rFonts w:ascii="Arial" w:eastAsia="Arial" w:hAnsi="Arial" w:cs="Arial"/>
          <w:b/>
          <w:sz w:val="24"/>
          <w:szCs w:val="28"/>
        </w:rPr>
        <w:t xml:space="preserve">3.1 Calibration with </w:t>
      </w:r>
      <w:r w:rsidR="007D15C1">
        <w:rPr>
          <w:rFonts w:ascii="Arial" w:eastAsia="Arial" w:hAnsi="Arial" w:cs="Arial"/>
          <w:b/>
          <w:sz w:val="24"/>
          <w:szCs w:val="28"/>
        </w:rPr>
        <w:t>cGENIE</w:t>
      </w:r>
    </w:p>
    <w:p w14:paraId="2794FF1E" w14:textId="77777777" w:rsidR="004B201E" w:rsidRDefault="004B201E" w:rsidP="001A1A0A"/>
    <w:p w14:paraId="778A40C1" w14:textId="1213195A" w:rsidR="004A7010" w:rsidRPr="005D4A75" w:rsidRDefault="00B84193">
      <w:r>
        <w:lastRenderedPageBreak/>
        <w:t xml:space="preserve">To validate the emulator, we applied the ATCM to </w:t>
      </w:r>
      <w:r w:rsidR="007D15C1">
        <w:t>cGENIE</w:t>
      </w:r>
      <w:r>
        <w:t xml:space="preserve"> </w:t>
      </w:r>
      <w:r>
        <w:fldChar w:fldCharType="begin"/>
      </w:r>
      <w:r w:rsidR="008C6149">
        <w:instrText xml:space="preserve"> ADDIN ZOTERO_ITEM CSL_CITATION {"citationID":"N1P7PqKJ","properties":{"formattedCitation":"(51)","plainCitation":"(51)","noteIndex":0},"citationItems":[{"id":3453,"uris":["http://zotero.org/users/7129331/items/4YYU6V78"],"itemData":{"id":3453,"type":"article-journal","abstract":"The cGENIE.muffin user-manual and introduction to Earth system modelling","language":"en","source":"Zotero","title":"cGENIE.muffin EMIC Documentation","URL":"https://www.seao2.info/mymuffin.html","author":[{"family":"Ridgwell","given":"Andy"}],"issued":{"date-parts":[["2022"]]}}}],"schema":"https://github.com/citation-style-language/schema/raw/master/csl-citation.json"} </w:instrText>
      </w:r>
      <w:r>
        <w:fldChar w:fldCharType="separate"/>
      </w:r>
      <w:r w:rsidR="008C6149" w:rsidRPr="008C6149">
        <w:t>(51)</w:t>
      </w:r>
      <w:r>
        <w:fldChar w:fldCharType="end"/>
      </w:r>
      <w:r>
        <w:t xml:space="preserve">, an EMIC </w:t>
      </w:r>
      <w:r w:rsidR="00C05D35">
        <w:t>(</w:t>
      </w:r>
      <w:r>
        <w:fldChar w:fldCharType="begin"/>
      </w:r>
      <w:r w:rsidR="00F91B59">
        <w:instrText xml:space="preserve"> ADDIN ZOTERO_ITEM CSL_CITATION {"citationID":"CkyIbdYK","properties":{"formattedCitation":"(37)","plainCitation":"(37)","dontUpdate":true,"noteIndex":0},"citationItems":[{"id":6521,"uris":["http://zotero.org/users/7129331/items/5Z6QEYBC"],"itemData":{"id":6521,"type":"article-journal","abstract":"We propose a new perspective on the hierarchy of climate models which goes beyond the \"classical\" climate modeling pyramid that is restricted mainly to atmospheric processes. Most notably, we introduce a new indicator, called \"integration\", which characterizes the number of interacting components of the climate system being explicitly described in a model. The location of several model types, from conceptual to comprehensive, is presented in a new spectrum of climate system models. In particular, the location of the Earth system Models of Intermediate Complexity (EMICs) in this spectrum is discussed in some detail and examples are given, which indicate that there is currently a broad range of EMICs in use. In some EMICs, the number of processes and/or the detail of description is reduced for the sake of simulating the feedbacks between as many components of the climate system as feasible. Others, with a lesser degree of interaction, or \"integration\", are used for long-term ensemble simulations to study specific aspects of climate variability. EMICs appear to be closer to comprehensive coupled models of atmospheric and oceanic circulation (CGCMs) than to \"conceptual\" or \"box\" models. We advocate that EMICs be considered as complementary to CGCMs and conceptual models, because we believe that there is an advantage of having a spectrum of climate system models which are designed to tackle specific aspects of climate and which together provide the proper tool for climate system modeling.","container-title":"Climate Dynamics","DOI":"10.1007/s00382-001-0200-1","ISSN":"1432-0894","issue":"7","journalAbbreviation":"Climate Dynamics","language":"en","page":"579-586","source":"Springer Link","title":"Earth system models of intermediate complexity: closing the gap in the spectrum of climate system models","title-short":"Earth system models of intermediate complexity","volume":"18","author":[{"family":"Claussen","given":"M."},{"family":"Mysak","given":"L."},{"family":"Weaver","given":"A."},{"family":"Crucifix","given":"M."},{"family":"Fichefet","given":"T."},{"family":"Loutre","given":"M.-F."},{"family":"Weber","given":"S."},{"family":"Alcamo","given":"J."},{"family":"Alexeev","given":"V."},{"family":"Berger","given":"A."},{"family":"Calov","given":"R."},{"family":"Ganopolski","given":"A."},{"family":"Goosse","given":"H."},{"family":"Lohmann","given":"G."},{"family":"Lunkeit","given":"F."},{"family":"Mokhov","given":"I."},{"family":"Petoukhov","given":"V."},{"family":"Stone","given":"P."},{"family":"Wang","given":"Z."}],"issued":{"date-parts":[["2002",3,1]]}}}],"schema":"https://github.com/citation-style-language/schema/raw/master/csl-citation.json"} </w:instrText>
      </w:r>
      <w:r>
        <w:fldChar w:fldCharType="separate"/>
      </w:r>
      <w:r w:rsidR="00275483" w:rsidRPr="00275483">
        <w:t>37)</w:t>
      </w:r>
      <w:r>
        <w:fldChar w:fldCharType="end"/>
      </w:r>
      <w:r>
        <w:t xml:space="preserve"> that has already demonstrated its ability to simulate AMOC hysteresis </w:t>
      </w:r>
      <w:r>
        <w:fldChar w:fldCharType="begin"/>
      </w:r>
      <w:r w:rsidR="008C6149">
        <w:instrText xml:space="preserve"> ADDIN ZOTERO_ITEM CSL_CITATION {"citationID":"DE2KC4G3","properties":{"formattedCitation":"(14,52)","plainCitation":"(14,52)","noteIndex":0},"citationItems":[{"id":6496,"uris":["http://zotero.org/users/7129331/items/LFPLFEM3"],"itemData":{"id":6496,"type":"article-journal","abstract":"It is now established that the increase in atmospheric CO2 is likely to cause a weakening, or perhaps a collapse, of the Atlantic Meridional Overturning Circulation (AMOC). To investigate the mechanisms of this response in CMIP5 models, Levang and Schmitt (2020) have estimated the geostrophic streamfunction in these models offline and have decomposed the simulated changes into a contribution caused by the variations in temperature and salinity. They concluded that under a warming scenario, and for most models, the weakening of the AMOC is fundamentally driven by temperature anomalies, while freshwater forcing actually acts to stabilise it. However, given that both 3-D fields of ocean temperature and salinity are expected to respond to a forcing at the ocean surface, it is unclear to what extent the diagnostic is informative about the nature of the forcing. To clarify this question, we used the Earth system Model of Intermediate Complexity (EMIC), cGENIE, which is equipped with the C-GOLDSTEIN friction-geostrophic model. First, we reproduced the experiments simulating the Representative Concentration Pathway 8.5 (RCP8.5) warming scenario and observed that cGENIE behaves similarly to the majority of the CMIP5 models considered by Levang and Schmitt (2020), with the response dominated by the changes in the thermal structure of the ocean. Next, we considered hysteresis experiments associated with (1) water hosing and (2) CO2 increase and decrease. In all experiments, initial changes in the ocean streamfunction appear to be primarily caused by the changes in the temperature distribution, with variations in the 3-D distribution of salinity only partly compensating for the temperature contribution. These experiments also reveal limited sensitivity to changes in the ocean's salinity inventory. That the diagnostics behave similarly in CO2 and freshwater forcing scenarios suggests that the output of the diagnostic proposed in Levang and Schmitt (2020) is mainly determined by the internal structure of the ocean circulation rather than by the forcing applied to it. Our results illustrate the difficulty of inferring any information about the applied forcing from the thermal wind diagnostic and raise questions about the feasibility of designing a diagnostic or experiment that could identify which aspect of the forcing (thermal or haline) is driving the weakening of the AMOC.","container-title":"Earth System Dynamics","DOI":"10.5194/esd-15-293-2024","ISSN":"2190-4979","issue":"2","language":"English","note":"publisher: Copernicus GmbH","page":"293-306","source":"Copernicus Online Journals","title":"Diagnosing the causes of AMOC slowdown in a coupled model: a cautionary tale","title-short":"Diagnosing the causes of AMOC slowdown in a coupled model","volume":"15","author":[{"family":"Gérard","given":"Justin"},{"family":"Crucifix","given":"Michel"}],"issued":{"date-parts":[["2024",3,22]]}}},{"id":6585,"uris":["http://zotero.org/users/7129331/items/JUIR7WPF"],"itemData":{"id":6585,"type":"article-journal","abstract":"The key physical parameters for the \"eb_go_gs\" configuration of version 2.7.4 of GENIE, an Earth system model of intermediate complexity (EMIC), are tuned using a multi-objective genetic algorithm. An ensemble of 90 parameter sets is tuned using two ocean and two atmospheric state variables as targets. These are \"Pareto-optimal\", representing a range of trade-offs between the four tuning targets. For the leading five parameter sets, simulations are evaluated alongside a simulation with untuned \"default\" parameters, comparing selected variables and diagnostics that describe the state of the atmosphere, ocean and sea ice. Further experiments are undertaken with these selected parameter sets to compare equilibrium climate sensitivities and transient climate responses. The pattern of warming under doubled CO2 is strongly shaped by changes in the Atlantic meridional overturning circulation (AMOC), while the pattern and rate of warming under rising CO2 is closely linked to changing sea ice extent. One of the five tuned parameter sets is identified as marginally optimal, and the objective function (error) landscape is further analysed in the vicinity of the tuned values of this parameter set. \"Cliffs\" along some dimensions motivate closer inspection of corresponding variations in the AMOC. This reveals that bifurcations in the AMOC are highly sensitive to parameters that are not typically associated with MOC stability. Specifically, the state of the AMOC is sensitive to parameters governing the wind-driven circulation and atmospheric heat transport. For the GENIE configuration presented here, the marginally optimal parameter set is recommended for single simulations, although the leading five parameter sets may be used in ensemble mode to admit a constrained degree of parametric uncertainty in climate prediction.","container-title":"Geoscientific Model Development","DOI":"10.5194/gmd-6-1729-2013","ISSN":"1991-959X","issue":"5","language":"English","note":"publisher: Copernicus GmbH","page":"1729-1744","source":"Copernicus Online Journals","title":"An optimally tuned ensemble of the \"eb_go_gs\" configuration of GENIE: parameter sensitivity and bifurcations in the Atlantic overturning circulation","title-short":"An optimally tuned ensemble of the \"eb_go_gs\" configuration of GENIE","volume":"6","author":[{"family":"Marsh","given":"R."},{"family":"Sóbester","given":"A."},{"family":"Hart","given":"E. E."},{"family":"Oliver","given":"K. I. C."},{"family":"Edwards","given":"N. R."},{"family":"Cox","given":"S. J."}],"issued":{"date-parts":[["2013",10,21]]}}}],"schema":"https://github.com/citation-style-language/schema/raw/master/csl-citation.json"} </w:instrText>
      </w:r>
      <w:r>
        <w:fldChar w:fldCharType="separate"/>
      </w:r>
      <w:r w:rsidR="008C6149" w:rsidRPr="008C6149">
        <w:t>(14,52)</w:t>
      </w:r>
      <w:r>
        <w:fldChar w:fldCharType="end"/>
      </w:r>
      <w:r>
        <w:t xml:space="preserve">. </w:t>
      </w:r>
      <w:r w:rsidR="007D15C1">
        <w:t>cGENIE</w:t>
      </w:r>
      <w:r>
        <w:t xml:space="preserve"> includes an ocean circulation model (3D), a dynamic-thermodynamic sea ice model (2D) and an atmospheric energy moisture balance model (2D). The ocean model accounts for the horizontal and vertical transport of heat, salinity and biogeochemical tracers. </w:t>
      </w:r>
      <w:r w:rsidRPr="004A7010">
        <w:t>The circulation is simulated through advection, convection, and mixing</w:t>
      </w:r>
      <w:r w:rsidR="005A4F06">
        <w:t xml:space="preserve"> </w:t>
      </w:r>
      <w:r w:rsidR="00AC7D03">
        <w:fldChar w:fldCharType="begin"/>
      </w:r>
      <w:r w:rsidR="008C6149">
        <w:instrText xml:space="preserve"> ADDIN ZOTERO_ITEM CSL_CITATION {"citationID":"Q7SVOTn9","properties":{"formattedCitation":"(52,53)","plainCitation":"(52,53)","noteIndex":0},"citationItems":[{"id":6585,"uris":["http://zotero.org/users/7129331/items/JUIR7WPF"],"itemData":{"id":6585,"type":"article-journal","abstract":"The key physical parameters for the \"eb_go_gs\" configuration of version 2.7.4 of GENIE, an Earth system model of intermediate complexity (EMIC), are tuned using a multi-objective genetic algorithm. An ensemble of 90 parameter sets is tuned using two ocean and two atmospheric state variables as targets. These are \"Pareto-optimal\", representing a range of trade-offs between the four tuning targets. For the leading five parameter sets, simulations are evaluated alongside a simulation with untuned \"default\" parameters, comparing selected variables and diagnostics that describe the state of the atmosphere, ocean and sea ice. Further experiments are undertaken with these selected parameter sets to compare equilibrium climate sensitivities and transient climate responses. The pattern of warming under doubled CO2 is strongly shaped by changes in the Atlantic meridional overturning circulation (AMOC), while the pattern and rate of warming under rising CO2 is closely linked to changing sea ice extent. One of the five tuned parameter sets is identified as marginally optimal, and the objective function (error) landscape is further analysed in the vicinity of the tuned values of this parameter set. \"Cliffs\" along some dimensions motivate closer inspection of corresponding variations in the AMOC. This reveals that bifurcations in the AMOC are highly sensitive to parameters that are not typically associated with MOC stability. Specifically, the state of the AMOC is sensitive to parameters governing the wind-driven circulation and atmospheric heat transport. For the GENIE configuration presented here, the marginally optimal parameter set is recommended for single simulations, although the leading five parameter sets may be used in ensemble mode to admit a constrained degree of parametric uncertainty in climate prediction.","container-title":"Geoscientific Model Development","DOI":"10.5194/gmd-6-1729-2013","ISSN":"1991-959X","issue":"5","language":"English","note":"publisher: Copernicus GmbH","page":"1729-1744","source":"Copernicus Online Journals","title":"An optimally tuned ensemble of the \"eb_go_gs\" configuration of GENIE: parameter sensitivity and bifurcations in the Atlantic overturning circulation","title-short":"An optimally tuned ensemble of the \"eb_go_gs\" configuration of GENIE","volume":"6","author":[{"family":"Marsh","given":"R."},{"family":"Sóbester","given":"A."},{"family":"Hart","given":"E. E."},{"family":"Oliver","given":"K. I. C."},{"family":"Edwards","given":"N. R."},{"family":"Cox","given":"S. J."}],"issued":{"date-parts":[["2013",10,21]]}}},{"id":7051,"uris":["http://zotero.org/users/7129331/items/DQV4AUWA"],"itemData":{"id":7051,"type":"article-journal","abstract":"A simplified climate model is presented which includes a fully 3-D, frictional geostrophic (FG) ocean component but retains an integration efficiency considerably greater than extant climate models with 3-D, primitive-equation ocean representations (20 kyears of integration can be completed in about a day on a PC). The model also includes an Energy and Moisture Balance atmosphere and a dynamic and thermodynamic sea-ice model. Using a semi-random ensemble of 1,000 simulations, we address both the inverse problem of parameter estimation, and the direct problem of quantifying the uncertainty due to mixing and transport parameters. Our results represent a first attempt at tuning a 3-D climate model by a strictly defined procedure, which nevertheless considers the whole of the appropriate parameter space. Model estimates of meridional overturning and Atlantic heat transport are well reproduced, while errors are reduced only moderately by a doubling of resolution. Model parameters are only weakly constrained by data, while strong correlations between mean error and parameter values are mostly found to be an artefact of single-parameter studies, not indicative of global model behaviour. Single-parameter sensitivity studies can therefore be misleading. Given a single, illustrative scenario of CO2 increase and fixing the polynomial coefficients governing the extremely simple radiation parameterisation, the spread of model predictions for global mean warming due solely to the transport parameters is around one degree after 100 years forcing, although in a typical 4,000-year ensemble-member simulation, the peak rate of warming in the deep Pacific occurs 400 years after the onset of the forcing. The corresponding uncertainty in Atlantic overturning after 100 years is around 5 Sv, with a small, but non-negligible, probability of a collapse in the long term.","container-title":"Climate Dynamics","DOI":"10.1007/s00382-004-0508-8","ISSN":"1432-0894","issue":"4","journalAbbreviation":"Clim Dyn","language":"en","page":"415-433","source":"Springer Link","title":"Uncertainties due to transport-parameter sensitivity in an efficient 3-D ocean-climate model","volume":"24","author":[{"family":"Edwards","given":"Neil R."},{"family":"Marsh","given":"Robert"}],"issued":{"date-parts":[["2005",3,1]]}}}],"schema":"https://github.com/citation-style-language/schema/raw/master/csl-citation.json"} </w:instrText>
      </w:r>
      <w:r w:rsidR="00AC7D03">
        <w:fldChar w:fldCharType="separate"/>
      </w:r>
      <w:r w:rsidR="008C6149" w:rsidRPr="008C6149">
        <w:t>(52,53)</w:t>
      </w:r>
      <w:r w:rsidR="00AC7D03">
        <w:fldChar w:fldCharType="end"/>
      </w:r>
      <w:r>
        <w:t>.</w:t>
      </w:r>
      <w:r w:rsidRPr="004A7010">
        <w:t xml:space="preserve"> </w:t>
      </w:r>
      <w:r w:rsidR="0044616D">
        <w:t>I</w:t>
      </w:r>
      <w:r w:rsidR="0044616D" w:rsidRPr="0044616D">
        <w:t>n cGENIE, the maximum AMOC strength is defined as the maximum value of the overturning stream function below approximately 1000 meters depth in the Atlanti</w:t>
      </w:r>
      <w:r w:rsidR="00D01453">
        <w:t>c</w:t>
      </w:r>
      <w:r w:rsidR="00115AE5" w:rsidRPr="007F3BE5">
        <w:t>. This depth threshold ensures that shallow convection associated with surface gyres is not included, even in cases where the AMOC has collapsed.</w:t>
      </w:r>
      <w:r w:rsidR="00115AE5">
        <w:t xml:space="preserve"> </w:t>
      </w:r>
      <w:r w:rsidR="004A7010" w:rsidRPr="004A7010">
        <w:t xml:space="preserve">cGENIE has a very simple atmospheric model, </w:t>
      </w:r>
      <w:r w:rsidR="00DA28C7" w:rsidRPr="00DA28C7">
        <w:t>which results in a minimal effect of net changes in the Precipitation-Evaporation (P-E) balance over the North Atlantic</w:t>
      </w:r>
      <w:r w:rsidR="004A7010" w:rsidRPr="004A7010">
        <w:t xml:space="preserve"> due to global warming. However, if the ATCM is applied to emulate </w:t>
      </w:r>
      <w:r w:rsidR="009B3BFD">
        <w:t>a simulator</w:t>
      </w:r>
      <w:r w:rsidR="004A7010" w:rsidRPr="004A7010">
        <w:t xml:space="preserve"> that account for variations in the P-E balance, these would be captured in the calibration through the temperature anomaly. </w:t>
      </w:r>
      <w:r w:rsidR="00D5569B" w:rsidRPr="00D5569B">
        <w:t>cGENIE does not include an explicit parameterization of GIS melt. Although such a component is not strictly required in the simulator targeted for emulation, its absence in cGENIE simplifies the calibration process: during the temperature-forcing calibration, we can be confident that no freshwater flux from the GIS affects the AMOC.</w:t>
      </w:r>
      <w:r w:rsidR="00D5569B">
        <w:t xml:space="preserve"> </w:t>
      </w:r>
      <w:r w:rsidR="00D23EDC" w:rsidRPr="00ED1C28">
        <w:t xml:space="preserve">This, in turn, simplifies the analysis of the AMOC's sensitivity to a single forcing through temperature in cGENIE. </w:t>
      </w:r>
      <w:r w:rsidRPr="005D4A75">
        <w:t xml:space="preserve">Following the experimental framework outlined in the Methods section, we conducted </w:t>
      </w:r>
      <w:r w:rsidR="001E36BF">
        <w:t>two</w:t>
      </w:r>
      <w:r w:rsidR="00BF3297">
        <w:t xml:space="preserve"> </w:t>
      </w:r>
      <w:r w:rsidRPr="005D4A75">
        <w:t>independent sensitivity</w:t>
      </w:r>
      <w:r w:rsidR="001E36BF">
        <w:t xml:space="preserve"> </w:t>
      </w:r>
      <w:r w:rsidRPr="005D4A75">
        <w:t xml:space="preserve">experiments </w:t>
      </w:r>
      <w:r w:rsidR="001E36BF">
        <w:t xml:space="preserve">to calibrate the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12</m:t>
                </m:r>
              </m:sub>
            </m:sSub>
          </m:e>
        </m:d>
      </m:oMath>
      <w:r w:rsidR="001E36BF">
        <w:t xml:space="preserve"> </w:t>
      </w:r>
      <w:r w:rsidR="002958A6">
        <w:t>parameters using cGENIE.</w:t>
      </w:r>
    </w:p>
    <w:p w14:paraId="6E2633FB" w14:textId="77777777" w:rsidR="004B201E" w:rsidRPr="005D4A75" w:rsidRDefault="004B201E"/>
    <w:p w14:paraId="0D6244D7" w14:textId="7B58AEBD" w:rsidR="004B201E" w:rsidRPr="00C45D9A" w:rsidRDefault="00B84193">
      <w:r>
        <w:t xml:space="preserve">The first experiment, labelled </w:t>
      </w:r>
      <m:oMath>
        <m:r>
          <w:rPr>
            <w:rFonts w:ascii="Cambria Math" w:hAnsi="Cambria Math"/>
          </w:rPr>
          <m:t>EXPA</m:t>
        </m:r>
      </m:oMath>
      <w:r>
        <w:t xml:space="preserve">, consist of a 20,000-year simulation with a prescribed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forcing designed to generate a global atmospheric mean temperature anomaly. </w:t>
      </w:r>
      <w:r w:rsidR="00F33423" w:rsidRPr="00F33423">
        <w:t xml:space="preserve">We thus apply our operational hypothesis by forcing the AMOC in </w:t>
      </w:r>
      <w:r w:rsidR="00F33423">
        <w:t xml:space="preserve">cGENIE </w:t>
      </w:r>
      <w:r w:rsidR="00F33423" w:rsidRPr="00F33423">
        <w:t>solely through temperature in this initial setup.</w:t>
      </w:r>
      <w:r w:rsidR="00F33423">
        <w:t xml:space="preserve"> </w:t>
      </w:r>
      <w:r w:rsidR="00F33423" w:rsidRPr="00F33423">
        <w:t>To do so, we do not apply any artificial, time-dependent freshwater input at this stage.</w:t>
      </w:r>
      <w:r w:rsidR="00F33423">
        <w:t xml:space="preserve"> </w:t>
      </w:r>
      <w:r w:rsidR="00F33423" w:rsidRPr="00F33423">
        <w:t>Accordingly, we define</w:t>
      </w:r>
      <m:oMath>
        <m:sSubSup>
          <m:sSubSupPr>
            <m:ctrlPr>
              <w:rPr>
                <w:rFonts w:ascii="Cambria Math" w:hAnsi="Cambria Math"/>
                <w:i/>
              </w:rPr>
            </m:ctrlPr>
          </m:sSubSupPr>
          <m:e>
            <m:r>
              <w:rPr>
                <w:rFonts w:ascii="Cambria Math" w:hAnsi="Cambria Math"/>
              </w:rPr>
              <m:t xml:space="preserve"> F</m:t>
            </m:r>
          </m:e>
          <m:sub>
            <m:r>
              <w:rPr>
                <w:rFonts w:ascii="Cambria Math" w:hAnsi="Cambria Math"/>
              </w:rPr>
              <m:t>GIS</m:t>
            </m:r>
          </m:sub>
          <m:sup>
            <m:r>
              <w:rPr>
                <w:rFonts w:ascii="Cambria Math" w:hAnsi="Cambria Math"/>
              </w:rPr>
              <m:t>A</m:t>
            </m:r>
          </m:sup>
        </m:sSubSup>
        <m:r>
          <w:rPr>
            <w:rFonts w:ascii="Cambria Math" w:hAnsi="Cambria Math"/>
          </w:rPr>
          <m:t>=0 Sv</m:t>
        </m:r>
      </m:oMath>
      <w:r w:rsidR="004E77D8" w:rsidRPr="00F33423">
        <w:t xml:space="preserve"> </w:t>
      </w:r>
      <w:r w:rsidR="00F33423" w:rsidRPr="00F33423">
        <w:t>as the constant and arbitrary freshwater forcing value in</w:t>
      </w:r>
      <w:r w:rsidR="00F33423">
        <w:t xml:space="preserve"> </w:t>
      </w:r>
      <m:oMath>
        <m:r>
          <w:rPr>
            <w:rFonts w:ascii="Cambria Math" w:hAnsi="Cambria Math"/>
          </w:rPr>
          <m:t>EXPA</m:t>
        </m:r>
      </m:oMath>
      <w:r w:rsidR="00D811B0" w:rsidRPr="00F33423">
        <w:t xml:space="preserve">. </w:t>
      </w:r>
      <w:r w:rsidRPr="00D811B0">
        <w:t xml:space="preserve">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00BD46F7">
        <w:t xml:space="preserve">, </w:t>
      </w:r>
      <w:r w:rsidR="00D74083">
        <w:t>h</w:t>
      </w:r>
      <w:r w:rsidR="00F33423">
        <w:t>e</w:t>
      </w:r>
      <w:r w:rsidR="00D74083">
        <w:t>nce</w:t>
      </w:r>
      <w:r w:rsidR="009261DD">
        <w:t xml:space="preserve"> </w:t>
      </w:r>
      <w:r w:rsidR="00D74083">
        <w:t>temperature</w:t>
      </w:r>
      <w:r w:rsidR="009261DD">
        <w:t xml:space="preserve"> </w:t>
      </w:r>
      <w:r w:rsidRPr="00D811B0">
        <w:t xml:space="preserve">forcing is parameterized as a linear </w:t>
      </w:r>
      <w:r w:rsidR="00F33423">
        <w:t>increase</w:t>
      </w:r>
      <w:r w:rsidRPr="00D811B0">
        <w:t xml:space="preserve"> from 280 </w:t>
      </w:r>
      <w:r w:rsidR="007C35E1" w:rsidRPr="00D811B0">
        <w:t xml:space="preserve">ppm </w:t>
      </w:r>
      <w:r w:rsidRPr="00D811B0">
        <w:t>to 2,800</w:t>
      </w:r>
      <w:r w:rsidR="007C35E1" w:rsidRPr="00D811B0">
        <w:t xml:space="preserve"> ppm</w:t>
      </w:r>
      <w:r w:rsidRPr="00D811B0">
        <w:t xml:space="preserve">. </w:t>
      </w:r>
      <w:r>
        <w:t xml:space="preserve">Through the internal dynamics of </w:t>
      </w:r>
      <w:r w:rsidR="007D15C1">
        <w:t>cGENIE</w:t>
      </w:r>
      <w:r>
        <w:t xml:space="preserve">, this forcing is translated into a global mean surface air temperature anomaly, starting from </w:t>
      </w:r>
      <m:oMath>
        <m:r>
          <w:rPr>
            <w:rFonts w:ascii="Cambria Math" w:hAnsi="Cambria Math"/>
          </w:rPr>
          <m:t>T=0°C</m:t>
        </m:r>
      </m:oMath>
      <w:r>
        <w:t xml:space="preserve"> for the initial thousands of years and reaching </w:t>
      </w:r>
      <m:oMath>
        <m:r>
          <w:rPr>
            <w:rFonts w:ascii="Cambria Math" w:hAnsi="Cambria Math"/>
          </w:rPr>
          <m:t>T=10°C</m:t>
        </m:r>
      </m:oMath>
      <w:r>
        <w:t xml:space="preserve"> after 20,000 years (</w:t>
      </w:r>
      <w:r w:rsidR="00E11682">
        <w:t xml:space="preserve">see Supplementary </w:t>
      </w:r>
      <w:r>
        <w:t>Fig</w:t>
      </w:r>
      <w:r w:rsidR="00F255C2">
        <w:t>ure</w:t>
      </w:r>
      <w:r>
        <w:t xml:space="preserve"> S1). This setup enables us to cover the plausible range of the AMOC tipping point location in terms of temperature forcing </w:t>
      </w:r>
      <w:r>
        <w:fldChar w:fldCharType="begin"/>
      </w:r>
      <w:r w:rsidR="003A0D85">
        <w:instrText xml:space="preserve"> ADDIN ZOTERO_ITEM CSL_CITATION {"citationID":"3iwyncKP","properties":{"formattedCitation":"(5,50)","plainCitation":"(5,50)","noteIndex":0},"citationItems":[{"id":6620,"uris":["http://zotero.org/users/7129331/items/TNNEJWUG"],"itemData":{"id":6620,"type":"report","event-place":"UK","publisher":"University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id":"YXi9sT6M/5S6edfbf","uris":["http://zotero.org/users/7129331/items/CWZF85CR"],"itemData":{"id":2908,"type":"article-journal","abstract":"Climate tipping points occur when change in a part of the climate system becomes self-perpetuating beyond a warming threshold, leading to substantial Earth system impacts. Synthesizing paleoclimate, observational, and model-based studies, we provide a revised shortlist of global “core” tipping elements and regional “impact” tipping elements and their temperature thresholds. Current global warming of ~1.1°C above preindustrial temperatures already lies within the lower end of some tipping point uncertainty ranges. Several tipping points may be triggered in the Paris Agreement range of 1.5 to &lt;2°C global warming, with many more likely at the 2 to 3°C of warming expected on current policy trajectories. This strengthens the evidence base for urgent action to mitigate climate change and to develop improved tipping point risk assessment, early warning capability, and adaptation strategies.\n          , \n            Getting tipsy\n            \n              Climate tipping points are conditions beyond which changes in a part of the climate system become self-perpetuating. These changes may lead to abrupt, irreversible, and dangerous impacts with serious implications for humanity. Armstrong McKay\n              et al\n              . present an updated assessment of the most important climate tipping elements and their potential tipping points, including their temperature thresholds, time scales, and impacts. Their analysis indicates that even global warming of 1°C, a threshold that we already have passed, puts us at risk by triggering some tipping points. This finding provides a compelling reason to limit additional warming as much as possible. —HJS\n            \n          , \n            Global warming greater than 1.5°C could trigger multiple climate tipping points.\n          , \n            \n              INTRODUCTION\n              \n                Climate tipping points (CTPs) are a source of growing scientific, policy, and public concern. They occur when change in large parts of the climate system—known as tipping elements—become self-perpetuating beyond a warming threshold. Triggering CTPs leads to significant, policy-relevant impacts, including substantial sea level rise from collapsing ice sheets, dieback of biodiverse biomes such as the Amazon rainforest or warm-water corals, and carbon release from thawing permafrost. Nine policy-relevant tipping elements and their CTPs were originally identified by Lenton\n                et al\n                . (2008). We carry out the first comprehensive reassessment of all suggested tipping elements, their CTPs, and the timescales and impacts of tipping. We also highlight steps to further improve understanding of CTPs, including an expert elicitation, a model intercomparison project, and early warning systems leveraging deep learning and remotely sensed data.\n              \n            \n            \n              RATIONALE\n              \n                Since the original identification of tipping elements there have been substantial advances in scientific understanding from paleoclimate, observational, and model-based studies. Additional tipping elements have been proposed (e.g., parts of the East Antarctic ice sheet) and the status of others (e.g., Arctic summer sea ice) has been questioned. Observations have revealed that parts of the West Antarctic ice sheet may have already passed a tipping point. Potential early warning signals of the Greenland ice sheet, Atlantic Meridional Overturning Circulation, and Amazon rainforest destabilization have been detected. Multiple abrupt shifts have been found in climate models. Recent work has suggested that up to 15 tipping elements are now active (Lenton\n                et al\n                ., 2019). Hence it is timely to synthesize this new knowledge to provide a revised shortlist of potential tipping elements and their CTP thresholds.\n              \n            \n            \n              RESULTS\n              We identify nine global “core” tipping elements which contribute substantially to Earth system functioning and seven regional “impact” tipping elements which contribute substantially to human welfare or have great value as unique features of the Earth system (see figure). Their estimated CTP thresholds have significant implications for climate policy: Current global warming of ~1.1°C above pre-industrial already lies within the lower end of five CTP uncertainty ranges. Six CTPs become likely (with a further four possible) within the Paris Agreement range of 1.5 to &lt;2°C warming, including collapse of the Greenland and West Antarctic ice sheets, die-off of low-latitude coral reefs, and widespread abrupt permafrost thaw. An additional CTP becomes likely and another three possible at the ~2.6°C of warming expected under current policies.\n            \n            \n              CONCLUSION\n              Our assessment provides strong scientific evidence for urgent action to mitigate climate change. We show that even the Paris Agreement goal of limiting warming to well below 2°C and preferably 1.5°C is not safe as 1.5°C and above risks crossing multiple tipping points. Crossing these CTPs can generate positive feedbacks that increase the likelihood of crossing other CTPs. Currently the world is heading toward ~2 to 3°C of global warming; at best, if all net-zero pledges and nationally determined contributions are implemented it could reach just below 2°C. This would lower tipping point risks somewhat but would still be dangerous as it could trigger multiple climate tipping points.\n              \n                \n                  The location of climate tipping elements in the cryosphere (blue), biosphere (green), and ocean/atmosphere (orange), and global warming levels at which their tipping points will likely be triggered.\n                  Pins are colored according to our central global warming threshold estimate being below 2°C, i.e., within the Paris Agreement range (light orange, circles); between 2 and 4°C, i.e., accessible with current policies (orange, diamonds); and 4°C and above (red, triangles).","container-title":"Science","DOI":"10.1126/science.abn7950","ISSN":"0036-8075, 1095-9203","issue":"6611","journalAbbreviation":"Science","language":"en","page":"eabn7950","source":"DOI.org (Crossref)","title":"Exceeding 1.5°C global warming could trigger multiple climate tipping points","volume":"377","author":[{"family":"Armstrong McKay","given":"David I."},{"family":"Staal","given":"Arie"},{"family":"Abrams","given":"Jesse F."},{"family":"Winkelmann","given":"Ricarda"},{"family":"Sakschewski","given":"Boris"},{"family":"Loriani","given":"Sina"},{"family":"Fetzer","given":"Ingo"},{"family":"Cornell","given":"Sarah E."},{"family":"Rockström","given":"Johan"},{"family":"Lenton","given":"Timothy M."}],"issued":{"date-parts":[["2022",9,9]]}}}],"schema":"https://github.com/citation-style-language/schema/raw/master/csl-citation.json"} </w:instrText>
      </w:r>
      <w:r>
        <w:fldChar w:fldCharType="separate"/>
      </w:r>
      <w:r w:rsidR="008C6149" w:rsidRPr="008C6149">
        <w:t>(5,50)</w:t>
      </w:r>
      <w:r>
        <w:fldChar w:fldCharType="end"/>
      </w:r>
      <w:r w:rsidRPr="00C45D9A">
        <w:t xml:space="preserve"> while ensuring near-equilibrium conditions for the AMOC.</w:t>
      </w:r>
      <w:r w:rsidR="00256618" w:rsidRPr="00C45D9A">
        <w:t xml:space="preserve"> </w:t>
      </w:r>
    </w:p>
    <w:p w14:paraId="64D76996" w14:textId="6D633E66" w:rsidR="00026568" w:rsidRDefault="001A10CF" w:rsidP="006B70F7">
      <w:r w:rsidRPr="001A10CF">
        <w:rPr>
          <w:lang w:val="en"/>
        </w:rPr>
        <w:t>The second independent</w:t>
      </w:r>
      <w:r w:rsidR="002958A6">
        <w:rPr>
          <w:lang w:val="en"/>
        </w:rPr>
        <w:t xml:space="preserve"> </w:t>
      </w:r>
      <w:r w:rsidRPr="001A10CF">
        <w:rPr>
          <w:lang w:val="en"/>
        </w:rPr>
        <w:t>calibration experiment, labelled 𝐸𝑋𝑃𝐵, involves a 20,000-year</w:t>
      </w:r>
      <w:r>
        <w:rPr>
          <w:lang w:val="en"/>
        </w:rPr>
        <w:t xml:space="preserve"> </w:t>
      </w:r>
      <w:r w:rsidRPr="001A10CF">
        <w:rPr>
          <w:lang w:val="en"/>
        </w:rPr>
        <w:t>hosing simulation with freshwater flux forcing linearly increasing from 0 𝑆𝑣 to 0.2 𝑆𝑣 (</w:t>
      </w:r>
      <w:r w:rsidR="00C632EE">
        <w:rPr>
          <w:lang w:val="en"/>
        </w:rPr>
        <w:t xml:space="preserve">see </w:t>
      </w:r>
      <w:r w:rsidR="00C632EE">
        <w:t>Supplementary Figure S2</w:t>
      </w:r>
      <w:r w:rsidRPr="001A10CF">
        <w:rPr>
          <w:lang w:val="en"/>
        </w:rPr>
        <w:t>).</w:t>
      </w:r>
      <w:r>
        <w:rPr>
          <w:lang w:val="en"/>
        </w:rPr>
        <w:t xml:space="preserve"> </w:t>
      </w:r>
      <w:r w:rsidR="0001460A" w:rsidRPr="0001460A">
        <w:t xml:space="preserve">For the constant value of the global mean temperature anomaly in this experiment, we </w:t>
      </w:r>
      <w:r w:rsidR="00BF17E2">
        <w:t>set</w:t>
      </w:r>
      <w:r w:rsidR="0001460A">
        <w:t xml:space="preserve"> </w:t>
      </w:r>
      <m:oMath>
        <m:sSup>
          <m:sSupPr>
            <m:ctrlPr>
              <w:rPr>
                <w:rFonts w:ascii="Cambria Math" w:hAnsi="Cambria Math"/>
                <w:i/>
                <w:lang w:val="fr-BE"/>
              </w:rPr>
            </m:ctrlPr>
          </m:sSupPr>
          <m:e>
            <m:r>
              <w:rPr>
                <w:rFonts w:ascii="Cambria Math" w:hAnsi="Cambria Math"/>
                <w:lang w:val="fr-BE"/>
              </w:rPr>
              <m:t>T</m:t>
            </m:r>
          </m:e>
          <m:sup>
            <m:r>
              <w:rPr>
                <w:rFonts w:ascii="Cambria Math" w:hAnsi="Cambria Math"/>
                <w:lang w:val="fr-BE"/>
              </w:rPr>
              <m:t>B</m:t>
            </m:r>
          </m:sup>
        </m:sSup>
        <m:r>
          <w:rPr>
            <w:rFonts w:ascii="Cambria Math" w:hAnsi="Cambria Math"/>
          </w:rPr>
          <m:t>=0°</m:t>
        </m:r>
        <m:r>
          <w:rPr>
            <w:rFonts w:ascii="Cambria Math" w:hAnsi="Cambria Math"/>
            <w:lang w:val="fr-BE"/>
          </w:rPr>
          <m:t>C</m:t>
        </m:r>
      </m:oMath>
      <w:r w:rsidR="00CA77AC" w:rsidRPr="00ED1C28">
        <w:t xml:space="preserve">. </w:t>
      </w:r>
      <w:r w:rsidR="0001460A" w:rsidRPr="0001460A">
        <w:t>The freshwater forcing values are chosen to align with the plausible range of AMOC tipping point locations associated with freshwater perturbations</w:t>
      </w:r>
      <w:r w:rsidR="0001460A">
        <w:t xml:space="preserve"> </w:t>
      </w:r>
      <w:r w:rsidR="0001460A" w:rsidRPr="0001460A">
        <w:t>(18,27)</w:t>
      </w:r>
      <w:r w:rsidR="00B84193">
        <w:t xml:space="preserve"> and to be sufficient to trigger an AMOC collapse in </w:t>
      </w:r>
      <w:r w:rsidR="007D15C1">
        <w:t>cGENIE</w:t>
      </w:r>
      <w:r w:rsidR="00B84193">
        <w:t xml:space="preserve">. </w:t>
      </w:r>
      <w:r w:rsidR="00E44629" w:rsidRPr="00E44629">
        <w:t xml:space="preserve">The total salinity of the oceans is maintained constant in the simulation by applying a compensatory </w:t>
      </w:r>
      <w:r w:rsidR="00827C89">
        <w:t>freshwater</w:t>
      </w:r>
      <w:r w:rsidR="00E44629" w:rsidRPr="00E44629">
        <w:t xml:space="preserve"> flux over the Pacific.</w:t>
      </w:r>
      <w:r w:rsidR="006250C1">
        <w:t xml:space="preserve"> </w:t>
      </w:r>
      <w:r w:rsidR="00072B7C" w:rsidRPr="00072B7C">
        <w:rPr>
          <w:lang w:val="en"/>
        </w:rPr>
        <w:t>The freshwater</w:t>
      </w:r>
      <w:r w:rsidR="00072B7C">
        <w:rPr>
          <w:lang w:val="en"/>
        </w:rPr>
        <w:t xml:space="preserve"> </w:t>
      </w:r>
      <w:r w:rsidR="00072B7C" w:rsidRPr="00072B7C">
        <w:rPr>
          <w:lang w:val="en"/>
        </w:rPr>
        <w:t>hosing is applied between 20°𝑁 and 50°𝑁 across the full width of the Atlantic (</w:t>
      </w:r>
      <w:r w:rsidR="001E330A">
        <w:rPr>
          <w:lang w:val="en"/>
        </w:rPr>
        <w:t xml:space="preserve">see </w:t>
      </w:r>
      <w:r w:rsidR="00072B7C" w:rsidRPr="00072B7C">
        <w:rPr>
          <w:lang w:val="en"/>
        </w:rPr>
        <w:t>Figure S3) to reproduce</w:t>
      </w:r>
      <w:r w:rsidR="00072B7C">
        <w:rPr>
          <w:lang w:val="en"/>
        </w:rPr>
        <w:t xml:space="preserve"> </w:t>
      </w:r>
      <w:r w:rsidR="00072B7C" w:rsidRPr="00072B7C">
        <w:rPr>
          <w:lang w:val="en"/>
        </w:rPr>
        <w:t>the hosing region by Rahmstorf et al.</w:t>
      </w:r>
      <w:r w:rsidR="00072B7C">
        <w:rPr>
          <w:lang w:val="en"/>
        </w:rPr>
        <w:t xml:space="preserve"> </w:t>
      </w:r>
      <w:r w:rsidR="00072B7C">
        <w:rPr>
          <w:lang w:val="en"/>
        </w:rPr>
        <w:fldChar w:fldCharType="begin"/>
      </w:r>
      <w:r w:rsidR="007F2E43">
        <w:rPr>
          <w:lang w:val="en"/>
        </w:rPr>
        <w:instrText xml:space="preserve"> ADDIN ZOTERO_ITEM CSL_CITATION {"citationID":"u2czczQS","properties":{"formattedCitation":"(28)","plainCitation":"(28)","noteIndex":0},"citationItems":[{"id":2873,"uris":["http://zotero.org/users/7129331/items/ZX9Z4DES"],"itemData":{"id":2873,"type":"article-journal","abstract":"We present results from an intercomparison of 11 different climate models of intermediate complexity, in which the North Atlantic Ocean was subjected to slowly varying changes in freshwater input. All models show a characteristic hysteresis response of the thermohaline circulation to the freshwater forcing; which can be explained by Stommel's salt advection feedback. The width of the hysteresis curves varies between 0.2 and 0.5 Sv in the models. Major differences are found in the location of present-day climate on the hysteresis diagram. In seven of the models, present-day climate for standard parameter choices is found in the bi-stable regime, in four models this climate is in the mono-stable regime. The proximity of the present-day climate to the Stommel bifurcation point, beyond which North Atlantic Deep Water formation cannot be sustained, varies from less than 0.1 Sv to over 0.5 Sv.","container-title":"Geophysical Research Letters","DOI":"10.1029/2005GL023655","ISSN":"1944-8007","issue":"23","language":"en","license":"Copyright 2005 by the American Geophysical Union.","note":"_eprint: https://onlinelibrary.wiley.com/doi/pdf/10.1029/2005GL023655","source":"Wiley Online Library","title":"Thermohaline circulation hysteresis: A model intercomparison","title-short":"Thermohaline circulation hysteresis","URL":"https://onlinelibrary.wiley.com/doi/abs/10.1029/2005GL023655","volume":"32","author":[{"family":"Rahmstorf","given":"Stefan"},{"family":"Crucifix","given":"Michel"},{"family":"Ganopolski","given":"Andrey"},{"family":"Goosse","given":"Hugues"},{"family":"Kamenkovich","given":"Igor"},{"family":"Knutti","given":"Reto"},{"family":"Lohmann","given":"Gerrit"},{"family":"Marsh","given":"Robert"},{"family":"Mysak","given":"Lawrence A."},{"family":"Wang","given":"Zhaomin"},{"family":"Weaver","given":"Andrew J."}],"accessed":{"date-parts":[["2023",10,22]]},"issued":{"date-parts":[["2005"]]}}}],"schema":"https://github.com/citation-style-language/schema/raw/master/csl-citation.json"} </w:instrText>
      </w:r>
      <w:r w:rsidR="00072B7C">
        <w:rPr>
          <w:lang w:val="en"/>
        </w:rPr>
        <w:fldChar w:fldCharType="separate"/>
      </w:r>
      <w:r w:rsidR="007F2E43" w:rsidRPr="007F2E43">
        <w:t>(28)</w:t>
      </w:r>
      <w:r w:rsidR="00072B7C">
        <w:rPr>
          <w:lang w:val="en"/>
        </w:rPr>
        <w:fldChar w:fldCharType="end"/>
      </w:r>
      <w:r w:rsidR="00072B7C" w:rsidRPr="00072B7C">
        <w:rPr>
          <w:lang w:val="en"/>
        </w:rPr>
        <w:t>.</w:t>
      </w:r>
      <w:r w:rsidR="00072B7C">
        <w:rPr>
          <w:lang w:val="en"/>
        </w:rPr>
        <w:t xml:space="preserve"> </w:t>
      </w:r>
      <w:r w:rsidR="00B84193">
        <w:t xml:space="preserve">The durations of the </w:t>
      </w:r>
      <m:oMath>
        <m:r>
          <w:rPr>
            <w:rFonts w:ascii="Cambria Math" w:hAnsi="Cambria Math"/>
          </w:rPr>
          <m:t>EXPA</m:t>
        </m:r>
      </m:oMath>
      <w:r w:rsidR="00B84193">
        <w:t xml:space="preserve"> and </w:t>
      </w:r>
      <m:oMath>
        <m:r>
          <w:rPr>
            <w:rFonts w:ascii="Cambria Math" w:hAnsi="Cambria Math"/>
          </w:rPr>
          <m:t>EXPB</m:t>
        </m:r>
      </m:oMath>
      <w:r w:rsidR="00B84193">
        <w:t xml:space="preserve"> simulations are chosen to ensure that the AMOC is forced sufficiently slowly, allowing it to remain in near a stable state throughout the </w:t>
      </w:r>
      <w:r w:rsidR="009B7430">
        <w:t>calibration</w:t>
      </w:r>
      <w:r w:rsidR="00B84193">
        <w:t xml:space="preserve"> experiment</w:t>
      </w:r>
      <w:r w:rsidR="001E330A">
        <w:t>s</w:t>
      </w:r>
      <w:r w:rsidR="00B84193">
        <w:t>.</w:t>
      </w:r>
      <w:r w:rsidR="00F5261F">
        <w:t xml:space="preserve"> </w:t>
      </w:r>
    </w:p>
    <w:p w14:paraId="73EEB85C" w14:textId="77777777" w:rsidR="00026568" w:rsidRDefault="00026568" w:rsidP="006B70F7"/>
    <w:p w14:paraId="06E6717B" w14:textId="5523A904" w:rsidR="004B201E" w:rsidRDefault="00F5261F" w:rsidP="006B70F7">
      <w:r>
        <w:t xml:space="preserve">The two trajectories of the AMOC intensity obtained with cGENIE in the </w:t>
      </w:r>
      <m:oMath>
        <m:r>
          <w:rPr>
            <w:rFonts w:ascii="Cambria Math" w:hAnsi="Cambria Math"/>
          </w:rPr>
          <m:t>EXPA</m:t>
        </m:r>
      </m:oMath>
      <w:r>
        <w:t xml:space="preserve"> and </w:t>
      </w:r>
      <m:oMath>
        <m:r>
          <w:rPr>
            <w:rFonts w:ascii="Cambria Math" w:hAnsi="Cambria Math"/>
          </w:rPr>
          <m:t>EXPB</m:t>
        </m:r>
      </m:oMath>
      <w:r>
        <w:t xml:space="preserve"> experiments are shown in Figure 2. </w:t>
      </w:r>
      <w:r w:rsidR="00AB6151" w:rsidRPr="00AB6151">
        <w:t>This three-dimensional representation, combining the two-dimensional forcing space with the additional AMOC intensity dimension, makes it possible to visualise the full range of possible forcing conditions for the AMOC, which the emulator will subsequently be able to explore.</w:t>
      </w:r>
      <w:r w:rsidR="00B46B85">
        <w:t xml:space="preserve"> </w:t>
      </w:r>
      <w:r w:rsidR="008271BF" w:rsidRPr="000733EA">
        <w:t xml:space="preserve">In the Supplementary Materials, Figures S4 and S5 show the bifurcation diagrams of the AMOC in the two-dimensional plane of the </w:t>
      </w:r>
      <m:oMath>
        <m:r>
          <w:rPr>
            <w:rFonts w:ascii="Cambria Math" w:hAnsi="Cambria Math"/>
          </w:rPr>
          <m:t>EXPA</m:t>
        </m:r>
      </m:oMath>
      <w:r w:rsidR="008271BF" w:rsidRPr="000733EA">
        <w:t xml:space="preserve"> and </w:t>
      </w:r>
      <m:oMath>
        <m:r>
          <w:rPr>
            <w:rFonts w:ascii="Cambria Math" w:hAnsi="Cambria Math"/>
          </w:rPr>
          <m:t>EXPB</m:t>
        </m:r>
      </m:oMath>
      <w:r w:rsidR="008271BF" w:rsidRPr="000733EA">
        <w:t xml:space="preserve"> experiments.</w:t>
      </w:r>
    </w:p>
    <w:p w14:paraId="727FF044" w14:textId="77777777" w:rsidR="00972CAC" w:rsidRDefault="00972CAC" w:rsidP="006B70F7"/>
    <w:p w14:paraId="4CA0F0BB" w14:textId="2D76B6A1" w:rsidR="00284B17" w:rsidRDefault="0031223B" w:rsidP="00972CAC">
      <w:pPr>
        <w:pStyle w:val="BodyText"/>
        <w:jc w:val="center"/>
        <w:rPr>
          <w:b/>
          <w:bCs/>
        </w:rPr>
      </w:pPr>
      <w:r>
        <w:rPr>
          <w:b/>
          <w:bCs/>
          <w:noProof/>
        </w:rPr>
        <w:lastRenderedPageBreak/>
        <w:drawing>
          <wp:inline distT="0" distB="0" distL="0" distR="0" wp14:anchorId="3E49115C" wp14:editId="70F60023">
            <wp:extent cx="4203700" cy="3605259"/>
            <wp:effectExtent l="0" t="0" r="6350" b="0"/>
            <wp:docPr id="1302810753" name="Picture 3" descr="A graph of a graph with different types of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10753" name="Picture 3" descr="A graph of a graph with different types of temperatur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1902" cy="3612294"/>
                    </a:xfrm>
                    <a:prstGeom prst="rect">
                      <a:avLst/>
                    </a:prstGeom>
                  </pic:spPr>
                </pic:pic>
              </a:graphicData>
            </a:graphic>
          </wp:inline>
        </w:drawing>
      </w:r>
    </w:p>
    <w:p w14:paraId="3D305E1B" w14:textId="22366D49" w:rsidR="004B201E" w:rsidRDefault="00B84193">
      <w:pPr>
        <w:pStyle w:val="BodyText"/>
      </w:pPr>
      <w:r>
        <w:rPr>
          <w:b/>
          <w:bCs/>
        </w:rPr>
        <w:t xml:space="preserve">Figure 2 : Bifurcation diagrams of </w:t>
      </w:r>
      <w:r w:rsidR="007D15C1">
        <w:rPr>
          <w:b/>
          <w:bCs/>
        </w:rPr>
        <w:t>cGENIE</w:t>
      </w:r>
      <w:r>
        <w:rPr>
          <w:b/>
          <w:bCs/>
        </w:rPr>
        <w:t xml:space="preserve"> and ATCM in the </w:t>
      </w:r>
      <m:oMath>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GIS</m:t>
                </m:r>
              </m:sub>
            </m:sSub>
          </m:e>
        </m:d>
      </m:oMath>
      <w:r>
        <w:rPr>
          <w:b/>
          <w:bCs/>
        </w:rPr>
        <w:t xml:space="preserve"> forcing space.</w:t>
      </w:r>
      <w:r>
        <w:t xml:space="preserve"> The two </w:t>
      </w:r>
      <w:r w:rsidR="00D17DA5">
        <w:t>simulations</w:t>
      </w:r>
      <w:r>
        <w:t xml:space="preserve"> produced by </w:t>
      </w:r>
      <w:r w:rsidR="007D15C1">
        <w:t>cGENIE</w:t>
      </w:r>
      <w:r>
        <w:t xml:space="preserve"> during the calibration experiments </w:t>
      </w:r>
      <m:oMath>
        <m:r>
          <w:rPr>
            <w:rFonts w:ascii="Cambria Math" w:hAnsi="Cambria Math"/>
          </w:rPr>
          <m:t>EXPA</m:t>
        </m:r>
      </m:oMath>
      <w:r>
        <w:t xml:space="preserve"> and </w:t>
      </w:r>
      <m:oMath>
        <m:r>
          <w:rPr>
            <w:rFonts w:ascii="Cambria Math" w:hAnsi="Cambria Math"/>
          </w:rPr>
          <m:t>EXPB</m:t>
        </m:r>
      </m:oMath>
      <w:r>
        <w:t xml:space="preserve"> are shown in their respective planes as solid black lines. </w:t>
      </w:r>
      <w:r w:rsidR="009C5C25" w:rsidRPr="009C5C25">
        <w:t>The identification of the bifurcation points based on these collapsed branches is marked in red, while the simplified hysteresis produced by the ATCM is shown in blue.</w:t>
      </w:r>
      <w:r w:rsidR="00E353FD">
        <w:t xml:space="preserve"> </w:t>
      </w:r>
      <w:r>
        <w:t xml:space="preserve"> The branch of the unstable equilibrium, which separates the two stable equilibria, is represented by the orange dashed line.</w:t>
      </w:r>
      <w:r w:rsidR="00900BB1">
        <w:t xml:space="preserve"> </w:t>
      </w:r>
    </w:p>
    <w:p w14:paraId="5EF7611B" w14:textId="77777777" w:rsidR="00F5261F" w:rsidRPr="00AD5591" w:rsidRDefault="00F5261F"/>
    <w:p w14:paraId="2835396F" w14:textId="4CD35846" w:rsidR="00E60576" w:rsidRPr="003751D6" w:rsidRDefault="00963CEB">
      <w:r w:rsidRPr="00D43387">
        <w:t xml:space="preserve">Since the primary objective of the ATCM is to accurately calibrate the </w:t>
      </w:r>
      <w:r w:rsidR="00830A71" w:rsidRPr="00D43387">
        <w:t>collapse branch</w:t>
      </w:r>
      <w:r w:rsidR="008E4E53" w:rsidRPr="00D43387">
        <w:t xml:space="preserve">, we focus </w:t>
      </w:r>
      <w:r w:rsidRPr="00D43387">
        <w:t>exclusively on simulating collapse scenarios with cGENIE</w:t>
      </w:r>
      <w:r w:rsidR="008E4E53" w:rsidRPr="00D43387">
        <w:t xml:space="preserve">. </w:t>
      </w:r>
      <w:r w:rsidR="008E4E53">
        <w:t>This allows</w:t>
      </w:r>
      <w:r w:rsidRPr="00963CEB">
        <w:t xml:space="preserve"> to extend the duration of the simulations</w:t>
      </w:r>
      <w:r w:rsidR="008E4E53">
        <w:t xml:space="preserve"> with the complex model</w:t>
      </w:r>
      <w:r w:rsidRPr="00963CEB">
        <w:t xml:space="preserve"> and thus</w:t>
      </w:r>
      <w:r w:rsidR="008E4E53">
        <w:t>,</w:t>
      </w:r>
      <w:r w:rsidRPr="00963CEB">
        <w:t xml:space="preserve"> obtain an AMOC as close as possible to its equilibrium in the </w:t>
      </w:r>
      <w:r w:rsidR="000C4F60">
        <w:t>simulator</w:t>
      </w:r>
      <w:r w:rsidRPr="00963CEB">
        <w:t xml:space="preserve">. </w:t>
      </w:r>
      <w:r w:rsidR="00B976E0" w:rsidRPr="00B976E0">
        <w:t>In other words, a complete hysteresis cycle was not performed to refine our calibration of the collapse branch, but this does not undermine the validity of the results.</w:t>
      </w:r>
      <w:r w:rsidR="00F5261F">
        <w:t xml:space="preserve"> </w:t>
      </w:r>
      <w:r w:rsidRPr="00963CEB">
        <w:t xml:space="preserve">As demonstrated in Laridon </w:t>
      </w:r>
      <w:r w:rsidR="00843BE5">
        <w:fldChar w:fldCharType="begin"/>
      </w:r>
      <w:r w:rsidR="008C6149">
        <w:instrText xml:space="preserve"> ADDIN ZOTERO_ITEM CSL_CITATION {"citationID":"QjlhJI2Y","properties":{"formattedCitation":"(54)","plainCitation":"(54)","noteIndex":0},"citationItems":[{"id":6380,"uris":["http://zotero.org/users/7129331/items/6E7749B7"],"itemData":{"id":6380,"type":"thesis","language":"English","number-of-pages":"185","publisher":"UCLouvain","title":"Development of a Simplified Dynamics Emulator and Investigation of Cascading Collapses of the AMOC and Greenland Ice Sheet in a Climate Model","URL":"https://dial.uclouvain.be/memoire/ucl/object/thesis:46552","author":[{"family":"Laridon","given":"Amaury."}],"issued":{"date-parts":[["2024",6,24]]}}}],"schema":"https://github.com/citation-style-language/schema/raw/master/csl-citation.json"} </w:instrText>
      </w:r>
      <w:r w:rsidR="00843BE5">
        <w:fldChar w:fldCharType="separate"/>
      </w:r>
      <w:r w:rsidR="008C6149" w:rsidRPr="008C6149">
        <w:t>(54)</w:t>
      </w:r>
      <w:r w:rsidR="00843BE5">
        <w:fldChar w:fldCharType="end"/>
      </w:r>
      <w:r>
        <w:t>,</w:t>
      </w:r>
      <w:r w:rsidRPr="00963CEB">
        <w:t xml:space="preserve"> the ATCM can also successfully emulate the AMOC trajectory of the </w:t>
      </w:r>
      <w:r w:rsidR="001E6292">
        <w:t>simulator</w:t>
      </w:r>
      <w:r w:rsidRPr="00963CEB">
        <w:t xml:space="preserve"> through the second bifurcation point. </w:t>
      </w:r>
      <w:r w:rsidR="00AF3EBC" w:rsidRPr="00AF3EBC">
        <w:t xml:space="preserve">However, to achieve an optimal fit for the collapse trajectory, slight deviations from the bifurcation point coordinates provided by the </w:t>
      </w:r>
      <w:r w:rsidR="00524B79">
        <w:t xml:space="preserve">simulator </w:t>
      </w:r>
      <w:r w:rsidR="00A56328" w:rsidRPr="00A56328">
        <w:t>may enhance the emulator’s accuracy in capturing the collapse dynamics</w:t>
      </w:r>
      <w:r w:rsidR="00A56328">
        <w:t>.</w:t>
      </w:r>
      <w:r w:rsidR="001B338A">
        <w:t xml:space="preserve"> </w:t>
      </w:r>
      <w:r w:rsidR="005D168D" w:rsidRPr="005D168D">
        <w:t xml:space="preserve">Accordingly, the values of </w:t>
      </w:r>
      <m:oMath>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r>
          <w:rPr>
            <w:rFonts w:ascii="Cambria Math" w:hAnsi="Cambria Math"/>
          </w:rPr>
          <m:t xml:space="preserve">=0.022, </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=3°C</m:t>
        </m:r>
      </m:oMath>
      <w:r w:rsidR="005D168D" w:rsidRPr="005D168D">
        <w:t xml:space="preserve">and </w:t>
      </w:r>
      <m:oMath>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r>
          <w:rPr>
            <w:rFonts w:ascii="Cambria Math" w:hAnsi="Cambria Math"/>
          </w:rPr>
          <m:t>=0.037 Sv</m:t>
        </m:r>
      </m:oMath>
      <w:r w:rsidR="00AD4A33">
        <w:t xml:space="preserve"> </w:t>
      </w:r>
      <w:r w:rsidR="005D168D" w:rsidRPr="005D168D">
        <w:t xml:space="preserve">were selected, as they minimise the calibration error </w:t>
      </w:r>
      <w:r w:rsidR="00C11FE2" w:rsidRPr="00C11FE2">
        <w:t>along the trajectory of the nominal stable equilibrium.</w:t>
      </w:r>
      <w:r w:rsidR="003763CB">
        <w:t xml:space="preserve"> </w:t>
      </w:r>
      <w:r w:rsidR="003763CB" w:rsidRPr="003763CB">
        <w:t>However, if the research objective is to</w:t>
      </w:r>
      <w:r w:rsidR="00D2227F">
        <w:t xml:space="preserve"> </w:t>
      </w:r>
      <w:r w:rsidR="003763CB" w:rsidRPr="003763CB">
        <w:t xml:space="preserve">accurately calibrate the recovery transition, it is possible to provide the emulator with the values of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3763CB" w:rsidRPr="003763CB">
        <w:t xml:space="preserve"> and</w:t>
      </w:r>
      <w:r w:rsidR="00E951A8">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oMath>
      <w:r w:rsidR="003763CB" w:rsidRPr="003763CB">
        <w:t>​ corresponding to those identified in a full hysteresis experiment.</w:t>
      </w:r>
      <w:r w:rsidR="003763CB" w:rsidRPr="00AD5591" w:rsidDel="00E611AB">
        <w:t xml:space="preserve"> </w:t>
      </w:r>
      <w:r w:rsidR="003751D6" w:rsidRPr="00AD5591">
        <w:t>A trade-off must therefore be made in the choice of the bifurcation point coordinates, in order to distribute the emulator’s calibration error where it is most relevant with respect to the scientific objective.</w:t>
      </w:r>
      <w:r w:rsidR="003751D6">
        <w:t xml:space="preserve"> </w:t>
      </w:r>
    </w:p>
    <w:p w14:paraId="34869E2E" w14:textId="77777777" w:rsidR="00E60576" w:rsidRPr="003751D6" w:rsidRDefault="00E60576"/>
    <w:p w14:paraId="79264318" w14:textId="4986BA45" w:rsidR="00D378DA" w:rsidRPr="00693925" w:rsidRDefault="001F2F5E">
      <w:r w:rsidRPr="00AD5591">
        <w:t xml:space="preserve">All coordinates of the bifurcation points used in this study are </w:t>
      </w:r>
      <w:r w:rsidR="00B238AF">
        <w:t>given</w:t>
      </w:r>
      <w:r w:rsidRPr="00AD5591">
        <w:t xml:space="preserve"> in Table 1.</w:t>
      </w:r>
      <w:r w:rsidR="00B84193" w:rsidRPr="001F2F5E">
        <w:t xml:space="preserve"> </w:t>
      </w:r>
      <w:r w:rsidR="007C4865">
        <w:t>T</w:t>
      </w:r>
      <w:r w:rsidR="00A7687B" w:rsidRPr="00A7687B">
        <w:t>here is no standardised method for determining the</w:t>
      </w:r>
      <w:r w:rsidR="007C4865">
        <w:t xml:space="preserve"> precise</w:t>
      </w:r>
      <w:r w:rsidR="00A7687B" w:rsidRPr="00A7687B">
        <w:t xml:space="preserve"> location of bifurcation points</w:t>
      </w:r>
      <w:r w:rsidR="007C4865">
        <w:t>.</w:t>
      </w:r>
      <w:r w:rsidR="00A7687B">
        <w:t xml:space="preserve"> </w:t>
      </w:r>
      <w:r w:rsidR="002E5780" w:rsidRPr="002E5780">
        <w:t xml:space="preserve">Consequently, the selection </w:t>
      </w:r>
      <w:r w:rsidR="0072072F">
        <w:t>should be based on e</w:t>
      </w:r>
      <w:r w:rsidR="002E5780" w:rsidRPr="002E5780">
        <w:t xml:space="preserve">xpert judgment and a </w:t>
      </w:r>
      <w:r w:rsidR="0072072F">
        <w:t xml:space="preserve">comprehensive </w:t>
      </w:r>
      <w:r w:rsidR="002E5780" w:rsidRPr="002E5780">
        <w:t xml:space="preserve">understanding of the </w:t>
      </w:r>
      <w:r w:rsidR="00D469AE">
        <w:t>simulator</w:t>
      </w:r>
      <w:r w:rsidR="002E5780" w:rsidRPr="002E5780">
        <w:t xml:space="preserve"> </w:t>
      </w:r>
      <w:r w:rsidR="00287EFE" w:rsidRPr="002E5780">
        <w:t>behaviour</w:t>
      </w:r>
      <w:r w:rsidR="002E5780" w:rsidRPr="002E5780">
        <w:t>.</w:t>
      </w:r>
      <w:r w:rsidR="00ED232C">
        <w:t xml:space="preserve"> </w:t>
      </w:r>
      <w:r w:rsidR="00B84193">
        <w:t>In the ATCM model,</w:t>
      </w:r>
      <w:r w:rsidR="003418C5">
        <w:t xml:space="preserve"> </w:t>
      </w:r>
      <w:r w:rsidR="000D2B9B">
        <w:t xml:space="preserve">Eq.(1) </w:t>
      </w:r>
      <w:r w:rsidR="00826AE9">
        <w:t>imposes th</w:t>
      </w:r>
      <w:r w:rsidR="003418C5">
        <w:t xml:space="preserve">at </w:t>
      </w:r>
      <m:oMath>
        <m:sSubSup>
          <m:sSubSupPr>
            <m:ctrlPr>
              <w:rPr>
                <w:rFonts w:ascii="Cambria Math" w:hAnsi="Cambria Math"/>
                <w:i/>
              </w:rPr>
            </m:ctrlPr>
          </m:sSubSupPr>
          <m:e>
            <m:r>
              <m:rPr>
                <m:sty m:val="p"/>
              </m:rPr>
              <w:rPr>
                <w:rFonts w:ascii="Cambria Math" w:hAnsi="Cambria Math"/>
              </w:rPr>
              <m:t>Ψ</m:t>
            </m:r>
            <m:ctrlPr>
              <w:rPr>
                <w:rFonts w:ascii="Cambria Math" w:hAnsi="Cambria Math"/>
              </w:rPr>
            </m:ctrlPr>
          </m:e>
          <m:sub>
            <m:r>
              <w:rPr>
                <w:rFonts w:ascii="Cambria Math" w:hAnsi="Cambria Math"/>
              </w:rPr>
              <m:t>A</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p"/>
              </m:rPr>
              <w:rPr>
                <w:rFonts w:ascii="Cambria Math" w:hAnsi="Cambria Math"/>
              </w:rPr>
              <m:t>Ψ</m:t>
            </m:r>
          </m:e>
          <m:sub>
            <m:r>
              <w:rPr>
                <w:rFonts w:ascii="Cambria Math" w:hAnsi="Cambria Math"/>
              </w:rPr>
              <m:t>B</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m:t>
            </m:r>
          </m:sup>
        </m:sSup>
      </m:oMath>
      <w:r w:rsidR="002D5033">
        <w:t xml:space="preserve">and </w:t>
      </w:r>
      <m:oMath>
        <m:sSubSup>
          <m:sSubSupPr>
            <m:ctrlPr>
              <w:rPr>
                <w:rFonts w:ascii="Cambria Math" w:hAnsi="Cambria Math"/>
                <w:i/>
              </w:rPr>
            </m:ctrlPr>
          </m:sSubSupPr>
          <m:e>
            <m:r>
              <m:rPr>
                <m:sty m:val="p"/>
              </m:rPr>
              <w:rPr>
                <w:rFonts w:ascii="Cambria Math" w:hAnsi="Cambria Math"/>
              </w:rPr>
              <m:t>Ψ</m:t>
            </m:r>
            <m:ctrlPr>
              <w:rPr>
                <w:rFonts w:ascii="Cambria Math" w:hAnsi="Cambria Math"/>
              </w:rPr>
            </m:ctrlPr>
          </m:e>
          <m:sub>
            <m:r>
              <w:rPr>
                <w:rFonts w:ascii="Cambria Math" w:hAnsi="Cambria Math"/>
              </w:rPr>
              <m:t>A</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p"/>
              </m:rPr>
              <w:rPr>
                <w:rFonts w:ascii="Cambria Math" w:hAnsi="Cambria Math"/>
              </w:rPr>
              <m:t>Ψ</m:t>
            </m:r>
          </m:e>
          <m:sub>
            <m:r>
              <w:rPr>
                <w:rFonts w:ascii="Cambria Math" w:hAnsi="Cambria Math"/>
              </w:rPr>
              <m:t>B</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m:t>
            </m:r>
          </m:sup>
        </m:sSup>
      </m:oMath>
      <w:r w:rsidR="00B84193">
        <w:t xml:space="preserve"> </w:t>
      </w:r>
      <w:r w:rsidR="00AE3421">
        <w:t>to keep the number of unknows to a manageable level</w:t>
      </w:r>
      <w:r w:rsidR="00FC1DC0">
        <w:t xml:space="preserve">. </w:t>
      </w:r>
      <w:r w:rsidR="00B84193">
        <w:t xml:space="preserve"> Moreover, we aim to find the best fit for temperature forcing, so we define </w:t>
      </w:r>
      <m:oMath>
        <m:sSup>
          <m:sSupPr>
            <m:ctrlPr>
              <w:rPr>
                <w:rFonts w:ascii="Cambria Math" w:hAnsi="Cambria Math"/>
              </w:rPr>
            </m:ctrlPr>
          </m:sSupPr>
          <m:e>
            <m:r>
              <w:rPr>
                <w:rFonts w:ascii="Cambria Math" w:hAnsi="Cambria Math"/>
              </w:rPr>
              <m:t>Ψ</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Ψ</m:t>
            </m:r>
          </m:e>
          <m:sub>
            <m:r>
              <w:rPr>
                <w:rFonts w:ascii="Cambria Math" w:hAnsi="Cambria Math"/>
              </w:rPr>
              <m:t>A</m:t>
            </m:r>
          </m:sub>
          <m:sup>
            <m:r>
              <w:rPr>
                <w:rFonts w:ascii="Cambria Math" w:hAnsi="Cambria Math"/>
              </w:rPr>
              <m:t>±</m:t>
            </m:r>
          </m:sup>
        </m:sSubSup>
      </m:oMath>
      <w:r w:rsidR="00B84193">
        <w:t xml:space="preserve">. Using these values, we compute the parameters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12</m:t>
                </m:r>
              </m:sub>
            </m:sSub>
          </m:e>
        </m:d>
      </m:oMath>
      <w:r w:rsidR="00B84193">
        <w:t>, according to Eq. (</w:t>
      </w:r>
      <w:r w:rsidR="00DF6291">
        <w:t>4</w:t>
      </w:r>
      <w:r w:rsidR="00B84193">
        <w:t>-</w:t>
      </w:r>
      <w:r w:rsidR="00DF6291">
        <w:t>7</w:t>
      </w:r>
      <w:r w:rsidR="00B84193">
        <w:t>, 1</w:t>
      </w:r>
      <w:r w:rsidR="00DF6291">
        <w:t>1</w:t>
      </w:r>
      <w:r w:rsidR="00B84193">
        <w:t>), and the results are presented in Table 2.</w:t>
      </w:r>
      <w:r w:rsidR="00F55E0F">
        <w:t xml:space="preserve"> </w:t>
      </w:r>
      <w:r w:rsidR="00B84193">
        <w:t>Based on the calibration of these parameters, the simplified hysteresis loop emulated by the ATCM is shown in Fig</w:t>
      </w:r>
      <w:r w:rsidR="00506597">
        <w:t xml:space="preserve">ure </w:t>
      </w:r>
      <w:r w:rsidR="00B84193">
        <w:t xml:space="preserve">2. Since we calibrated the ATCM using the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B84193">
        <w:t xml:space="preserve"> value from </w:t>
      </w:r>
      <m:oMath>
        <m:r>
          <w:rPr>
            <w:rFonts w:ascii="Cambria Math" w:hAnsi="Cambria Math"/>
          </w:rPr>
          <m:t>EXPA</m:t>
        </m:r>
      </m:oMath>
      <w:r w:rsidR="00B84193">
        <w:t xml:space="preserve">, the double-fold structure passes </w:t>
      </w:r>
      <w:r w:rsidR="006C3279">
        <w:t>precisely</w:t>
      </w:r>
      <w:r w:rsidR="00B84193">
        <w:t xml:space="preserve"> through the </w:t>
      </w:r>
      <w:r w:rsidR="00AE2D47">
        <w:t xml:space="preserve">upper </w:t>
      </w:r>
      <w:r w:rsidR="00B84193">
        <w:t>bifurcation point</w:t>
      </w:r>
      <w:r w:rsidR="00AE2D47">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Ψ</m:t>
                </m:r>
              </m:e>
              <m:sup>
                <m:r>
                  <w:rPr>
                    <w:rFonts w:ascii="Cambria Math" w:hAnsi="Cambria Math"/>
                  </w:rPr>
                  <m:t>+</m:t>
                </m:r>
              </m:sup>
            </m:sSup>
          </m:e>
        </m:d>
      </m:oMath>
      <w:r w:rsidR="007C510C">
        <w:t xml:space="preserve"> </w:t>
      </w:r>
      <w:r w:rsidR="00B84193">
        <w:t xml:space="preserve">identified on the </w:t>
      </w:r>
      <w:r w:rsidR="007D15C1">
        <w:t>cGENIE</w:t>
      </w:r>
      <w:r w:rsidR="00B84193">
        <w:t xml:space="preserve">  curve from the temperature forcing calibration experiment.</w:t>
      </w:r>
      <w:r w:rsidR="00684B68">
        <w:t xml:space="preserve"> T</w:t>
      </w:r>
      <w:r w:rsidR="00B84193">
        <w:t xml:space="preserve">his is not the case for </w:t>
      </w:r>
      <m:oMath>
        <m:r>
          <w:rPr>
            <w:rFonts w:ascii="Cambria Math" w:hAnsi="Cambria Math"/>
          </w:rPr>
          <m:t>EXPB</m:t>
        </m:r>
      </m:oMath>
      <w:r w:rsidR="00B84193">
        <w:t xml:space="preserve">, as will be explained in the Discussion section. Indeed, there is a </w:t>
      </w:r>
      <m:oMath>
        <m:r>
          <w:rPr>
            <w:rFonts w:ascii="Cambria Math" w:hAnsi="Cambria Math"/>
          </w:rPr>
          <m:t>0.002Sv</m:t>
        </m:r>
      </m:oMath>
      <w:r w:rsidR="00B84193">
        <w:t xml:space="preserve"> difference between the </w:t>
      </w:r>
      <m:oMath>
        <m:sSubSup>
          <m:sSubSupPr>
            <m:ctrlPr>
              <w:rPr>
                <w:rFonts w:ascii="Cambria Math" w:hAnsi="Cambria Math"/>
              </w:rPr>
            </m:ctrlPr>
          </m:sSubSupPr>
          <m:e>
            <m:r>
              <w:rPr>
                <w:rFonts w:ascii="Cambria Math" w:hAnsi="Cambria Math"/>
              </w:rPr>
              <m:t>F</m:t>
            </m:r>
          </m:e>
          <m:sub>
            <m:r>
              <w:rPr>
                <w:rFonts w:ascii="Cambria Math" w:hAnsi="Cambria Math"/>
              </w:rPr>
              <m:t>GIS</m:t>
            </m:r>
          </m:sub>
          <m:sup>
            <m:r>
              <w:rPr>
                <w:rFonts w:ascii="Cambria Math" w:hAnsi="Cambria Math"/>
              </w:rPr>
              <m:t>+</m:t>
            </m:r>
          </m:sup>
        </m:sSubSup>
      </m:oMath>
      <w:r w:rsidR="00B84193">
        <w:t xml:space="preserve"> tipping point </w:t>
      </w:r>
      <w:r w:rsidR="00AD2DA4">
        <w:t>identi</w:t>
      </w:r>
      <w:r w:rsidR="00602A95">
        <w:t>fied</w:t>
      </w:r>
      <w:r w:rsidR="00B84193">
        <w:t xml:space="preserve"> from </w:t>
      </w:r>
      <w:r w:rsidR="007D15C1">
        <w:t>cGENIE</w:t>
      </w:r>
      <w:r w:rsidR="00B84193">
        <w:t xml:space="preserve"> and the value computed by the ATCM, </w:t>
      </w:r>
      <w:r w:rsidR="00B84193">
        <w:lastRenderedPageBreak/>
        <w:t xml:space="preserve">resulting in a relative difference between the two of 2.53%. Overall, the </w:t>
      </w:r>
      <w:r w:rsidR="00663DA9">
        <w:t>collapse</w:t>
      </w:r>
      <w:r w:rsidR="00B84193">
        <w:t xml:space="preserve"> dynamics demonstrate a reasonably good calibration against the </w:t>
      </w:r>
      <w:r w:rsidR="007D15C1">
        <w:t>cGENIE</w:t>
      </w:r>
      <w:r w:rsidR="00B84193">
        <w:t xml:space="preserve"> simulations.</w:t>
      </w:r>
    </w:p>
    <w:p w14:paraId="23AB2793" w14:textId="77777777" w:rsidR="004B201E" w:rsidRDefault="004B201E"/>
    <w:tbl>
      <w:tblPr>
        <w:tblStyle w:val="TableGrid"/>
        <w:tblW w:w="10280" w:type="dxa"/>
        <w:tblLook w:val="04A0" w:firstRow="1" w:lastRow="0" w:firstColumn="1" w:lastColumn="0" w:noHBand="0" w:noVBand="1"/>
      </w:tblPr>
      <w:tblGrid>
        <w:gridCol w:w="892"/>
        <w:gridCol w:w="1375"/>
        <w:gridCol w:w="1375"/>
        <w:gridCol w:w="991"/>
        <w:gridCol w:w="991"/>
        <w:gridCol w:w="1164"/>
        <w:gridCol w:w="1164"/>
        <w:gridCol w:w="1164"/>
        <w:gridCol w:w="1164"/>
      </w:tblGrid>
      <w:tr w:rsidR="000723C7" w14:paraId="5B5816A1" w14:textId="4DBCC48A" w:rsidTr="003974FB">
        <w:tc>
          <w:tcPr>
            <w:tcW w:w="892" w:type="dxa"/>
            <w:tcBorders>
              <w:bottom w:val="double" w:sz="4" w:space="0" w:color="auto"/>
              <w:right w:val="double" w:sz="4" w:space="0" w:color="auto"/>
            </w:tcBorders>
          </w:tcPr>
          <w:p w14:paraId="7D0AEEC7" w14:textId="77777777" w:rsidR="000723C7" w:rsidRDefault="000723C7" w:rsidP="000723C7"/>
        </w:tc>
        <w:tc>
          <w:tcPr>
            <w:tcW w:w="1375" w:type="dxa"/>
            <w:tcBorders>
              <w:left w:val="double" w:sz="4" w:space="0" w:color="auto"/>
              <w:bottom w:val="double" w:sz="4" w:space="0" w:color="auto"/>
            </w:tcBorders>
          </w:tcPr>
          <w:p w14:paraId="27774A85" w14:textId="77777777" w:rsidR="000723C7" w:rsidRPr="003F273A" w:rsidRDefault="00000000" w:rsidP="000723C7">
            <w:pPr>
              <w:rPr>
                <w:rFonts w:ascii="Arial" w:eastAsia="Arial" w:hAnsi="Arial" w:cs="Arial"/>
                <w:color w:val="1F497D" w:themeColor="text2"/>
              </w:rPr>
            </w:pPr>
            <m:oMathPara>
              <m:oMath>
                <m:sSup>
                  <m:sSupPr>
                    <m:ctrlPr>
                      <w:rPr>
                        <w:rFonts w:ascii="Cambria Math" w:hAnsi="Cambria Math"/>
                        <w:i/>
                        <w:color w:val="1F497D" w:themeColor="text2"/>
                      </w:rPr>
                    </m:ctrlPr>
                  </m:sSupPr>
                  <m:e>
                    <m:r>
                      <m:rPr>
                        <m:sty m:val="b"/>
                      </m:rPr>
                      <w:rPr>
                        <w:rFonts w:ascii="Cambria Math" w:hAnsi="Cambria Math"/>
                        <w:color w:val="1F497D" w:themeColor="text2"/>
                      </w:rPr>
                      <m:t>Ψ</m:t>
                    </m:r>
                    <m:ctrlPr>
                      <w:rPr>
                        <w:rFonts w:ascii="Cambria Math" w:hAnsi="Cambria Math"/>
                        <w:color w:val="1F497D" w:themeColor="text2"/>
                      </w:rPr>
                    </m:ctrlPr>
                  </m:e>
                  <m:sup>
                    <m:r>
                      <w:rPr>
                        <w:rFonts w:ascii="Cambria Math" w:hAnsi="Cambria Math"/>
                        <w:color w:val="1F497D" w:themeColor="text2"/>
                      </w:rPr>
                      <m:t>+</m:t>
                    </m:r>
                  </m:sup>
                </m:sSup>
                <m:r>
                  <w:rPr>
                    <w:rFonts w:ascii="Cambria Math" w:hAnsi="Cambria Math"/>
                    <w:color w:val="1F497D" w:themeColor="text2"/>
                  </w:rPr>
                  <m:t> </m:t>
                </m:r>
                <m:d>
                  <m:dPr>
                    <m:begChr m:val="["/>
                    <m:endChr m:val="]"/>
                    <m:ctrlPr>
                      <w:rPr>
                        <w:rFonts w:ascii="Cambria Math" w:hAnsi="Cambria Math"/>
                        <w:i/>
                        <w:color w:val="1F497D" w:themeColor="text2"/>
                      </w:rPr>
                    </m:ctrlPr>
                  </m:dPr>
                  <m:e>
                    <m:r>
                      <m:rPr>
                        <m:sty m:val="bi"/>
                      </m:rPr>
                      <w:rPr>
                        <w:rFonts w:ascii="Cambria Math" w:hAnsi="Cambria Math"/>
                        <w:color w:val="1F497D" w:themeColor="text2"/>
                      </w:rPr>
                      <m:t>Adim</m:t>
                    </m:r>
                  </m:e>
                </m:d>
              </m:oMath>
            </m:oMathPara>
          </w:p>
        </w:tc>
        <w:tc>
          <w:tcPr>
            <w:tcW w:w="1375" w:type="dxa"/>
            <w:tcBorders>
              <w:bottom w:val="double" w:sz="4" w:space="0" w:color="auto"/>
            </w:tcBorders>
          </w:tcPr>
          <w:p w14:paraId="26729E78" w14:textId="77777777" w:rsidR="000723C7" w:rsidRPr="003F273A" w:rsidRDefault="00000000" w:rsidP="000723C7">
            <w:pPr>
              <w:rPr>
                <w:color w:val="1F497D" w:themeColor="text2"/>
              </w:rPr>
            </w:pPr>
            <m:oMathPara>
              <m:oMath>
                <m:sSup>
                  <m:sSupPr>
                    <m:ctrlPr>
                      <w:rPr>
                        <w:rFonts w:ascii="Cambria Math" w:hAnsi="Cambria Math"/>
                        <w:i/>
                        <w:color w:val="1F497D" w:themeColor="text2"/>
                      </w:rPr>
                    </m:ctrlPr>
                  </m:sSupPr>
                  <m:e>
                    <m:r>
                      <m:rPr>
                        <m:sty m:val="b"/>
                      </m:rPr>
                      <w:rPr>
                        <w:rFonts w:ascii="Cambria Math" w:hAnsi="Cambria Math"/>
                        <w:color w:val="1F497D" w:themeColor="text2"/>
                      </w:rPr>
                      <m:t>Ψ</m:t>
                    </m:r>
                    <m:ctrlPr>
                      <w:rPr>
                        <w:rFonts w:ascii="Cambria Math" w:hAnsi="Cambria Math"/>
                        <w:color w:val="1F497D" w:themeColor="text2"/>
                      </w:rPr>
                    </m:ctrlPr>
                  </m:e>
                  <m:sup>
                    <m:r>
                      <w:rPr>
                        <w:rFonts w:ascii="Cambria Math" w:hAnsi="Cambria Math"/>
                        <w:color w:val="1F497D" w:themeColor="text2"/>
                      </w:rPr>
                      <m:t>-</m:t>
                    </m:r>
                  </m:sup>
                </m:sSup>
                <m:r>
                  <w:rPr>
                    <w:rFonts w:ascii="Cambria Math" w:hAnsi="Cambria Math"/>
                    <w:color w:val="1F497D" w:themeColor="text2"/>
                  </w:rPr>
                  <m:t> </m:t>
                </m:r>
                <m:d>
                  <m:dPr>
                    <m:begChr m:val="["/>
                    <m:endChr m:val="]"/>
                    <m:ctrlPr>
                      <w:rPr>
                        <w:rFonts w:ascii="Cambria Math" w:hAnsi="Cambria Math"/>
                        <w:i/>
                        <w:color w:val="1F497D" w:themeColor="text2"/>
                      </w:rPr>
                    </m:ctrlPr>
                  </m:dPr>
                  <m:e>
                    <m:r>
                      <m:rPr>
                        <m:sty m:val="bi"/>
                      </m:rPr>
                      <w:rPr>
                        <w:rFonts w:ascii="Cambria Math" w:hAnsi="Cambria Math"/>
                        <w:color w:val="1F497D" w:themeColor="text2"/>
                      </w:rPr>
                      <m:t>Adim</m:t>
                    </m:r>
                  </m:e>
                </m:d>
              </m:oMath>
            </m:oMathPara>
          </w:p>
        </w:tc>
        <w:tc>
          <w:tcPr>
            <w:tcW w:w="991" w:type="dxa"/>
            <w:tcBorders>
              <w:bottom w:val="double" w:sz="4" w:space="0" w:color="auto"/>
            </w:tcBorders>
          </w:tcPr>
          <w:p w14:paraId="16362661" w14:textId="77777777" w:rsidR="000723C7" w:rsidRPr="003F273A" w:rsidRDefault="00000000" w:rsidP="000723C7">
            <w:pPr>
              <w:rPr>
                <w:rFonts w:ascii="Arial" w:eastAsia="Arial" w:hAnsi="Arial" w:cs="Arial"/>
                <w:color w:val="1F497D" w:themeColor="text2"/>
              </w:rPr>
            </w:pPr>
            <m:oMathPara>
              <m:oMath>
                <m:sSup>
                  <m:sSupPr>
                    <m:ctrlPr>
                      <w:rPr>
                        <w:rFonts w:ascii="Cambria Math" w:hAnsi="Cambria Math"/>
                        <w:i/>
                        <w:color w:val="1F497D" w:themeColor="text2"/>
                      </w:rPr>
                    </m:ctrlPr>
                  </m:sSupPr>
                  <m:e>
                    <m:r>
                      <m:rPr>
                        <m:sty m:val="b"/>
                      </m:rPr>
                      <w:rPr>
                        <w:rFonts w:ascii="Cambria Math" w:hAnsi="Cambria Math"/>
                        <w:color w:val="1F497D" w:themeColor="text2"/>
                      </w:rPr>
                      <m:t>T</m:t>
                    </m:r>
                    <m:ctrlPr>
                      <w:rPr>
                        <w:rFonts w:ascii="Cambria Math" w:hAnsi="Cambria Math"/>
                        <w:color w:val="1F497D" w:themeColor="text2"/>
                      </w:rPr>
                    </m:ctrlPr>
                  </m:e>
                  <m:sup>
                    <m:r>
                      <w:rPr>
                        <w:rFonts w:ascii="Cambria Math" w:hAnsi="Cambria Math"/>
                        <w:color w:val="1F497D" w:themeColor="text2"/>
                      </w:rPr>
                      <m:t>+</m:t>
                    </m:r>
                  </m:sup>
                </m:sSup>
                <m:r>
                  <w:rPr>
                    <w:rFonts w:ascii="Cambria Math" w:hAnsi="Cambria Math"/>
                    <w:color w:val="1F497D" w:themeColor="text2"/>
                  </w:rPr>
                  <m:t> </m:t>
                </m:r>
                <m:d>
                  <m:dPr>
                    <m:begChr m:val="["/>
                    <m:endChr m:val="]"/>
                    <m:ctrlPr>
                      <w:rPr>
                        <w:rFonts w:ascii="Cambria Math" w:hAnsi="Cambria Math"/>
                        <w:i/>
                        <w:color w:val="1F497D" w:themeColor="text2"/>
                      </w:rPr>
                    </m:ctrlPr>
                  </m:dPr>
                  <m:e>
                    <m:r>
                      <w:rPr>
                        <w:rFonts w:ascii="Cambria Math" w:hAnsi="Cambria Math"/>
                        <w:color w:val="1F497D" w:themeColor="text2"/>
                      </w:rPr>
                      <m:t>°</m:t>
                    </m:r>
                    <m:r>
                      <m:rPr>
                        <m:sty m:val="bi"/>
                      </m:rPr>
                      <w:rPr>
                        <w:rFonts w:ascii="Cambria Math" w:hAnsi="Cambria Math"/>
                        <w:color w:val="1F497D" w:themeColor="text2"/>
                      </w:rPr>
                      <m:t>C</m:t>
                    </m:r>
                  </m:e>
                </m:d>
              </m:oMath>
            </m:oMathPara>
          </w:p>
        </w:tc>
        <w:tc>
          <w:tcPr>
            <w:tcW w:w="991" w:type="dxa"/>
            <w:tcBorders>
              <w:bottom w:val="double" w:sz="4" w:space="0" w:color="auto"/>
            </w:tcBorders>
          </w:tcPr>
          <w:p w14:paraId="366B2756" w14:textId="77777777" w:rsidR="000723C7" w:rsidRPr="003F273A" w:rsidRDefault="00000000" w:rsidP="000723C7">
            <w:pPr>
              <w:rPr>
                <w:color w:val="1F497D" w:themeColor="text2"/>
              </w:rPr>
            </w:pPr>
            <m:oMathPara>
              <m:oMath>
                <m:sSup>
                  <m:sSupPr>
                    <m:ctrlPr>
                      <w:rPr>
                        <w:rFonts w:ascii="Cambria Math" w:hAnsi="Cambria Math"/>
                        <w:i/>
                        <w:color w:val="1F497D" w:themeColor="text2"/>
                      </w:rPr>
                    </m:ctrlPr>
                  </m:sSupPr>
                  <m:e>
                    <m:r>
                      <m:rPr>
                        <m:sty m:val="b"/>
                      </m:rPr>
                      <w:rPr>
                        <w:rFonts w:ascii="Cambria Math" w:hAnsi="Cambria Math"/>
                        <w:color w:val="1F497D" w:themeColor="text2"/>
                      </w:rPr>
                      <m:t>T</m:t>
                    </m:r>
                    <m:ctrlPr>
                      <w:rPr>
                        <w:rFonts w:ascii="Cambria Math" w:hAnsi="Cambria Math"/>
                        <w:color w:val="1F497D" w:themeColor="text2"/>
                      </w:rPr>
                    </m:ctrlPr>
                  </m:e>
                  <m:sup>
                    <m:r>
                      <w:rPr>
                        <w:rFonts w:ascii="Cambria Math" w:hAnsi="Cambria Math"/>
                        <w:color w:val="1F497D" w:themeColor="text2"/>
                      </w:rPr>
                      <m:t>-</m:t>
                    </m:r>
                  </m:sup>
                </m:sSup>
                <m:r>
                  <w:rPr>
                    <w:rFonts w:ascii="Cambria Math" w:hAnsi="Cambria Math"/>
                    <w:color w:val="1F497D" w:themeColor="text2"/>
                  </w:rPr>
                  <m:t> </m:t>
                </m:r>
                <m:d>
                  <m:dPr>
                    <m:begChr m:val="["/>
                    <m:endChr m:val="]"/>
                    <m:ctrlPr>
                      <w:rPr>
                        <w:rFonts w:ascii="Cambria Math" w:hAnsi="Cambria Math"/>
                        <w:i/>
                        <w:color w:val="1F497D" w:themeColor="text2"/>
                      </w:rPr>
                    </m:ctrlPr>
                  </m:dPr>
                  <m:e>
                    <m:r>
                      <w:rPr>
                        <w:rFonts w:ascii="Cambria Math" w:hAnsi="Cambria Math"/>
                        <w:color w:val="1F497D" w:themeColor="text2"/>
                      </w:rPr>
                      <m:t>°</m:t>
                    </m:r>
                    <m:r>
                      <m:rPr>
                        <m:sty m:val="bi"/>
                      </m:rPr>
                      <w:rPr>
                        <w:rFonts w:ascii="Cambria Math" w:hAnsi="Cambria Math"/>
                        <w:color w:val="1F497D" w:themeColor="text2"/>
                      </w:rPr>
                      <m:t>C</m:t>
                    </m:r>
                  </m:e>
                </m:d>
              </m:oMath>
            </m:oMathPara>
          </w:p>
        </w:tc>
        <w:tc>
          <w:tcPr>
            <w:tcW w:w="1164" w:type="dxa"/>
            <w:tcBorders>
              <w:bottom w:val="double" w:sz="4" w:space="0" w:color="auto"/>
            </w:tcBorders>
          </w:tcPr>
          <w:p w14:paraId="47D0EEC0" w14:textId="77777777" w:rsidR="000723C7" w:rsidRPr="003F273A" w:rsidRDefault="00000000" w:rsidP="000723C7">
            <w:pPr>
              <w:rPr>
                <w:rFonts w:ascii="Arial" w:eastAsia="Arial" w:hAnsi="Arial" w:cs="Arial"/>
                <w:color w:val="1F497D" w:themeColor="text2"/>
              </w:rPr>
            </w:pPr>
            <m:oMathPara>
              <m:oMath>
                <m:sSubSup>
                  <m:sSubSupPr>
                    <m:ctrlPr>
                      <w:rPr>
                        <w:rFonts w:ascii="Cambria Math" w:hAnsi="Cambria Math"/>
                        <w:i/>
                        <w:color w:val="1F497D" w:themeColor="text2"/>
                      </w:rPr>
                    </m:ctrlPr>
                  </m:sSubSupPr>
                  <m:e>
                    <m:r>
                      <m:rPr>
                        <m:sty m:val="bi"/>
                      </m:rPr>
                      <w:rPr>
                        <w:rFonts w:ascii="Cambria Math" w:hAnsi="Cambria Math"/>
                        <w:color w:val="1F497D" w:themeColor="text2"/>
                      </w:rPr>
                      <m:t>F</m:t>
                    </m:r>
                  </m:e>
                  <m:sub>
                    <m:r>
                      <m:rPr>
                        <m:sty m:val="bi"/>
                      </m:rPr>
                      <w:rPr>
                        <w:rFonts w:ascii="Cambria Math" w:hAnsi="Cambria Math"/>
                        <w:color w:val="1F497D" w:themeColor="text2"/>
                      </w:rPr>
                      <m:t>GIS</m:t>
                    </m:r>
                  </m:sub>
                  <m:sup>
                    <m:r>
                      <w:rPr>
                        <w:rFonts w:ascii="Cambria Math" w:hAnsi="Cambria Math"/>
                        <w:color w:val="1F497D" w:themeColor="text2"/>
                      </w:rPr>
                      <m:t>+</m:t>
                    </m:r>
                  </m:sup>
                </m:sSubSup>
                <m:r>
                  <w:rPr>
                    <w:rFonts w:ascii="Cambria Math" w:hAnsi="Cambria Math"/>
                    <w:color w:val="1F497D" w:themeColor="text2"/>
                  </w:rPr>
                  <m:t> </m:t>
                </m:r>
                <m:d>
                  <m:dPr>
                    <m:begChr m:val="["/>
                    <m:endChr m:val="]"/>
                    <m:ctrlPr>
                      <w:rPr>
                        <w:rFonts w:ascii="Cambria Math" w:hAnsi="Cambria Math"/>
                        <w:i/>
                        <w:color w:val="1F497D" w:themeColor="text2"/>
                      </w:rPr>
                    </m:ctrlPr>
                  </m:dPr>
                  <m:e>
                    <m:r>
                      <m:rPr>
                        <m:sty m:val="bi"/>
                      </m:rPr>
                      <w:rPr>
                        <w:rFonts w:ascii="Cambria Math" w:hAnsi="Cambria Math"/>
                        <w:color w:val="1F497D" w:themeColor="text2"/>
                      </w:rPr>
                      <m:t>Sv</m:t>
                    </m:r>
                  </m:e>
                </m:d>
              </m:oMath>
            </m:oMathPara>
          </w:p>
        </w:tc>
        <w:tc>
          <w:tcPr>
            <w:tcW w:w="1164" w:type="dxa"/>
            <w:tcBorders>
              <w:bottom w:val="double" w:sz="4" w:space="0" w:color="auto"/>
            </w:tcBorders>
          </w:tcPr>
          <w:p w14:paraId="356413CB" w14:textId="77777777" w:rsidR="000723C7" w:rsidRPr="003F273A" w:rsidRDefault="00000000" w:rsidP="000723C7">
            <w:pPr>
              <w:rPr>
                <w:color w:val="1F497D" w:themeColor="text2"/>
              </w:rPr>
            </w:pPr>
            <m:oMathPara>
              <m:oMath>
                <m:sSubSup>
                  <m:sSubSupPr>
                    <m:ctrlPr>
                      <w:rPr>
                        <w:rFonts w:ascii="Cambria Math" w:hAnsi="Cambria Math"/>
                        <w:i/>
                        <w:color w:val="1F497D" w:themeColor="text2"/>
                      </w:rPr>
                    </m:ctrlPr>
                  </m:sSubSupPr>
                  <m:e>
                    <m:r>
                      <m:rPr>
                        <m:sty m:val="bi"/>
                      </m:rPr>
                      <w:rPr>
                        <w:rFonts w:ascii="Cambria Math" w:hAnsi="Cambria Math"/>
                        <w:color w:val="1F497D" w:themeColor="text2"/>
                      </w:rPr>
                      <m:t>F</m:t>
                    </m:r>
                  </m:e>
                  <m:sub>
                    <m:r>
                      <m:rPr>
                        <m:sty m:val="bi"/>
                      </m:rPr>
                      <w:rPr>
                        <w:rFonts w:ascii="Cambria Math" w:hAnsi="Cambria Math"/>
                        <w:color w:val="1F497D" w:themeColor="text2"/>
                      </w:rPr>
                      <m:t>GIS</m:t>
                    </m:r>
                  </m:sub>
                  <m:sup>
                    <m:r>
                      <w:rPr>
                        <w:rFonts w:ascii="Cambria Math" w:hAnsi="Cambria Math"/>
                        <w:color w:val="1F497D" w:themeColor="text2"/>
                      </w:rPr>
                      <m:t>-</m:t>
                    </m:r>
                  </m:sup>
                </m:sSubSup>
                <m:r>
                  <w:rPr>
                    <w:rFonts w:ascii="Cambria Math" w:hAnsi="Cambria Math"/>
                    <w:color w:val="1F497D" w:themeColor="text2"/>
                  </w:rPr>
                  <m:t> </m:t>
                </m:r>
                <m:d>
                  <m:dPr>
                    <m:begChr m:val="["/>
                    <m:endChr m:val="]"/>
                    <m:ctrlPr>
                      <w:rPr>
                        <w:rFonts w:ascii="Cambria Math" w:hAnsi="Cambria Math"/>
                        <w:i/>
                        <w:color w:val="1F497D" w:themeColor="text2"/>
                      </w:rPr>
                    </m:ctrlPr>
                  </m:dPr>
                  <m:e>
                    <m:r>
                      <m:rPr>
                        <m:sty m:val="bi"/>
                      </m:rPr>
                      <w:rPr>
                        <w:rFonts w:ascii="Cambria Math" w:hAnsi="Cambria Math"/>
                        <w:color w:val="1F497D" w:themeColor="text2"/>
                      </w:rPr>
                      <m:t>Sv</m:t>
                    </m:r>
                  </m:e>
                </m:d>
              </m:oMath>
            </m:oMathPara>
          </w:p>
        </w:tc>
        <w:tc>
          <w:tcPr>
            <w:tcW w:w="1164" w:type="dxa"/>
            <w:tcBorders>
              <w:bottom w:val="double" w:sz="4" w:space="0" w:color="auto"/>
            </w:tcBorders>
          </w:tcPr>
          <w:p w14:paraId="5DCCC0FE" w14:textId="45E73CCD" w:rsidR="000723C7" w:rsidRDefault="00000000" w:rsidP="000723C7">
            <w:pPr>
              <w:rPr>
                <w:rFonts w:ascii="Arial" w:eastAsia="Arial" w:hAnsi="Arial" w:cs="Arial"/>
                <w:color w:val="1F497D" w:themeColor="text2"/>
              </w:rPr>
            </w:pPr>
            <m:oMathPara>
              <m:oMath>
                <m:sSubSup>
                  <m:sSubSupPr>
                    <m:ctrlPr>
                      <w:rPr>
                        <w:rFonts w:ascii="Cambria Math" w:hAnsi="Cambria Math"/>
                        <w:i/>
                        <w:color w:val="1F497D" w:themeColor="text2"/>
                      </w:rPr>
                    </m:ctrlPr>
                  </m:sSubSupPr>
                  <m:e>
                    <m:r>
                      <w:rPr>
                        <w:rFonts w:ascii="Cambria Math" w:hAnsi="Cambria Math"/>
                        <w:color w:val="1F497D" w:themeColor="text2"/>
                      </w:rPr>
                      <m:t>F</m:t>
                    </m:r>
                  </m:e>
                  <m:sub>
                    <m:r>
                      <w:rPr>
                        <w:rFonts w:ascii="Cambria Math" w:hAnsi="Cambria Math"/>
                        <w:color w:val="1F497D" w:themeColor="text2"/>
                      </w:rPr>
                      <m:t>GIS</m:t>
                    </m:r>
                  </m:sub>
                  <m:sup>
                    <m:r>
                      <w:rPr>
                        <w:rFonts w:ascii="Cambria Math" w:hAnsi="Cambria Math"/>
                        <w:color w:val="1F497D" w:themeColor="text2"/>
                      </w:rPr>
                      <m:t>A</m:t>
                    </m:r>
                  </m:sup>
                </m:sSubSup>
                <m:r>
                  <w:rPr>
                    <w:rFonts w:ascii="Cambria Math" w:hAnsi="Cambria Math"/>
                    <w:color w:val="1F497D" w:themeColor="text2"/>
                  </w:rPr>
                  <m:t>  </m:t>
                </m:r>
                <m:d>
                  <m:dPr>
                    <m:begChr m:val="["/>
                    <m:endChr m:val="]"/>
                    <m:ctrlPr>
                      <w:rPr>
                        <w:rFonts w:ascii="Cambria Math" w:hAnsi="Cambria Math"/>
                        <w:i/>
                        <w:color w:val="1F497D" w:themeColor="text2"/>
                      </w:rPr>
                    </m:ctrlPr>
                  </m:dPr>
                  <m:e>
                    <m:r>
                      <m:rPr>
                        <m:sty m:val="bi"/>
                      </m:rPr>
                      <w:rPr>
                        <w:rFonts w:ascii="Cambria Math" w:hAnsi="Cambria Math"/>
                        <w:color w:val="1F497D" w:themeColor="text2"/>
                      </w:rPr>
                      <m:t>Sv</m:t>
                    </m:r>
                  </m:e>
                </m:d>
              </m:oMath>
            </m:oMathPara>
          </w:p>
        </w:tc>
        <w:tc>
          <w:tcPr>
            <w:tcW w:w="1164" w:type="dxa"/>
            <w:tcBorders>
              <w:bottom w:val="double" w:sz="4" w:space="0" w:color="auto"/>
            </w:tcBorders>
          </w:tcPr>
          <w:p w14:paraId="1314A878" w14:textId="53144B81" w:rsidR="000723C7" w:rsidRDefault="00000000" w:rsidP="000723C7">
            <w:pPr>
              <w:rPr>
                <w:rFonts w:ascii="Arial" w:eastAsia="Arial" w:hAnsi="Arial" w:cs="Arial"/>
                <w:color w:val="1F497D" w:themeColor="text2"/>
              </w:rPr>
            </w:pPr>
            <m:oMathPara>
              <m:oMath>
                <m:sSup>
                  <m:sSupPr>
                    <m:ctrlPr>
                      <w:rPr>
                        <w:rFonts w:ascii="Cambria Math" w:hAnsi="Cambria Math"/>
                        <w:i/>
                        <w:color w:val="1F497D" w:themeColor="text2"/>
                      </w:rPr>
                    </m:ctrlPr>
                  </m:sSupPr>
                  <m:e>
                    <m:r>
                      <m:rPr>
                        <m:sty m:val="b"/>
                      </m:rPr>
                      <w:rPr>
                        <w:rFonts w:ascii="Cambria Math" w:hAnsi="Cambria Math"/>
                        <w:color w:val="1F497D" w:themeColor="text2"/>
                      </w:rPr>
                      <m:t>T</m:t>
                    </m:r>
                    <m:ctrlPr>
                      <w:rPr>
                        <w:rFonts w:ascii="Cambria Math" w:hAnsi="Cambria Math"/>
                        <w:color w:val="1F497D" w:themeColor="text2"/>
                      </w:rPr>
                    </m:ctrlPr>
                  </m:e>
                  <m:sup>
                    <m:r>
                      <w:rPr>
                        <w:rFonts w:ascii="Cambria Math" w:hAnsi="Cambria Math"/>
                        <w:color w:val="1F497D" w:themeColor="text2"/>
                      </w:rPr>
                      <m:t>B</m:t>
                    </m:r>
                  </m:sup>
                </m:sSup>
                <m:r>
                  <w:rPr>
                    <w:rFonts w:ascii="Cambria Math" w:hAnsi="Cambria Math"/>
                    <w:color w:val="1F497D" w:themeColor="text2"/>
                  </w:rPr>
                  <m:t> </m:t>
                </m:r>
                <m:d>
                  <m:dPr>
                    <m:begChr m:val="["/>
                    <m:endChr m:val="]"/>
                    <m:ctrlPr>
                      <w:rPr>
                        <w:rFonts w:ascii="Cambria Math" w:hAnsi="Cambria Math"/>
                        <w:i/>
                        <w:color w:val="1F497D" w:themeColor="text2"/>
                      </w:rPr>
                    </m:ctrlPr>
                  </m:dPr>
                  <m:e>
                    <m:r>
                      <w:rPr>
                        <w:rFonts w:ascii="Cambria Math" w:hAnsi="Cambria Math"/>
                        <w:color w:val="1F497D" w:themeColor="text2"/>
                      </w:rPr>
                      <m:t>°</m:t>
                    </m:r>
                    <m:r>
                      <m:rPr>
                        <m:sty m:val="bi"/>
                      </m:rPr>
                      <w:rPr>
                        <w:rFonts w:ascii="Cambria Math" w:hAnsi="Cambria Math"/>
                        <w:color w:val="1F497D" w:themeColor="text2"/>
                      </w:rPr>
                      <m:t>C</m:t>
                    </m:r>
                  </m:e>
                </m:d>
              </m:oMath>
            </m:oMathPara>
          </w:p>
        </w:tc>
      </w:tr>
      <w:tr w:rsidR="000723C7" w14:paraId="3E97773E" w14:textId="23D351B5" w:rsidTr="003974FB">
        <w:tc>
          <w:tcPr>
            <w:tcW w:w="892" w:type="dxa"/>
            <w:tcBorders>
              <w:top w:val="double" w:sz="4" w:space="0" w:color="auto"/>
              <w:right w:val="double" w:sz="4" w:space="0" w:color="auto"/>
            </w:tcBorders>
          </w:tcPr>
          <w:p w14:paraId="5D690E0E" w14:textId="77777777" w:rsidR="000723C7" w:rsidRPr="003F273A" w:rsidRDefault="000723C7" w:rsidP="000723C7">
            <w:pPr>
              <w:rPr>
                <w:color w:val="1F497D" w:themeColor="text2"/>
              </w:rPr>
            </w:pPr>
            <m:oMathPara>
              <m:oMath>
                <m:r>
                  <m:rPr>
                    <m:sty m:val="bi"/>
                  </m:rPr>
                  <w:rPr>
                    <w:rFonts w:ascii="Cambria Math" w:hAnsi="Cambria Math"/>
                    <w:color w:val="1F497D" w:themeColor="text2"/>
                  </w:rPr>
                  <m:t>EXPA</m:t>
                </m:r>
              </m:oMath>
            </m:oMathPara>
          </w:p>
        </w:tc>
        <w:tc>
          <w:tcPr>
            <w:tcW w:w="1375" w:type="dxa"/>
            <w:tcBorders>
              <w:top w:val="double" w:sz="4" w:space="0" w:color="auto"/>
              <w:left w:val="double" w:sz="4" w:space="0" w:color="auto"/>
            </w:tcBorders>
            <w:vAlign w:val="center"/>
          </w:tcPr>
          <w:p w14:paraId="224D1AAF" w14:textId="77777777" w:rsidR="000723C7" w:rsidRPr="003F273A" w:rsidRDefault="000723C7" w:rsidP="000723C7">
            <w:pPr>
              <w:jc w:val="center"/>
            </w:pPr>
            <w:r w:rsidRPr="003F273A">
              <w:t>0.545</w:t>
            </w:r>
          </w:p>
        </w:tc>
        <w:tc>
          <w:tcPr>
            <w:tcW w:w="1375" w:type="dxa"/>
            <w:tcBorders>
              <w:top w:val="double" w:sz="4" w:space="0" w:color="auto"/>
            </w:tcBorders>
            <w:vAlign w:val="center"/>
          </w:tcPr>
          <w:p w14:paraId="03057F20" w14:textId="77777777" w:rsidR="000723C7" w:rsidRPr="003F273A" w:rsidRDefault="000723C7" w:rsidP="000723C7">
            <w:pPr>
              <w:jc w:val="center"/>
            </w:pPr>
            <w:r w:rsidRPr="003F273A">
              <w:t>0.022</w:t>
            </w:r>
          </w:p>
        </w:tc>
        <w:tc>
          <w:tcPr>
            <w:tcW w:w="991" w:type="dxa"/>
            <w:tcBorders>
              <w:top w:val="double" w:sz="4" w:space="0" w:color="auto"/>
            </w:tcBorders>
            <w:vAlign w:val="center"/>
          </w:tcPr>
          <w:p w14:paraId="04EA900C" w14:textId="77777777" w:rsidR="000723C7" w:rsidRPr="003F273A" w:rsidRDefault="000723C7" w:rsidP="000723C7">
            <w:pPr>
              <w:jc w:val="center"/>
            </w:pPr>
            <w:r w:rsidRPr="003F273A">
              <w:t>5.93</w:t>
            </w:r>
          </w:p>
        </w:tc>
        <w:tc>
          <w:tcPr>
            <w:tcW w:w="991" w:type="dxa"/>
            <w:tcBorders>
              <w:top w:val="double" w:sz="4" w:space="0" w:color="auto"/>
            </w:tcBorders>
            <w:vAlign w:val="center"/>
          </w:tcPr>
          <w:p w14:paraId="35A4D04A" w14:textId="77777777" w:rsidR="000723C7" w:rsidRPr="003F273A" w:rsidRDefault="000723C7" w:rsidP="000723C7">
            <w:pPr>
              <w:jc w:val="center"/>
            </w:pPr>
            <w:r w:rsidRPr="003F273A">
              <w:t>3</w:t>
            </w:r>
          </w:p>
        </w:tc>
        <w:tc>
          <w:tcPr>
            <w:tcW w:w="1164" w:type="dxa"/>
            <w:tcBorders>
              <w:top w:val="double" w:sz="4" w:space="0" w:color="auto"/>
            </w:tcBorders>
            <w:vAlign w:val="center"/>
          </w:tcPr>
          <w:p w14:paraId="0ED76CA3" w14:textId="77777777" w:rsidR="000723C7" w:rsidRPr="003F273A" w:rsidRDefault="000723C7" w:rsidP="000723C7">
            <w:pPr>
              <w:jc w:val="center"/>
            </w:pPr>
            <w:r w:rsidRPr="003F273A">
              <w:t>/</w:t>
            </w:r>
          </w:p>
        </w:tc>
        <w:tc>
          <w:tcPr>
            <w:tcW w:w="1164" w:type="dxa"/>
            <w:tcBorders>
              <w:top w:val="double" w:sz="4" w:space="0" w:color="auto"/>
            </w:tcBorders>
            <w:vAlign w:val="center"/>
          </w:tcPr>
          <w:p w14:paraId="796F5186" w14:textId="77777777" w:rsidR="000723C7" w:rsidRPr="003F273A" w:rsidRDefault="000723C7" w:rsidP="000723C7">
            <w:pPr>
              <w:jc w:val="center"/>
            </w:pPr>
            <w:r w:rsidRPr="003F273A">
              <w:t>/</w:t>
            </w:r>
          </w:p>
        </w:tc>
        <w:tc>
          <w:tcPr>
            <w:tcW w:w="1164" w:type="dxa"/>
            <w:tcBorders>
              <w:top w:val="double" w:sz="4" w:space="0" w:color="auto"/>
            </w:tcBorders>
          </w:tcPr>
          <w:p w14:paraId="7CF25941" w14:textId="4CA17532" w:rsidR="000723C7" w:rsidRPr="003F273A" w:rsidRDefault="000723C7" w:rsidP="000723C7">
            <w:pPr>
              <w:jc w:val="center"/>
            </w:pPr>
            <w:r>
              <w:t>0</w:t>
            </w:r>
          </w:p>
        </w:tc>
        <w:tc>
          <w:tcPr>
            <w:tcW w:w="1164" w:type="dxa"/>
            <w:tcBorders>
              <w:top w:val="double" w:sz="4" w:space="0" w:color="auto"/>
            </w:tcBorders>
          </w:tcPr>
          <w:p w14:paraId="7856FDE8" w14:textId="6919D721" w:rsidR="000723C7" w:rsidRPr="003F273A" w:rsidRDefault="000723C7" w:rsidP="000723C7">
            <w:pPr>
              <w:jc w:val="center"/>
            </w:pPr>
            <w:r>
              <w:t>/</w:t>
            </w:r>
          </w:p>
        </w:tc>
      </w:tr>
      <w:tr w:rsidR="000723C7" w14:paraId="74A5308E" w14:textId="6CAE58FB" w:rsidTr="003974FB">
        <w:tc>
          <w:tcPr>
            <w:tcW w:w="892" w:type="dxa"/>
            <w:tcBorders>
              <w:right w:val="double" w:sz="4" w:space="0" w:color="auto"/>
            </w:tcBorders>
          </w:tcPr>
          <w:p w14:paraId="53C65F36" w14:textId="77777777" w:rsidR="000723C7" w:rsidRPr="003F273A" w:rsidRDefault="000723C7" w:rsidP="000723C7">
            <w:pPr>
              <w:rPr>
                <w:color w:val="1F497D" w:themeColor="text2"/>
              </w:rPr>
            </w:pPr>
            <m:oMathPara>
              <m:oMath>
                <m:r>
                  <m:rPr>
                    <m:sty m:val="bi"/>
                  </m:rPr>
                  <w:rPr>
                    <w:rFonts w:ascii="Cambria Math" w:hAnsi="Cambria Math"/>
                    <w:color w:val="1F497D" w:themeColor="text2"/>
                  </w:rPr>
                  <m:t>EXPB</m:t>
                </m:r>
              </m:oMath>
            </m:oMathPara>
          </w:p>
        </w:tc>
        <w:tc>
          <w:tcPr>
            <w:tcW w:w="1375" w:type="dxa"/>
            <w:tcBorders>
              <w:left w:val="double" w:sz="4" w:space="0" w:color="auto"/>
            </w:tcBorders>
            <w:vAlign w:val="center"/>
          </w:tcPr>
          <w:p w14:paraId="7C3F84B6" w14:textId="77777777" w:rsidR="000723C7" w:rsidRPr="003F273A" w:rsidRDefault="000723C7" w:rsidP="000723C7">
            <w:pPr>
              <w:jc w:val="center"/>
            </w:pPr>
            <w:r w:rsidRPr="003F273A">
              <w:t>0.545</w:t>
            </w:r>
          </w:p>
        </w:tc>
        <w:tc>
          <w:tcPr>
            <w:tcW w:w="1375" w:type="dxa"/>
            <w:vAlign w:val="center"/>
          </w:tcPr>
          <w:p w14:paraId="2BD3421D" w14:textId="77777777" w:rsidR="000723C7" w:rsidRPr="003F273A" w:rsidRDefault="000723C7" w:rsidP="000723C7">
            <w:pPr>
              <w:jc w:val="center"/>
            </w:pPr>
            <w:r w:rsidRPr="003F273A">
              <w:t>0.022</w:t>
            </w:r>
          </w:p>
        </w:tc>
        <w:tc>
          <w:tcPr>
            <w:tcW w:w="991" w:type="dxa"/>
            <w:vAlign w:val="center"/>
          </w:tcPr>
          <w:p w14:paraId="629C2016" w14:textId="77777777" w:rsidR="000723C7" w:rsidRPr="003F273A" w:rsidRDefault="000723C7" w:rsidP="000723C7">
            <w:pPr>
              <w:jc w:val="center"/>
            </w:pPr>
            <w:r w:rsidRPr="003F273A">
              <w:t>/</w:t>
            </w:r>
          </w:p>
        </w:tc>
        <w:tc>
          <w:tcPr>
            <w:tcW w:w="991" w:type="dxa"/>
            <w:vAlign w:val="center"/>
          </w:tcPr>
          <w:p w14:paraId="1A87C5C2" w14:textId="77777777" w:rsidR="000723C7" w:rsidRPr="003F273A" w:rsidRDefault="000723C7" w:rsidP="000723C7">
            <w:pPr>
              <w:jc w:val="center"/>
            </w:pPr>
            <w:r w:rsidRPr="003F273A">
              <w:t>/</w:t>
            </w:r>
          </w:p>
        </w:tc>
        <w:tc>
          <w:tcPr>
            <w:tcW w:w="1164" w:type="dxa"/>
            <w:vAlign w:val="center"/>
          </w:tcPr>
          <w:p w14:paraId="65BA6E2E" w14:textId="77777777" w:rsidR="000723C7" w:rsidRPr="003F273A" w:rsidRDefault="000723C7" w:rsidP="000723C7">
            <w:pPr>
              <w:jc w:val="center"/>
            </w:pPr>
            <w:r w:rsidRPr="003F273A">
              <w:t>0.075</w:t>
            </w:r>
          </w:p>
        </w:tc>
        <w:tc>
          <w:tcPr>
            <w:tcW w:w="1164" w:type="dxa"/>
            <w:vAlign w:val="center"/>
          </w:tcPr>
          <w:p w14:paraId="3C21B839" w14:textId="77777777" w:rsidR="000723C7" w:rsidRPr="003F273A" w:rsidRDefault="000723C7" w:rsidP="000723C7">
            <w:pPr>
              <w:jc w:val="center"/>
            </w:pPr>
            <w:r w:rsidRPr="003F273A">
              <w:t>0.037</w:t>
            </w:r>
          </w:p>
        </w:tc>
        <w:tc>
          <w:tcPr>
            <w:tcW w:w="1164" w:type="dxa"/>
          </w:tcPr>
          <w:p w14:paraId="77987444" w14:textId="1F5EF045" w:rsidR="000723C7" w:rsidRPr="003F273A" w:rsidRDefault="000723C7" w:rsidP="000723C7">
            <w:pPr>
              <w:jc w:val="center"/>
            </w:pPr>
            <w:r>
              <w:t>/</w:t>
            </w:r>
          </w:p>
        </w:tc>
        <w:tc>
          <w:tcPr>
            <w:tcW w:w="1164" w:type="dxa"/>
          </w:tcPr>
          <w:p w14:paraId="2EB141E0" w14:textId="18345465" w:rsidR="000723C7" w:rsidRPr="003F273A" w:rsidRDefault="000723C7" w:rsidP="000723C7">
            <w:pPr>
              <w:jc w:val="center"/>
            </w:pPr>
            <w:r>
              <w:t>0</w:t>
            </w:r>
          </w:p>
        </w:tc>
      </w:tr>
    </w:tbl>
    <w:p w14:paraId="2DE958BB" w14:textId="77777777" w:rsidR="004B201E" w:rsidRDefault="004B201E">
      <w:pPr>
        <w:pStyle w:val="BodyText"/>
      </w:pPr>
    </w:p>
    <w:p w14:paraId="7B9E76B1" w14:textId="70557D13" w:rsidR="00505EE9" w:rsidRPr="00583004" w:rsidRDefault="00B84193" w:rsidP="00D940E5">
      <w:pPr>
        <w:pStyle w:val="BodyText"/>
        <w:tabs>
          <w:tab w:val="left" w:pos="1417"/>
        </w:tabs>
      </w:pPr>
      <w:r>
        <w:rPr>
          <w:b/>
          <w:bCs/>
        </w:rPr>
        <w:t xml:space="preserve">Table 1 : </w:t>
      </w:r>
      <w:r w:rsidR="00F273FD">
        <w:rPr>
          <w:b/>
          <w:bCs/>
        </w:rPr>
        <w:t>B</w:t>
      </w:r>
      <w:r>
        <w:rPr>
          <w:b/>
          <w:bCs/>
        </w:rPr>
        <w:t>ifurcation coordinates.</w:t>
      </w:r>
      <w:r>
        <w:t xml:space="preserve"> </w:t>
      </w:r>
      <w:r w:rsidR="00DB7207">
        <w:t xml:space="preserve">The values for </w:t>
      </w:r>
      <m:oMath>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oMath>
      <w:r w:rsidR="00DB7207">
        <w:t>,</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T</m:t>
            </m:r>
            <m:ctrlPr>
              <w:rPr>
                <w:rFonts w:ascii="Cambria Math" w:hAnsi="Cambria Math"/>
              </w:rPr>
            </m:ctrlPr>
          </m:e>
          <m:sup>
            <m:r>
              <w:rPr>
                <w:rFonts w:ascii="Cambria Math" w:hAnsi="Cambria Math"/>
              </w:rPr>
              <m:t>+</m:t>
            </m:r>
          </m:sup>
        </m:s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GIS</m:t>
            </m:r>
          </m:sub>
          <m:sup>
            <m:r>
              <w:rPr>
                <w:rFonts w:ascii="Cambria Math" w:hAnsi="Cambria Math"/>
              </w:rPr>
              <m:t>+</m:t>
            </m:r>
          </m:sup>
        </m:sSubSup>
      </m:oMath>
      <w:r w:rsidR="00DB7207">
        <w:t xml:space="preserve"> are retrieved from the cGENIE calibration sensitivity experiments </w:t>
      </w:r>
      <m:oMath>
        <m:r>
          <w:rPr>
            <w:rFonts w:ascii="Cambria Math" w:hAnsi="Cambria Math"/>
          </w:rPr>
          <m:t>EXPA</m:t>
        </m:r>
      </m:oMath>
      <w:r w:rsidR="00DB7207">
        <w:t xml:space="preserve"> and </w:t>
      </w:r>
      <m:oMath>
        <m:r>
          <w:rPr>
            <w:rFonts w:ascii="Cambria Math" w:hAnsi="Cambria Math"/>
          </w:rPr>
          <m:t>EXPB</m:t>
        </m:r>
      </m:oMath>
      <w:r w:rsidR="00DB7207">
        <w:t xml:space="preserve"> shown in Figure 2. The </w:t>
      </w:r>
      <m:oMath>
        <m:r>
          <w:rPr>
            <w:rFonts w:ascii="Cambria Math" w:hAnsi="Cambria Math"/>
          </w:rPr>
          <m:t xml:space="preserve"> </m:t>
        </m:r>
        <m:sSubSup>
          <m:sSubSupPr>
            <m:ctrlPr>
              <w:rPr>
                <w:rFonts w:ascii="Cambria Math" w:hAnsi="Cambria Math"/>
                <w:i/>
              </w:rPr>
            </m:ctrlPr>
          </m:sSubSupPr>
          <m:e>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r>
              <w:rPr>
                <w:rFonts w:ascii="Cambria Math" w:hAnsi="Cambria Math"/>
              </w:rPr>
              <m:t>,  F</m:t>
            </m:r>
          </m:e>
          <m:sub>
            <m:r>
              <w:rPr>
                <w:rFonts w:ascii="Cambria Math" w:hAnsi="Cambria Math"/>
              </w:rPr>
              <m:t>GIS</m:t>
            </m:r>
          </m:sub>
          <m:sup>
            <m:r>
              <w:rPr>
                <w:rFonts w:ascii="Cambria Math" w:hAnsi="Cambria Math"/>
              </w:rPr>
              <m:t>-</m:t>
            </m:r>
          </m:sup>
        </m:sSubSup>
      </m:oMath>
      <w:r w:rsidR="00DB7207">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DB7207">
        <w:t xml:space="preserve"> values are manually fixed during the calibration procedure and adjusted to  improve the fit of the collapse branch. The </w:t>
      </w:r>
      <m:oMath>
        <m:sSubSup>
          <m:sSubSupPr>
            <m:ctrlPr>
              <w:rPr>
                <w:rFonts w:ascii="Cambria Math" w:hAnsi="Cambria Math"/>
                <w:i/>
              </w:rPr>
            </m:ctrlPr>
          </m:sSubSupPr>
          <m:e>
            <m:r>
              <w:rPr>
                <w:rFonts w:ascii="Cambria Math" w:hAnsi="Cambria Math"/>
              </w:rPr>
              <m:t xml:space="preserve"> F</m:t>
            </m:r>
          </m:e>
          <m:sub>
            <m:r>
              <w:rPr>
                <w:rFonts w:ascii="Cambria Math" w:hAnsi="Cambria Math"/>
              </w:rPr>
              <m:t>GIS</m:t>
            </m:r>
          </m:sub>
          <m:sup>
            <m:r>
              <w:rPr>
                <w:rFonts w:ascii="Cambria Math" w:hAnsi="Cambria Math"/>
              </w:rPr>
              <m:t>A</m:t>
            </m:r>
          </m:sup>
        </m:sSubSup>
      </m:oMath>
      <w:r w:rsidR="00DB7207">
        <w:t xml:space="preserve"> and </w:t>
      </w:r>
      <m:oMath>
        <m:sSup>
          <m:sSupPr>
            <m:ctrlPr>
              <w:rPr>
                <w:rFonts w:ascii="Cambria Math" w:hAnsi="Cambria Math"/>
                <w:i/>
                <w:lang w:val="fr-BE"/>
              </w:rPr>
            </m:ctrlPr>
          </m:sSupPr>
          <m:e>
            <m:r>
              <w:rPr>
                <w:rFonts w:ascii="Cambria Math" w:hAnsi="Cambria Math"/>
                <w:lang w:val="fr-BE"/>
              </w:rPr>
              <m:t>T</m:t>
            </m:r>
          </m:e>
          <m:sup>
            <m:r>
              <w:rPr>
                <w:rFonts w:ascii="Cambria Math" w:hAnsi="Cambria Math"/>
                <w:lang w:val="fr-BE"/>
              </w:rPr>
              <m:t>B</m:t>
            </m:r>
          </m:sup>
        </m:sSup>
      </m:oMath>
      <w:r w:rsidR="00DB7207" w:rsidRPr="00DB7207">
        <w:t xml:space="preserve"> values correspond t</w:t>
      </w:r>
      <w:r w:rsidR="00DB7207">
        <w:t>o the arbitrary constant forcing applied during the sensitivity experiment.</w:t>
      </w:r>
    </w:p>
    <w:p w14:paraId="262A13AC" w14:textId="74FF48E1" w:rsidR="00D940E5" w:rsidRDefault="00505EE9" w:rsidP="00D940E5">
      <w:pPr>
        <w:pStyle w:val="BodyText"/>
        <w:tabs>
          <w:tab w:val="left" w:pos="1417"/>
        </w:tabs>
      </w:pPr>
      <w:r>
        <w:t xml:space="preserve"> </w:t>
      </w:r>
    </w:p>
    <w:tbl>
      <w:tblPr>
        <w:tblStyle w:val="TableGrid"/>
        <w:tblW w:w="10060" w:type="dxa"/>
        <w:tblLayout w:type="fixed"/>
        <w:tblLook w:val="04A0" w:firstRow="1" w:lastRow="0" w:firstColumn="1" w:lastColumn="0" w:noHBand="0" w:noVBand="1"/>
      </w:tblPr>
      <w:tblGrid>
        <w:gridCol w:w="2012"/>
        <w:gridCol w:w="2012"/>
        <w:gridCol w:w="2012"/>
        <w:gridCol w:w="2012"/>
        <w:gridCol w:w="2012"/>
      </w:tblGrid>
      <w:tr w:rsidR="00D940E5" w14:paraId="5F0E424D" w14:textId="77777777">
        <w:tc>
          <w:tcPr>
            <w:tcW w:w="2012" w:type="dxa"/>
            <w:tcBorders>
              <w:bottom w:val="double" w:sz="4" w:space="0" w:color="000000"/>
            </w:tcBorders>
          </w:tcPr>
          <w:p w14:paraId="71B184D9" w14:textId="1D2EC120" w:rsidR="00D940E5" w:rsidRDefault="00000000" w:rsidP="00D940E5">
            <w:pPr>
              <w:jc w:val="center"/>
              <w:rPr>
                <w:rFonts w:ascii="Arial" w:eastAsia="Arial" w:hAnsi="Arial" w:cs="Arial"/>
                <w:b/>
                <w:bCs/>
                <w:color w:val="1F497D" w:themeColor="text2"/>
              </w:rPr>
            </w:pPr>
            <m:oMathPara>
              <m:oMathParaPr>
                <m:jc m:val="center"/>
              </m:oMathParaPr>
              <m:oMath>
                <m:sSub>
                  <m:sSubPr>
                    <m:ctrlPr>
                      <w:rPr>
                        <w:rFonts w:ascii="Cambria Math" w:hAnsi="Cambria Math"/>
                        <w:b/>
                        <w:bCs/>
                        <w:i/>
                        <w:color w:val="1F497D" w:themeColor="text2"/>
                      </w:rPr>
                    </m:ctrlPr>
                  </m:sSubPr>
                  <m:e>
                    <m:r>
                      <m:rPr>
                        <m:sty m:val="bi"/>
                      </m:rPr>
                      <w:rPr>
                        <w:rFonts w:ascii="Cambria Math" w:hAnsi="Cambria Math"/>
                        <w:color w:val="1F497D" w:themeColor="text2"/>
                      </w:rPr>
                      <m:t>a</m:t>
                    </m:r>
                  </m:e>
                  <m:sub>
                    <m:r>
                      <m:rPr>
                        <m:sty m:val="bi"/>
                      </m:rPr>
                      <w:rPr>
                        <w:rFonts w:ascii="Cambria Math" w:hAnsi="Cambria Math"/>
                        <w:color w:val="1F497D" w:themeColor="text2"/>
                      </w:rPr>
                      <m:t>1</m:t>
                    </m:r>
                  </m:sub>
                </m:sSub>
              </m:oMath>
            </m:oMathPara>
          </w:p>
        </w:tc>
        <w:tc>
          <w:tcPr>
            <w:tcW w:w="2012" w:type="dxa"/>
            <w:tcBorders>
              <w:bottom w:val="double" w:sz="4" w:space="0" w:color="000000"/>
            </w:tcBorders>
          </w:tcPr>
          <w:p w14:paraId="7BE74AD2" w14:textId="7AF06FA4" w:rsidR="00D940E5" w:rsidRDefault="00000000" w:rsidP="00D940E5">
            <w:pPr>
              <w:jc w:val="center"/>
              <w:rPr>
                <w:rFonts w:ascii="Arial" w:eastAsia="Arial" w:hAnsi="Arial" w:cs="Arial"/>
                <w:b/>
                <w:bCs/>
                <w:color w:val="1F497D" w:themeColor="text2"/>
              </w:rPr>
            </w:pPr>
            <m:oMathPara>
              <m:oMathParaPr>
                <m:jc m:val="center"/>
              </m:oMathParaPr>
              <m:oMath>
                <m:sSub>
                  <m:sSubPr>
                    <m:ctrlPr>
                      <w:rPr>
                        <w:rFonts w:ascii="Cambria Math" w:hAnsi="Cambria Math"/>
                        <w:b/>
                        <w:bCs/>
                        <w:i/>
                        <w:color w:val="1F497D" w:themeColor="text2"/>
                      </w:rPr>
                    </m:ctrlPr>
                  </m:sSubPr>
                  <m:e>
                    <m:r>
                      <m:rPr>
                        <m:sty m:val="bi"/>
                      </m:rPr>
                      <w:rPr>
                        <w:rFonts w:ascii="Cambria Math" w:hAnsi="Cambria Math"/>
                        <w:color w:val="1F497D" w:themeColor="text2"/>
                      </w:rPr>
                      <m:t>b</m:t>
                    </m:r>
                  </m:e>
                  <m:sub>
                    <m:r>
                      <m:rPr>
                        <m:sty m:val="bi"/>
                      </m:rPr>
                      <w:rPr>
                        <w:rFonts w:ascii="Cambria Math" w:hAnsi="Cambria Math"/>
                        <w:color w:val="1F497D" w:themeColor="text2"/>
                      </w:rPr>
                      <m:t>1</m:t>
                    </m:r>
                  </m:sub>
                </m:sSub>
              </m:oMath>
            </m:oMathPara>
          </w:p>
        </w:tc>
        <w:tc>
          <w:tcPr>
            <w:tcW w:w="2012" w:type="dxa"/>
            <w:tcBorders>
              <w:bottom w:val="double" w:sz="4" w:space="0" w:color="000000"/>
            </w:tcBorders>
          </w:tcPr>
          <w:p w14:paraId="1316B853" w14:textId="66B648E2" w:rsidR="00D940E5" w:rsidRDefault="00000000" w:rsidP="00D940E5">
            <w:pPr>
              <w:jc w:val="center"/>
              <w:rPr>
                <w:rFonts w:ascii="Arial" w:eastAsia="Arial" w:hAnsi="Arial" w:cs="Arial"/>
                <w:b/>
                <w:bCs/>
                <w:color w:val="1F497D" w:themeColor="text2"/>
              </w:rPr>
            </w:pPr>
            <m:oMathPara>
              <m:oMathParaPr>
                <m:jc m:val="center"/>
              </m:oMathParaPr>
              <m:oMath>
                <m:sSub>
                  <m:sSubPr>
                    <m:ctrlPr>
                      <w:rPr>
                        <w:rFonts w:ascii="Cambria Math" w:hAnsi="Cambria Math"/>
                        <w:b/>
                        <w:bCs/>
                        <w:i/>
                        <w:color w:val="1F497D" w:themeColor="text2"/>
                      </w:rPr>
                    </m:ctrlPr>
                  </m:sSubPr>
                  <m:e>
                    <m:r>
                      <m:rPr>
                        <m:sty m:val="bi"/>
                      </m:rPr>
                      <w:rPr>
                        <w:rFonts w:ascii="Cambria Math" w:hAnsi="Cambria Math"/>
                        <w:color w:val="1F497D" w:themeColor="text2"/>
                      </w:rPr>
                      <m:t>c</m:t>
                    </m:r>
                  </m:e>
                  <m:sub>
                    <m:r>
                      <m:rPr>
                        <m:sty m:val="bi"/>
                      </m:rPr>
                      <w:rPr>
                        <w:rFonts w:ascii="Cambria Math" w:hAnsi="Cambria Math"/>
                        <w:color w:val="1F497D" w:themeColor="text2"/>
                      </w:rPr>
                      <m:t>1</m:t>
                    </m:r>
                  </m:sub>
                </m:sSub>
              </m:oMath>
            </m:oMathPara>
          </w:p>
        </w:tc>
        <w:tc>
          <w:tcPr>
            <w:tcW w:w="2012" w:type="dxa"/>
            <w:tcBorders>
              <w:bottom w:val="double" w:sz="4" w:space="0" w:color="000000"/>
            </w:tcBorders>
          </w:tcPr>
          <w:p w14:paraId="038778EB" w14:textId="5C37DF99" w:rsidR="00D940E5" w:rsidRDefault="00000000" w:rsidP="00D940E5">
            <w:pPr>
              <w:jc w:val="center"/>
              <w:rPr>
                <w:rFonts w:ascii="Arial" w:eastAsia="Arial" w:hAnsi="Arial" w:cs="Arial"/>
                <w:b/>
                <w:bCs/>
                <w:color w:val="1F497D" w:themeColor="text2"/>
              </w:rPr>
            </w:pPr>
            <m:oMathPara>
              <m:oMathParaPr>
                <m:jc m:val="center"/>
              </m:oMathParaPr>
              <m:oMath>
                <m:sSub>
                  <m:sSubPr>
                    <m:ctrlPr>
                      <w:rPr>
                        <w:rFonts w:ascii="Cambria Math" w:hAnsi="Cambria Math"/>
                        <w:b/>
                        <w:bCs/>
                        <w:i/>
                        <w:color w:val="1F497D" w:themeColor="text2"/>
                      </w:rPr>
                    </m:ctrlPr>
                  </m:sSubPr>
                  <m:e>
                    <m:r>
                      <m:rPr>
                        <m:sty m:val="bi"/>
                      </m:rPr>
                      <w:rPr>
                        <w:rFonts w:ascii="Cambria Math" w:hAnsi="Cambria Math"/>
                        <w:color w:val="1F497D" w:themeColor="text2"/>
                      </w:rPr>
                      <m:t>d</m:t>
                    </m:r>
                  </m:e>
                  <m:sub>
                    <m:r>
                      <m:rPr>
                        <m:sty m:val="bi"/>
                      </m:rPr>
                      <w:rPr>
                        <w:rFonts w:ascii="Cambria Math" w:hAnsi="Cambria Math"/>
                        <w:color w:val="1F497D" w:themeColor="text2"/>
                      </w:rPr>
                      <m:t>1</m:t>
                    </m:r>
                  </m:sub>
                </m:sSub>
              </m:oMath>
            </m:oMathPara>
          </w:p>
        </w:tc>
        <w:tc>
          <w:tcPr>
            <w:tcW w:w="2012" w:type="dxa"/>
            <w:tcBorders>
              <w:bottom w:val="double" w:sz="4" w:space="0" w:color="000000"/>
            </w:tcBorders>
          </w:tcPr>
          <w:p w14:paraId="78ADB121" w14:textId="5229C03F" w:rsidR="00D940E5" w:rsidRDefault="00000000" w:rsidP="00D940E5">
            <w:pPr>
              <w:jc w:val="center"/>
              <w:rPr>
                <w:rFonts w:ascii="Arial" w:eastAsia="Arial" w:hAnsi="Arial" w:cs="Arial"/>
                <w:b/>
                <w:bCs/>
                <w:color w:val="1F497D" w:themeColor="text2"/>
              </w:rPr>
            </w:pPr>
            <m:oMathPara>
              <m:oMathParaPr>
                <m:jc m:val="center"/>
              </m:oMathParaPr>
              <m:oMath>
                <m:sSub>
                  <m:sSubPr>
                    <m:ctrlPr>
                      <w:rPr>
                        <w:rFonts w:ascii="Cambria Math" w:hAnsi="Cambria Math"/>
                        <w:b/>
                        <w:bCs/>
                        <w:i/>
                        <w:color w:val="1F497D" w:themeColor="text2"/>
                      </w:rPr>
                    </m:ctrlPr>
                  </m:sSubPr>
                  <m:e>
                    <m:r>
                      <m:rPr>
                        <m:sty m:val="bi"/>
                      </m:rPr>
                      <w:rPr>
                        <w:rFonts w:ascii="Cambria Math" w:hAnsi="Cambria Math"/>
                        <w:color w:val="1F497D" w:themeColor="text2"/>
                      </w:rPr>
                      <m:t>e</m:t>
                    </m:r>
                  </m:e>
                  <m:sub>
                    <m:r>
                      <m:rPr>
                        <m:sty m:val="bi"/>
                      </m:rPr>
                      <w:rPr>
                        <w:rFonts w:ascii="Cambria Math" w:hAnsi="Cambria Math"/>
                        <w:color w:val="1F497D" w:themeColor="text2"/>
                      </w:rPr>
                      <m:t>12</m:t>
                    </m:r>
                  </m:sub>
                </m:sSub>
              </m:oMath>
            </m:oMathPara>
          </w:p>
        </w:tc>
      </w:tr>
      <w:tr w:rsidR="00D940E5" w14:paraId="1BA2B055" w14:textId="77777777">
        <w:tc>
          <w:tcPr>
            <w:tcW w:w="2012" w:type="dxa"/>
            <w:tcBorders>
              <w:top w:val="double" w:sz="4" w:space="0" w:color="000000"/>
            </w:tcBorders>
          </w:tcPr>
          <w:p w14:paraId="411271F8" w14:textId="57EA860D" w:rsidR="00D940E5" w:rsidRDefault="00D940E5" w:rsidP="00D940E5">
            <w:pPr>
              <w:jc w:val="center"/>
            </w:pPr>
            <w:r>
              <w:t>0.851</w:t>
            </w:r>
          </w:p>
        </w:tc>
        <w:tc>
          <w:tcPr>
            <w:tcW w:w="2012" w:type="dxa"/>
            <w:tcBorders>
              <w:top w:val="double" w:sz="4" w:space="0" w:color="000000"/>
            </w:tcBorders>
          </w:tcPr>
          <w:p w14:paraId="7BAB0371" w14:textId="4809B5EA" w:rsidR="00D940E5" w:rsidRDefault="00D940E5" w:rsidP="00D940E5">
            <w:pPr>
              <w:jc w:val="center"/>
            </w:pPr>
            <w:r>
              <w:t>-0.036</w:t>
            </w:r>
          </w:p>
        </w:tc>
        <w:tc>
          <w:tcPr>
            <w:tcW w:w="2012" w:type="dxa"/>
            <w:tcBorders>
              <w:top w:val="double" w:sz="4" w:space="0" w:color="000000"/>
            </w:tcBorders>
          </w:tcPr>
          <w:p w14:paraId="6AB009C6" w14:textId="5F1E23A8" w:rsidR="00D940E5" w:rsidRDefault="00D940E5" w:rsidP="00D940E5">
            <w:pPr>
              <w:jc w:val="center"/>
            </w:pPr>
            <w:r>
              <w:t>0.074</w:t>
            </w:r>
          </w:p>
        </w:tc>
        <w:tc>
          <w:tcPr>
            <w:tcW w:w="2012" w:type="dxa"/>
            <w:tcBorders>
              <w:top w:val="double" w:sz="4" w:space="0" w:color="000000"/>
            </w:tcBorders>
          </w:tcPr>
          <w:p w14:paraId="7E73D75A" w14:textId="29545AD2" w:rsidR="00D940E5" w:rsidRDefault="00D940E5" w:rsidP="00D940E5">
            <w:pPr>
              <w:jc w:val="center"/>
            </w:pPr>
            <w:r>
              <w:t>-0.024</w:t>
            </w:r>
          </w:p>
        </w:tc>
        <w:tc>
          <w:tcPr>
            <w:tcW w:w="2012" w:type="dxa"/>
            <w:tcBorders>
              <w:top w:val="double" w:sz="4" w:space="0" w:color="000000"/>
            </w:tcBorders>
          </w:tcPr>
          <w:p w14:paraId="3D19A383" w14:textId="6DD079FC" w:rsidR="00D940E5" w:rsidRDefault="00D940E5" w:rsidP="00D940E5">
            <w:pPr>
              <w:jc w:val="center"/>
            </w:pPr>
            <w:r>
              <w:t>-1.882</w:t>
            </w:r>
          </w:p>
        </w:tc>
      </w:tr>
    </w:tbl>
    <w:p w14:paraId="4B537B41" w14:textId="77777777" w:rsidR="004B201E" w:rsidRDefault="004B201E"/>
    <w:p w14:paraId="5CAC464D" w14:textId="692E9468" w:rsidR="004B201E" w:rsidRDefault="00B84193">
      <w:pPr>
        <w:pStyle w:val="BodyText"/>
        <w:tabs>
          <w:tab w:val="left" w:pos="1417"/>
        </w:tabs>
      </w:pPr>
      <w:r>
        <w:rPr>
          <w:b/>
          <w:bCs/>
        </w:rPr>
        <w:t xml:space="preserve">Table 2 : Internal dynamics parameter. </w:t>
      </w:r>
      <w:r>
        <w:t>The parameters are computed with the ATCM using Eq.(7-10,14)</w:t>
      </w:r>
      <w:r w:rsidR="006078CD">
        <w:t xml:space="preserve"> using coordinates of the bifurcation points given by Table 1.</w:t>
      </w:r>
    </w:p>
    <w:p w14:paraId="72E4365C" w14:textId="77777777" w:rsidR="008E02A3" w:rsidRDefault="008E02A3" w:rsidP="00296270"/>
    <w:p w14:paraId="4B641F43" w14:textId="3143582F" w:rsidR="00603F5C" w:rsidRPr="00E629B6" w:rsidRDefault="00127150" w:rsidP="00923633">
      <w:r>
        <w:t>Finally we must set</w:t>
      </w:r>
      <w:r w:rsidR="004B74C4">
        <w:t xml:space="preserve"> </w:t>
      </w:r>
      <m:oMath>
        <m:r>
          <w:rPr>
            <w:rFonts w:ascii="Cambria Math" w:hAnsi="Cambria Math"/>
          </w:rPr>
          <m:t>τ</m:t>
        </m:r>
      </m:oMath>
      <w:r w:rsidR="00603F5C" w:rsidRPr="00214B30">
        <w:t xml:space="preserve">, the characteristic timescale of AMOC dynamics. Following the experimental protocol outlined in the Methods section, we performed a third calibration experiment with cGENIE, labelled </w:t>
      </w:r>
      <m:oMath>
        <m:r>
          <w:rPr>
            <w:rFonts w:ascii="Cambria Math" w:hAnsi="Cambria Math"/>
          </w:rPr>
          <m:t>EXPC</m:t>
        </m:r>
      </m:oMath>
      <w:r w:rsidR="00603F5C" w:rsidRPr="00214B30">
        <w:t xml:space="preserve">, spanning 1,250 years. The simulation was initialized at 280 ppm atmospheric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00603F5C" w:rsidRPr="00214B30">
        <w:t xml:space="preserve"> (pre-industrial level) and increased concentrations by 1% per year until reaching 2240 ppm (8× pre-industrial levels), maintaining this concentration thereafter (see Supplementary Figure 6).</w:t>
      </w:r>
      <w:r w:rsidR="00995A35">
        <w:t xml:space="preserve"> T</w:t>
      </w:r>
      <w:r w:rsidR="00603F5C" w:rsidRPr="00214B30">
        <w:t xml:space="preserve">his calibration experiment applied only thermal forcing, without freshwater hosing. </w:t>
      </w:r>
      <w:r w:rsidR="008B015E">
        <w:t>In t</w:t>
      </w:r>
      <w:r w:rsidR="00603F5C" w:rsidRPr="00214B30">
        <w:t>h</w:t>
      </w:r>
      <w:r w:rsidR="008B015E">
        <w:t>is</w:t>
      </w:r>
      <w:r w:rsidR="00603F5C" w:rsidRPr="00214B30">
        <w:t xml:space="preserve"> cGENIE simulation</w:t>
      </w:r>
      <w:r w:rsidR="00D17FC8">
        <w:t xml:space="preserve"> </w:t>
      </w:r>
      <w:r w:rsidR="008B015E">
        <w:t>AMOC collapses</w:t>
      </w:r>
      <w:r w:rsidR="00D17FC8">
        <w:t>,</w:t>
      </w:r>
      <w:r w:rsidR="008B015E">
        <w:t xml:space="preserve"> </w:t>
      </w:r>
      <w:r w:rsidR="00D17FC8">
        <w:t>reache</w:t>
      </w:r>
      <w:r w:rsidR="00D753D1">
        <w:t>s</w:t>
      </w:r>
      <w:r w:rsidR="00603F5C" w:rsidRPr="00214B30">
        <w:t xml:space="preserve"> a</w:t>
      </w:r>
      <w:r w:rsidR="00016DDA">
        <w:t xml:space="preserve"> minimum</w:t>
      </w:r>
      <w:r w:rsidR="00D17FC8">
        <w:t xml:space="preserve"> </w:t>
      </w:r>
      <w:r w:rsidR="00F222CC">
        <w:t xml:space="preserve">intensity </w:t>
      </w:r>
      <w:r w:rsidR="00603F5C" w:rsidRPr="00214B30">
        <w:t>(</w:t>
      </w:r>
      <m:oMath>
        <m:r>
          <m:rPr>
            <m:sty m:val="p"/>
          </m:rPr>
          <w:rPr>
            <w:rFonts w:ascii="Cambria Math" w:hAnsi="Cambria Math"/>
            <w:lang w:val="fr-BE"/>
          </w:rPr>
          <m:t>Ψ</m:t>
        </m:r>
        <m:r>
          <m:rPr>
            <m:sty m:val="p"/>
          </m:rPr>
          <w:rPr>
            <w:rFonts w:ascii="Cambria Math" w:hAnsi="Cambria Math"/>
          </w:rPr>
          <m:t>= 0.03</m:t>
        </m:r>
      </m:oMath>
      <w:r w:rsidR="00603F5C" w:rsidRPr="00214B30">
        <w:t xml:space="preserve">) by 2190 </w:t>
      </w:r>
      <w:r w:rsidR="00A80FE4">
        <w:t>CE</w:t>
      </w:r>
      <w:r w:rsidR="00603F5C" w:rsidRPr="00214B30">
        <w:t>,</w:t>
      </w:r>
      <w:r w:rsidR="00D753D1">
        <w:t xml:space="preserve"> then </w:t>
      </w:r>
      <w:r w:rsidR="00603F5C" w:rsidRPr="00214B30">
        <w:t>partial</w:t>
      </w:r>
      <w:r w:rsidR="00D753D1">
        <w:t>ly</w:t>
      </w:r>
      <w:r w:rsidR="00603F5C" w:rsidRPr="00214B30">
        <w:t xml:space="preserve"> </w:t>
      </w:r>
      <w:r w:rsidR="00D753D1" w:rsidRPr="00214B30">
        <w:t>recover</w:t>
      </w:r>
      <w:r w:rsidR="00D753D1">
        <w:t>s</w:t>
      </w:r>
      <w:r w:rsidR="00603F5C" w:rsidRPr="00214B30">
        <w:t xml:space="preserve"> </w:t>
      </w:r>
      <w:r w:rsidR="00AB5A04">
        <w:t xml:space="preserve">to less than </w:t>
      </w:r>
      <w:r w:rsidR="00603F5C" w:rsidRPr="00214B30">
        <w:t xml:space="preserve">10% of its initial </w:t>
      </w:r>
      <w:r w:rsidR="00AB5A04">
        <w:t>strength</w:t>
      </w:r>
      <w:r w:rsidR="00215011">
        <w:t xml:space="preserve"> (Figure 3)</w:t>
      </w:r>
      <w:r w:rsidR="00603F5C" w:rsidRPr="00214B30">
        <w:t xml:space="preserve">. </w:t>
      </w:r>
      <w:r w:rsidR="00603F5C" w:rsidRPr="00E629B6">
        <w:t xml:space="preserve">This behaviour reflects </w:t>
      </w:r>
      <w:r w:rsidR="00A61761">
        <w:t>residual</w:t>
      </w:r>
      <w:r w:rsidR="00552350">
        <w:t>,</w:t>
      </w:r>
      <w:r w:rsidR="00A61761">
        <w:t xml:space="preserve"> </w:t>
      </w:r>
      <w:r w:rsidR="00603F5C" w:rsidRPr="00E629B6">
        <w:t xml:space="preserve">persistent deep convection below </w:t>
      </w:r>
      <m:oMath>
        <m:r>
          <w:rPr>
            <w:rFonts w:ascii="Cambria Math" w:hAnsi="Cambria Math"/>
          </w:rPr>
          <m:t>1000m</m:t>
        </m:r>
      </m:oMath>
      <w:r w:rsidR="00603F5C">
        <w:t xml:space="preserve"> </w:t>
      </w:r>
      <w:r w:rsidR="00603F5C" w:rsidRPr="00E629B6">
        <w:t xml:space="preserve">in our </w:t>
      </w:r>
      <w:r w:rsidR="00511469">
        <w:t>simulator</w:t>
      </w:r>
      <w:r w:rsidR="00603F5C" w:rsidRPr="00E629B6">
        <w:t>, which gradually diminishes over longer time scales, as confirmed by additional analyses.</w:t>
      </w:r>
      <w:r w:rsidR="00603F5C">
        <w:t xml:space="preserve"> </w:t>
      </w:r>
      <w:r w:rsidR="00603F5C" w:rsidRPr="00214B30">
        <w:t xml:space="preserve">We therefore define AMOC collapse in cGENIE as the event occurring by 2190 </w:t>
      </w:r>
      <w:r w:rsidR="00A80FE4">
        <w:t>CE</w:t>
      </w:r>
      <w:r w:rsidR="00603F5C" w:rsidRPr="00214B30">
        <w:t xml:space="preserve">. </w:t>
      </w:r>
      <w:r w:rsidR="00256DC9" w:rsidRPr="00256DC9">
        <w:t xml:space="preserve">We find that a value of </w:t>
      </w:r>
      <m:oMath>
        <m:r>
          <w:rPr>
            <w:rFonts w:ascii="Cambria Math" w:hAnsi="Cambria Math"/>
          </w:rPr>
          <m:t>τ=18.94  </m:t>
        </m:r>
        <m:r>
          <w:rPr>
            <w:rFonts w:ascii="Cambria Math" w:hAnsi="Cambria Math"/>
            <w:lang w:val="fr-BE"/>
          </w:rPr>
          <m:t>y</m:t>
        </m:r>
        <m:sSup>
          <m:sSupPr>
            <m:ctrlPr>
              <w:rPr>
                <w:rFonts w:ascii="Cambria Math" w:hAnsi="Cambria Math"/>
                <w:i/>
                <w:lang w:val="fr-BE"/>
              </w:rPr>
            </m:ctrlPr>
          </m:sSupPr>
          <m:e>
            <m:r>
              <w:rPr>
                <w:rFonts w:ascii="Cambria Math" w:hAnsi="Cambria Math"/>
                <w:lang w:val="fr-BE"/>
              </w:rPr>
              <m:t>r</m:t>
            </m:r>
          </m:e>
          <m:sup>
            <m:r>
              <w:rPr>
                <w:rFonts w:ascii="Cambria Math" w:hAnsi="Cambria Math"/>
              </w:rPr>
              <m:t>-1</m:t>
            </m:r>
          </m:sup>
        </m:sSup>
      </m:oMath>
      <w:r w:rsidR="00603F5C" w:rsidRPr="00214B30">
        <w:t xml:space="preserve"> </w:t>
      </w:r>
      <w:r w:rsidR="00923633" w:rsidRPr="00923633">
        <w:t xml:space="preserve">best reproduces the timing of this event in the emulator (Figure 3b).  </w:t>
      </w:r>
    </w:p>
    <w:p w14:paraId="5B1025D4" w14:textId="77777777" w:rsidR="00603F5C" w:rsidRDefault="00603F5C" w:rsidP="00603F5C"/>
    <w:p w14:paraId="37F7AD72" w14:textId="0C64BFD9" w:rsidR="00BA6D04" w:rsidRPr="00A76BDD" w:rsidRDefault="00BA6D04" w:rsidP="00BA6D04">
      <w:r w:rsidRPr="00A76BDD">
        <w:t xml:space="preserve">While reproducing the </w:t>
      </w:r>
      <w:r w:rsidR="00923633">
        <w:t xml:space="preserve">timing of </w:t>
      </w:r>
      <w:r w:rsidRPr="00A76BDD">
        <w:t xml:space="preserve">collapse, significant differences in the trajectories emerge between the emulator and the </w:t>
      </w:r>
      <w:r w:rsidR="00556810">
        <w:t xml:space="preserve">simulator </w:t>
      </w:r>
      <w:r w:rsidRPr="00A76BDD">
        <w:t>outputs. This discrepancy stems primarily from: (i) the emulator's simplified single-equation framework, which lacks spatial resolution compared to cGENIE's 3D dynamical ocean physics, and (ii) the emulator's inability to capture rate-dependent AMOC modifications (R-tipping phenomena</w:t>
      </w:r>
      <w:r>
        <w:t xml:space="preserve"> </w:t>
      </w:r>
      <w:r>
        <w:fldChar w:fldCharType="begin"/>
      </w:r>
      <w:r w:rsidR="007F2E43">
        <w:instrText xml:space="preserve"> ADDIN ZOTERO_ITEM CSL_CITATION {"citationID":"9bwRtIog","properties":{"formattedCitation":"(32)","plainCitation":"(32)","noteIndex":0},"citationItems":[{"id":1263,"uris":["http://zotero.org/users/7129331/items/CQUPSR8X"],"itemData":{"id":1263,"type":"article-journal","abstract":"A classical scenario for tipping is that a dynamical system experiences a slow parameter drift across a fold tipping point, caused by a run-away positive feedback loop. We study what happens if one turns around after one has crossed the threshold. We derive a simple criterion that relates how far the parameter exceeds the tipping threshold maximally and how long the parameter stays above the threshold to avoid tipping in an inverse-square law to observable properties of the dynamical system near the fold. For the case when the dynamical system is subject to stochastic forcing we give an approximation to the probability of tipping if a parameter changing in time reverses near the tipping point. The derived approximations are valid if the parameter change in time is sufficiently slow. We demonstrate for a higher-dimensional system, a model for the Indian summer monsoon, how numerically observed escape from the equilibrium converge to our asymptotic expressions. The inverse-square law between peak of the parameter forcing and the time the parameter spends above a given threshold is also visible in the level curves of equal probability when the system is subject to random disturbances.","container-title":"Proceedings of the Royal Society A: Mathematical, Physical and Engineering Sciences","DOI":"10.1098/rspa.2018.0504","issue":"2222","note":"publisher: Royal Society","page":"20180504","source":"royalsocietypublishing.org (Atypon)","title":"Inverse-square law between time and amplitude for crossing tipping thresholds","volume":"475","author":[{"family":"Ritchie","given":"Paul"},{"family":"Karabacak","given":"Özkan"},{"family":"Sieber","given":"Jan"}],"issued":{"date-parts":[["2019",2,27]]}}}],"schema":"https://github.com/citation-style-language/schema/raw/master/csl-citation.json"} </w:instrText>
      </w:r>
      <w:r>
        <w:fldChar w:fldCharType="separate"/>
      </w:r>
      <w:r w:rsidR="007F2E43" w:rsidRPr="007F2E43">
        <w:t>(32)</w:t>
      </w:r>
      <w:r>
        <w:fldChar w:fldCharType="end"/>
      </w:r>
      <w:r w:rsidRPr="00A76BDD">
        <w:t xml:space="preserve">) that are </w:t>
      </w:r>
      <w:r w:rsidR="00462376">
        <w:t>present</w:t>
      </w:r>
      <w:r w:rsidRPr="00A76BDD">
        <w:t xml:space="preserve"> in cGENIE. We further address these aspects in the validation experiments and discussion. Notably, the choice of </w:t>
      </w:r>
      <m:oMath>
        <m:r>
          <w:rPr>
            <w:rFonts w:ascii="Cambria Math" w:hAnsi="Cambria Math"/>
          </w:rPr>
          <m:t>EXPC</m:t>
        </m:r>
      </m:oMath>
      <w:r w:rsidRPr="00A76BDD">
        <w:t xml:space="preserve"> imposes operational constraints—if the emulator is intended for studying slower forcing regimes, alternative transient simulations would provide a more suitable calibration baseline</w:t>
      </w:r>
      <w:r w:rsidR="00F34B66">
        <w:t xml:space="preserve"> </w:t>
      </w:r>
      <w:r w:rsidR="00BD6876">
        <w:t>(see Figure S7)</w:t>
      </w:r>
      <w:r w:rsidR="00BD6876" w:rsidRPr="00A76BDD">
        <w:t xml:space="preserve">. </w:t>
      </w:r>
      <w:r w:rsidRPr="00A76BDD">
        <w:t xml:space="preserve">The ATCM's minimal parameterization does not allow for universal calibration across all forcing timescales. However, as demonstrated in the following section, our 1%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Pr="00A76BDD">
        <w:t xml:space="preserve"> forcing</w:t>
      </w:r>
      <w:r w:rsidR="0004432E">
        <w:t xml:space="preserve"> in</w:t>
      </w:r>
      <w:r w:rsidRPr="00A76BDD">
        <w:t xml:space="preserve"> EXPC enables robust emulator performance when applied to SSP scenarios, which constitute the primary focus of this study.</w:t>
      </w:r>
    </w:p>
    <w:p w14:paraId="24257224" w14:textId="2F1CD3D9" w:rsidR="00020671" w:rsidRPr="00C33F5B" w:rsidRDefault="00020671"/>
    <w:p w14:paraId="45FEA944" w14:textId="1FC149CF" w:rsidR="004B201E" w:rsidRDefault="003B7F66">
      <w:pPr>
        <w:jc w:val="center"/>
      </w:pPr>
      <w:r>
        <w:rPr>
          <w:noProof/>
        </w:rPr>
        <w:lastRenderedPageBreak/>
        <w:drawing>
          <wp:inline distT="0" distB="0" distL="0" distR="0" wp14:anchorId="5539567A" wp14:editId="1A688D52">
            <wp:extent cx="3990975" cy="3990975"/>
            <wp:effectExtent l="0" t="0" r="9525" b="9525"/>
            <wp:docPr id="705299247" name="Picture 3" descr="A graph of a normalized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9247" name="Picture 3" descr="A graph of a normalized curv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0975" cy="3990975"/>
                    </a:xfrm>
                    <a:prstGeom prst="rect">
                      <a:avLst/>
                    </a:prstGeom>
                  </pic:spPr>
                </pic:pic>
              </a:graphicData>
            </a:graphic>
          </wp:inline>
        </w:drawing>
      </w:r>
    </w:p>
    <w:p w14:paraId="0C1D48AA" w14:textId="0CF43272" w:rsidR="004B201E" w:rsidRDefault="00B26569">
      <w:pPr>
        <w:pStyle w:val="BodyText"/>
      </w:pPr>
      <w:r>
        <w:rPr>
          <w:b/>
          <w:bCs/>
        </w:rPr>
        <w:t>Figure 3: (a) Normalized AMOC intensit</w:t>
      </w:r>
      <w:r w:rsidRPr="00B26569">
        <w:rPr>
          <w:b/>
          <w:bCs/>
        </w:rPr>
        <w:t xml:space="preserve">y in the </w:t>
      </w:r>
      <m:oMath>
        <m:r>
          <m:rPr>
            <m:sty m:val="bi"/>
          </m:rPr>
          <w:rPr>
            <w:rFonts w:ascii="Cambria Math" w:hAnsi="Cambria Math"/>
          </w:rPr>
          <m:t>EXPC</m:t>
        </m:r>
      </m:oMath>
      <w:r w:rsidRPr="00B26569">
        <w:rPr>
          <w:b/>
          <w:bCs/>
        </w:rPr>
        <w:t xml:space="preserve"> calibration experiment</w:t>
      </w:r>
      <w:r>
        <w:t xml:space="preserve"> within the ATCM (blue) and cGENIE (red). </w:t>
      </w:r>
      <w:r>
        <w:rPr>
          <w:b/>
          <w:bCs/>
        </w:rPr>
        <w:t xml:space="preserve">(b) ATCM </w:t>
      </w:r>
      <w:r w:rsidRPr="00D93432">
        <w:rPr>
          <w:b/>
          <w:bCs/>
        </w:rPr>
        <w:t xml:space="preserve">Optimization of the </w:t>
      </w:r>
      <m:oMath>
        <m:r>
          <m:rPr>
            <m:sty m:val="bi"/>
          </m:rPr>
          <w:rPr>
            <w:rFonts w:ascii="Cambria Math" w:hAnsi="Cambria Math"/>
          </w:rPr>
          <m:t>τ</m:t>
        </m:r>
      </m:oMath>
      <w:r w:rsidRPr="00D93432">
        <w:rPr>
          <w:b/>
          <w:bCs/>
        </w:rPr>
        <w:t xml:space="preserve"> parameter</w:t>
      </w:r>
      <w:r>
        <w:t xml:space="preserve"> to replicate the collapse year in cGENIE.</w:t>
      </w:r>
    </w:p>
    <w:p w14:paraId="436E634E" w14:textId="77777777" w:rsidR="000B1C6A" w:rsidRDefault="000B1C6A">
      <w:pPr>
        <w:pStyle w:val="BodyText"/>
      </w:pPr>
    </w:p>
    <w:p w14:paraId="7BEFEEA8" w14:textId="77777777" w:rsidR="004B201E" w:rsidRDefault="00B84193">
      <w:pPr>
        <w:pStyle w:val="BodyText"/>
        <w:rPr>
          <w:rFonts w:ascii="Arial" w:eastAsia="Arial" w:hAnsi="Arial" w:cs="Arial"/>
          <w:b/>
          <w:sz w:val="24"/>
          <w:szCs w:val="28"/>
        </w:rPr>
      </w:pPr>
      <w:r>
        <w:rPr>
          <w:rFonts w:ascii="Arial" w:eastAsia="Arial" w:hAnsi="Arial" w:cs="Arial"/>
          <w:b/>
          <w:sz w:val="24"/>
          <w:szCs w:val="28"/>
        </w:rPr>
        <w:t>3.2 Validation of the emulator</w:t>
      </w:r>
    </w:p>
    <w:p w14:paraId="3EA38F74" w14:textId="77777777" w:rsidR="004B201E" w:rsidRDefault="004B201E" w:rsidP="005740A2"/>
    <w:p w14:paraId="232C8202" w14:textId="3F04E881" w:rsidR="00673CAC" w:rsidRPr="00673CAC" w:rsidRDefault="00673CAC" w:rsidP="00673CAC">
      <w:r w:rsidRPr="00FD4516">
        <w:t>To validate the emulator, we assess the ability of the ATCM to reproduce the AMOC trajectory simulated by cGENIE under four forcing combinations that differ from the</w:t>
      </w:r>
      <w:r w:rsidR="00CD1618">
        <w:t xml:space="preserve"> ones</w:t>
      </w:r>
      <w:r w:rsidRPr="00FD4516">
        <w:t xml:space="preserve"> used in the calibration experiments. Since the primary purpose of the emulator is to generate simulations for relatively near-term and realistic future scenarios, we selected two SSP simulations, namely SSP2-4.5 and SSP5-8.5. For each of these two SSP simulations, which prescribe distinct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Pr="00FD4516">
        <w:t xml:space="preserve"> concentration pathways and thus different temperature forcings, we additionally consider a configuration in which a constant hosing of </w:t>
      </w:r>
      <m:oMath>
        <m:r>
          <w:rPr>
            <w:rFonts w:ascii="Cambria Math" w:hAnsi="Cambria Math"/>
          </w:rPr>
          <m:t>0.06 Sv</m:t>
        </m:r>
      </m:oMath>
      <w:r>
        <w:t xml:space="preserve"> </w:t>
      </w:r>
      <w:r w:rsidRPr="00FD4516">
        <w:t>is applied in the same region as in previous cGENIE experiments. The resulting temperature anomalies in cGENIE are presented in Supplementary</w:t>
      </w:r>
      <w:r w:rsidR="00BD6876" w:rsidRPr="00BD6876">
        <w:t xml:space="preserve"> </w:t>
      </w:r>
      <w:r w:rsidR="00BD6876" w:rsidRPr="00FD4516">
        <w:t>Figure S</w:t>
      </w:r>
      <w:r w:rsidR="00BD6876">
        <w:t>8</w:t>
      </w:r>
      <w:r w:rsidRPr="00FD4516">
        <w:t>. The four normalized AMOC trajectories from these validation experiments are shown in Figure 4 as solid lines. In cGENIE, the AMOC does not collapse under SSP2-4.5 without hosing, but does collapse under SSP5-8.5 without hosing. The most striking result is that the AMOC does collapse under SSP2-4.5 when freshwater forcing is applied. Under SSP5-8.5, the collapse is naturally faster when hosing is included than when it is not.</w:t>
      </w:r>
    </w:p>
    <w:p w14:paraId="11CAF9AA" w14:textId="77777777" w:rsidR="005C4BC7" w:rsidRDefault="005C4BC7"/>
    <w:p w14:paraId="69114211" w14:textId="2770470C" w:rsidR="00DD76F2" w:rsidRPr="009C1552" w:rsidRDefault="00FE42CC" w:rsidP="00DD76F2">
      <w:r w:rsidRPr="003B41FD">
        <w:t xml:space="preserve">We now examine the trajectories produced by the ATCM, shown in Figure 4 as solid lines. First, we note that whenever the AMOC collapses in cGENIE, it also collapses in the emulator, and similarly, when the AMOC remains </w:t>
      </w:r>
      <w:r>
        <w:t>active</w:t>
      </w:r>
      <w:r w:rsidRPr="003B41FD">
        <w:t xml:space="preserve"> in the </w:t>
      </w:r>
      <w:r w:rsidR="00461F03">
        <w:t>simulator</w:t>
      </w:r>
      <w:r w:rsidRPr="003B41FD">
        <w:t xml:space="preserve">, it remains </w:t>
      </w:r>
      <w:r>
        <w:t>active</w:t>
      </w:r>
      <w:r w:rsidRPr="003B41FD">
        <w:t xml:space="preserve"> in the emulator. </w:t>
      </w:r>
      <w:r w:rsidR="00DD76F2" w:rsidRPr="003B41FD">
        <w:t xml:space="preserve">This constitutes the minimal criterion for the emulator’s skill—namely, the ability to correctly predict whether a collapse occurs in the </w:t>
      </w:r>
      <w:r w:rsidR="00461F03">
        <w:t>simulator</w:t>
      </w:r>
      <w:r w:rsidR="00DD76F2" w:rsidRPr="003B41FD">
        <w:t>.</w:t>
      </w:r>
      <w:r w:rsidR="00DD76F2">
        <w:t xml:space="preserve"> </w:t>
      </w:r>
      <w:r w:rsidR="00DD76F2" w:rsidRPr="003B41FD">
        <w:t xml:space="preserve">Second, regarding the timing of the collapse, the emulator consistently predicts it to occur earlier than in cGENIE. This discrepancy is most pronounced for the SSP2-4.5 scenario with hosing, which represents the lowest forcing rate among the validation experiments. </w:t>
      </w:r>
      <w:r w:rsidR="00236069">
        <w:t xml:space="preserve">We recall </w:t>
      </w:r>
      <w:r w:rsidR="00DD76F2" w:rsidRPr="003B41FD">
        <w:t xml:space="preserve">that the parameter </w:t>
      </w:r>
      <m:oMath>
        <m:r>
          <w:rPr>
            <w:rFonts w:ascii="Cambria Math" w:hAnsi="Cambria Math"/>
            <w:lang w:val="fr-BE"/>
          </w:rPr>
          <m:t>τ</m:t>
        </m:r>
      </m:oMath>
      <w:r w:rsidR="00DD76F2">
        <w:t xml:space="preserve"> </w:t>
      </w:r>
      <w:r w:rsidR="00DD76F2" w:rsidRPr="003B41FD">
        <w:t>was calibrated using the</w:t>
      </w:r>
      <w:r w:rsidR="00DD76F2">
        <w:t xml:space="preserve"> </w:t>
      </w:r>
      <m:oMath>
        <m:r>
          <w:rPr>
            <w:rFonts w:ascii="Cambria Math" w:hAnsi="Cambria Math"/>
          </w:rPr>
          <m:t>EXPC</m:t>
        </m:r>
      </m:oMath>
      <w:r w:rsidR="00DD76F2" w:rsidRPr="003B41FD">
        <w:t xml:space="preserve">, based on a transient </w:t>
      </w:r>
      <w:r w:rsidR="00831B6E" w:rsidRPr="003B41FD">
        <w:t xml:space="preserve">experiment with a </w:t>
      </w:r>
      <m:oMath>
        <m:r>
          <w:rPr>
            <w:rFonts w:ascii="Cambria Math" w:hAnsi="Cambria Math"/>
          </w:rPr>
          <m:t>1%</m:t>
        </m:r>
      </m:oMath>
      <w:r w:rsidR="00831B6E">
        <w:t xml:space="preserve"> </w:t>
      </w:r>
      <w:r w:rsidR="00831B6E" w:rsidRPr="003B41FD">
        <w:t xml:space="preserve">increase in atmospheric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31B6E" w:rsidRPr="003B41FD">
        <w:t xml:space="preserve"> concentration</w:t>
      </w:r>
      <w:r w:rsidR="00831B6E">
        <w:t xml:space="preserve"> per year</w:t>
      </w:r>
      <w:r w:rsidR="00831B6E" w:rsidRPr="003B41FD">
        <w:t xml:space="preserve">. This forcing pathway has a rate </w:t>
      </w:r>
      <w:r w:rsidR="00831B6E">
        <w:t xml:space="preserve">of forcing </w:t>
      </w:r>
      <w:r w:rsidR="00831B6E" w:rsidRPr="003B41FD">
        <w:t>closer to that of SSP5-8.5</w:t>
      </w:r>
      <w:r w:rsidR="00831B6E">
        <w:t>. This explains w</w:t>
      </w:r>
      <w:r w:rsidR="00831B6E" w:rsidRPr="003B41FD">
        <w:t xml:space="preserve">hy the emulator performs particularly well for the SSP5-8.5 scenario without hosing, reproducing the timing of the complete collapse within only six years of cGENIE (2350 </w:t>
      </w:r>
      <w:r w:rsidR="00A80FE4">
        <w:t>CE</w:t>
      </w:r>
      <w:r w:rsidR="00831B6E" w:rsidRPr="003B41FD">
        <w:t xml:space="preserve"> in cGENIE versus 2356 </w:t>
      </w:r>
      <w:r w:rsidR="00A80FE4">
        <w:t>CE</w:t>
      </w:r>
      <w:r w:rsidR="00831B6E" w:rsidRPr="003B41FD">
        <w:t xml:space="preserve"> in the ATCM).</w:t>
      </w:r>
    </w:p>
    <w:p w14:paraId="1412CB63" w14:textId="6546F869" w:rsidR="00DD76F2" w:rsidRDefault="003B7F66" w:rsidP="00DD76F2">
      <w:pPr>
        <w:pStyle w:val="Heading1"/>
        <w:jc w:val="center"/>
      </w:pPr>
      <w:r>
        <w:rPr>
          <w:noProof/>
        </w:rPr>
        <w:lastRenderedPageBreak/>
        <w:drawing>
          <wp:inline distT="0" distB="0" distL="0" distR="0" wp14:anchorId="6EB4C043" wp14:editId="1BFED61B">
            <wp:extent cx="6391910" cy="1917700"/>
            <wp:effectExtent l="0" t="0" r="8890" b="6350"/>
            <wp:docPr id="991242947" name="Picture 2"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42947" name="Picture 2" descr="A graph of a func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1910" cy="1917700"/>
                    </a:xfrm>
                    <a:prstGeom prst="rect">
                      <a:avLst/>
                    </a:prstGeom>
                  </pic:spPr>
                </pic:pic>
              </a:graphicData>
            </a:graphic>
          </wp:inline>
        </w:drawing>
      </w:r>
    </w:p>
    <w:p w14:paraId="3011503C" w14:textId="40BE8F39" w:rsidR="00DD76F2" w:rsidRPr="003516DA" w:rsidRDefault="00DD76F2" w:rsidP="00DD76F2">
      <w:pPr>
        <w:rPr>
          <w:sz w:val="19"/>
          <w:szCs w:val="19"/>
        </w:rPr>
      </w:pPr>
      <w:r w:rsidRPr="003516DA">
        <w:rPr>
          <w:b/>
          <w:bCs/>
          <w:sz w:val="19"/>
          <w:szCs w:val="19"/>
        </w:rPr>
        <w:t xml:space="preserve">Figure 4. Trajectories of the AMOC in the validation experiments with the emulator and the </w:t>
      </w:r>
      <w:r w:rsidR="00461F03">
        <w:rPr>
          <w:b/>
          <w:bCs/>
          <w:sz w:val="19"/>
          <w:szCs w:val="19"/>
        </w:rPr>
        <w:t>simulator</w:t>
      </w:r>
      <w:r w:rsidRPr="003516DA">
        <w:rPr>
          <w:b/>
          <w:bCs/>
          <w:sz w:val="19"/>
          <w:szCs w:val="19"/>
        </w:rPr>
        <w:t xml:space="preserve"> under SSP scenarios without additional hosing (left) and with additional hosing (right).</w:t>
      </w:r>
      <w:r w:rsidRPr="003516DA">
        <w:rPr>
          <w:sz w:val="19"/>
          <w:szCs w:val="19"/>
        </w:rPr>
        <w:t xml:space="preserve"> Solid lines correspond to the ATCM, while dashed lines correspond to the </w:t>
      </w:r>
      <w:r w:rsidR="008C4453">
        <w:rPr>
          <w:sz w:val="19"/>
          <w:szCs w:val="19"/>
        </w:rPr>
        <w:t>simulator</w:t>
      </w:r>
      <w:r w:rsidRPr="003516DA">
        <w:rPr>
          <w:sz w:val="19"/>
          <w:szCs w:val="19"/>
        </w:rPr>
        <w:t>.</w:t>
      </w:r>
    </w:p>
    <w:p w14:paraId="0C96A7ED" w14:textId="77777777" w:rsidR="00DD76F2" w:rsidRDefault="00DD76F2" w:rsidP="00DD76F2"/>
    <w:p w14:paraId="3B1EF16C" w14:textId="0A428A5E" w:rsidR="00DD76F2" w:rsidRPr="000D72C3" w:rsidRDefault="007F0CDE" w:rsidP="00DD76F2">
      <w:r>
        <w:t>This said, even</w:t>
      </w:r>
      <w:r w:rsidR="00DD76F2" w:rsidRPr="003B41FD">
        <w:t xml:space="preserve"> under SSP2-4.5, the ~350-year</w:t>
      </w:r>
      <w:r w:rsidR="00DD76F2">
        <w:t>s</w:t>
      </w:r>
      <w:r w:rsidR="00DD76F2" w:rsidRPr="003B41FD">
        <w:t xml:space="preserve"> difference in the timing of total collapse between the two models </w:t>
      </w:r>
      <w:r>
        <w:t>is</w:t>
      </w:r>
      <w:r w:rsidR="00DD76F2" w:rsidRPr="003B41FD">
        <w:t xml:space="preserve"> acceptable, especially considering that by 2240 </w:t>
      </w:r>
      <w:r w:rsidR="00A80FE4">
        <w:t>CE</w:t>
      </w:r>
      <w:r w:rsidR="00DD76F2" w:rsidRPr="003B41FD">
        <w:t xml:space="preserve"> both models predict an AMOC intensity below 15%, which already indicates an abrupt and nearly complete collapse.</w:t>
      </w:r>
      <w:r w:rsidR="00DD76F2">
        <w:t xml:space="preserve"> </w:t>
      </w:r>
      <w:r w:rsidR="00155E31" w:rsidRPr="00155E31">
        <w:t xml:space="preserve">Third, the emulator successfully reproduces the AMOC collapse under SSP2-4.5 when hosing is applied. This achievement results from the novel representation of the AMOC in the ATCM, which incorporates an additional freshwater flux forcing variable calibrated against the target </w:t>
      </w:r>
      <w:r w:rsidR="008C4453">
        <w:t>simulator</w:t>
      </w:r>
      <w:r w:rsidR="00155E31" w:rsidRPr="00155E31">
        <w:t>.</w:t>
      </w:r>
      <w:r w:rsidR="00155E31">
        <w:t xml:space="preserve"> </w:t>
      </w:r>
      <w:r w:rsidR="00145E84">
        <w:t xml:space="preserve">We see this as a significant result. </w:t>
      </w:r>
      <w:r w:rsidR="00DD76F2" w:rsidRPr="003B41FD">
        <w:t xml:space="preserve">Finally, the differences between the emulator and cGENIE trajectories arise from the spatial and physical dynamics represented in cGENIE but absent from the emulator. In particular, cGENIE captures the fact that the </w:t>
      </w:r>
      <w:r w:rsidR="00755A79">
        <w:t>changes in AMOC intensity</w:t>
      </w:r>
      <w:r w:rsidR="00DD76F2" w:rsidRPr="003B41FD">
        <w:t xml:space="preserve"> not only </w:t>
      </w:r>
      <w:r w:rsidR="001530A4">
        <w:t xml:space="preserve">depends </w:t>
      </w:r>
      <w:r w:rsidR="00DD76F2" w:rsidRPr="003B41FD">
        <w:t xml:space="preserve">on the absolute magnitude of the forcings but also on their rate of change over time. </w:t>
      </w:r>
      <w:r w:rsidR="000842D4" w:rsidRPr="000842D4">
        <w:t>For instance, under the SSP2-4.5 scenario without hosing, between 2000</w:t>
      </w:r>
      <w:r w:rsidR="000842D4">
        <w:t xml:space="preserve"> CE</w:t>
      </w:r>
      <w:r w:rsidR="000842D4" w:rsidRPr="000842D4">
        <w:t xml:space="preserve"> and 2400</w:t>
      </w:r>
      <w:r w:rsidR="000842D4">
        <w:t xml:space="preserve"> CE</w:t>
      </w:r>
      <w:r w:rsidR="000842D4" w:rsidRPr="000842D4">
        <w:t xml:space="preserve"> when the rate of warming is the highest, the emulator projects an AMOC strength nearly 30% higher than in cGENIE</w:t>
      </w:r>
      <w:r w:rsidR="00DD76F2" w:rsidRPr="003B41FD">
        <w:t>.</w:t>
      </w:r>
      <w:r w:rsidR="000F3514">
        <w:t xml:space="preserve"> </w:t>
      </w:r>
      <w:r w:rsidR="005A62B4" w:rsidRPr="005A62B4">
        <w:t>Similarly, in the other simulations, the emulator systematically overestimates the AMOC strength during the collapse</w:t>
      </w:r>
      <w:r w:rsidR="004B4DBD">
        <w:t>.</w:t>
      </w:r>
      <w:r w:rsidR="00E20447">
        <w:t xml:space="preserve"> </w:t>
      </w:r>
      <w:r w:rsidR="00DD76F2" w:rsidRPr="003B41FD">
        <w:t xml:space="preserve">In practice, calibrating </w:t>
      </w:r>
      <m:oMath>
        <m:r>
          <w:rPr>
            <w:rFonts w:ascii="Cambria Math" w:hAnsi="Cambria Math"/>
            <w:lang w:val="fr-BE"/>
          </w:rPr>
          <m:t>τ</m:t>
        </m:r>
      </m:oMath>
      <w:r w:rsidR="00DD76F2" w:rsidRPr="003B41FD">
        <w:t xml:space="preserve"> using the </w:t>
      </w:r>
      <m:oMath>
        <m:r>
          <w:rPr>
            <w:rFonts w:ascii="Cambria Math" w:hAnsi="Cambria Math"/>
          </w:rPr>
          <m:t>EXPC</m:t>
        </m:r>
      </m:oMath>
      <w:r w:rsidR="00DD76F2" w:rsidRPr="003B41FD">
        <w:t xml:space="preserve"> —which involves a relatively high forcing rate compared to the validation experiments—partly compensates for this limitation.</w:t>
      </w:r>
    </w:p>
    <w:p w14:paraId="3DED294D" w14:textId="77777777" w:rsidR="002F4D32" w:rsidRDefault="002F4D32"/>
    <w:p w14:paraId="7DE6BA7B" w14:textId="77777777" w:rsidR="004B201E" w:rsidRDefault="00B84193">
      <w:pPr>
        <w:pStyle w:val="BodyText"/>
        <w:rPr>
          <w:rFonts w:ascii="Arial" w:eastAsia="Arial" w:hAnsi="Arial" w:cs="Arial"/>
          <w:b/>
          <w:sz w:val="24"/>
          <w:szCs w:val="28"/>
        </w:rPr>
      </w:pPr>
      <w:r>
        <w:rPr>
          <w:rFonts w:ascii="Arial" w:eastAsia="Arial" w:hAnsi="Arial" w:cs="Arial"/>
          <w:b/>
          <w:sz w:val="24"/>
          <w:szCs w:val="28"/>
        </w:rPr>
        <w:t>3.3 ATCM Integration within the SURFER Climate Model</w:t>
      </w:r>
    </w:p>
    <w:p w14:paraId="178D0768" w14:textId="77777777" w:rsidR="004B201E" w:rsidRDefault="004B201E" w:rsidP="009C1A62"/>
    <w:p w14:paraId="15535D44" w14:textId="72A7F91F" w:rsidR="004C2138" w:rsidRPr="007D0E43" w:rsidRDefault="002F4E51" w:rsidP="004C2138">
      <w:r w:rsidRPr="002F4E51">
        <w:t>We now incorporate the ATCM emulator into the reduced-complexity climate model SURFER to explore</w:t>
      </w:r>
      <w:r w:rsidR="005B60A7">
        <w:t xml:space="preserve"> AMOC’s </w:t>
      </w:r>
      <w:r w:rsidR="00DA043C">
        <w:t xml:space="preserve">response under a range of </w:t>
      </w:r>
      <w:r w:rsidRPr="002F4E51">
        <w:t xml:space="preserve">realistic future </w:t>
      </w:r>
      <w:r w:rsidR="00DA043C">
        <w:t xml:space="preserve">emission </w:t>
      </w:r>
      <w:r w:rsidRPr="002F4E51">
        <w:t>scenarios</w:t>
      </w:r>
      <w:r w:rsidR="00DA043C">
        <w:t xml:space="preserve"> </w:t>
      </w:r>
      <w:r w:rsidR="00DA043C" w:rsidRPr="002F4E51">
        <w:t>(see Figure 5)</w:t>
      </w:r>
      <w:r w:rsidRPr="002F4E51">
        <w:t>.</w:t>
      </w:r>
      <w:r>
        <w:t xml:space="preserve"> </w:t>
      </w:r>
      <w:r w:rsidR="002A762E" w:rsidRPr="00DF0CC4">
        <w:t>SURFER features a process-based carbon cycle capable of reliably simulating atmospheric CO₂ concentrations and global mean temperature changes. This reduced-complexity model also simulates sea-level rise and various ocean acidification metrics in response to anthropogenic greenhouse gas emissions, while enabling simulations over timescales ranging from decades to millions of years</w:t>
      </w:r>
      <w:r w:rsidR="002A762E">
        <w:t xml:space="preserve"> </w:t>
      </w:r>
      <w:r w:rsidR="002A762E">
        <w:fldChar w:fldCharType="begin"/>
      </w:r>
      <w:r w:rsidR="008C6149">
        <w:instrText xml:space="preserve"> ADDIN ZOTERO_ITEM CSL_CITATION {"citationID":"FVV2SKcR","properties":{"formattedCitation":"(48,49)","plainCitation":"(48,49)","noteIndex":0},"citationItems":[{"id":444,"uris":["http://zotero.org/users/7129331/items/NUYTQ2VV"],"itemData":{"id":444,"type":"article-journal","abstract":"We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id":6376,"uris":["http://zotero.org/users/7129331/items/I2NQ8QFR"],"itemData":{"id":6376,"type":"article-journal","abstract":"&lt;p&gt;&lt;strong class=\"journal-contentHeaderColor\"&gt;Abstract.&lt;/strong&gt; Simple climate models that are computationally inexpensive, transparent, and easy to modify are useful for assessing climate policies in the presence of uncertainties. This motivated the creation of SURFER v2.0, a model designed to estimate the impact of CO&lt;sub&gt;2&lt;/sub&gt; emissions and solar radiation modification on global mean temperatures, sea-level rise, and ocean pH. However, SURFER v2.0 is unsuitable for simulations beyond a few thousand years because it lacks some carbon cycle processes. This is problematic for assessing the long-term evolution of ice sheets and the associated sea level rise. Here, we present SURFER v3.0, an extension to SURFER v2.0 that allows for accurate simulation of the climate, carbon cycle, and sea level rise on time scales ranging from decades to millions of years. We incorporated in the model a dynamic cycling of alkalinity in the ocean, a carbonate sediments reservoir, and weathering fluxes. With these additions, we show that SURFER v3.0 reproduces results from a large class of models, ranging from centennial CMIP6 projections to 1 Myr runs performed with the cGENIE model of intermediate complexity. We show that compared to SURFER v2.0, including long-term carbon-cycle processes in SURFER v3.0 leads to a stabilisation of the Greenland ice sheet for the middle of the road emission scenarios, and a significant reduction in sea level rise contribution from Antarctica for high emissions scenarios.&lt;/p&gt;","container-title":"EGUsphere","DOI":"10.5194/egusphere-2024-2279","language":"English","note":"publisher: Copernicus GmbH","page":"1-77","source":"egusphere.copernicus.org","title":"SURFER v3.0: a fast model with ice sheet tipping points and carbon cycle feedbacks for short and long-term climate scenarios","title-short":"SURFER v3.0","author":[{"family":"Couplet","given":"Victor"},{"family":"Martínez Montero","given":"Marina"},{"family":"Crucifix","given":"Michel"}],"issued":{"date-parts":[["2024",9,11]]}}}],"schema":"https://github.com/citation-style-language/schema/raw/master/csl-citation.json"} </w:instrText>
      </w:r>
      <w:r w:rsidR="002A762E">
        <w:fldChar w:fldCharType="separate"/>
      </w:r>
      <w:r w:rsidR="008C6149" w:rsidRPr="008C6149">
        <w:t>(48,49)</w:t>
      </w:r>
      <w:r w:rsidR="002A762E">
        <w:fldChar w:fldCharType="end"/>
      </w:r>
      <w:r w:rsidR="002A762E" w:rsidRPr="00DF0CC4">
        <w:t>.</w:t>
      </w:r>
      <w:r w:rsidR="002A762E">
        <w:t xml:space="preserve"> Version 3.0 of SURFER comprises 17 differential equations that describe carbon exchanges among six reservoirs: the atmosphere, terrestrial systems, upper, intermediate, and deep ocean layers,</w:t>
      </w:r>
      <w:r w:rsidR="009D0737">
        <w:t xml:space="preserve"> </w:t>
      </w:r>
      <w:r w:rsidR="007C368C">
        <w:t xml:space="preserve">and deep-sea sediments </w:t>
      </w:r>
      <w:r w:rsidR="007C368C">
        <w:fldChar w:fldCharType="begin"/>
      </w:r>
      <w:r w:rsidR="008C6149">
        <w:instrText xml:space="preserve"> ADDIN ZOTERO_ITEM CSL_CITATION {"citationID":"jHK7c5NI","properties":{"formattedCitation":"(49)","plainCitation":"(49)","noteIndex":0},"citationItems":[{"id":6376,"uris":["http://zotero.org/users/7129331/items/I2NQ8QFR"],"itemData":{"id":6376,"type":"article-journal","abstract":"&lt;p&gt;&lt;strong class=\"journal-contentHeaderColor\"&gt;Abstract.&lt;/strong&gt; Simple climate models that are computationally inexpensive, transparent, and easy to modify are useful for assessing climate policies in the presence of uncertainties. This motivated the creation of SURFER v2.0, a model designed to estimate the impact of CO&lt;sub&gt;2&lt;/sub&gt; emissions and solar radiation modification on global mean temperatures, sea-level rise, and ocean pH. However, SURFER v2.0 is unsuitable for simulations beyond a few thousand years because it lacks some carbon cycle processes. This is problematic for assessing the long-term evolution of ice sheets and the associated sea level rise. Here, we present SURFER v3.0, an extension to SURFER v2.0 that allows for accurate simulation of the climate, carbon cycle, and sea level rise on time scales ranging from decades to millions of years. We incorporated in the model a dynamic cycling of alkalinity in the ocean, a carbonate sediments reservoir, and weathering fluxes. With these additions, we show that SURFER v3.0 reproduces results from a large class of models, ranging from centennial CMIP6 projections to 1 Myr runs performed with the cGENIE model of intermediate complexity. We show that compared to SURFER v2.0, including long-term carbon-cycle processes in SURFER v3.0 leads to a stabilisation of the Greenland ice sheet for the middle of the road emission scenarios, and a significant reduction in sea level rise contribution from Antarctica for high emissions scenarios.&lt;/p&gt;","container-title":"EGUsphere","DOI":"10.5194/egusphere-2024-2279","language":"English","note":"publisher: Copernicus GmbH","page":"1-77","source":"egusphere.copernicus.org","title":"SURFER v3.0: a fast model with ice sheet tipping points and carbon cycle feedbacks for short and long-term climate scenarios","title-short":"SURFER v3.0","author":[{"family":"Couplet","given":"Victor"},{"family":"Martínez Montero","given":"Marina"},{"family":"Crucifix","given":"Michel"}],"issued":{"date-parts":[["2024",9,11]]}}}],"schema":"https://github.com/citation-style-language/schema/raw/master/csl-citation.json"} </w:instrText>
      </w:r>
      <w:r w:rsidR="007C368C">
        <w:fldChar w:fldCharType="separate"/>
      </w:r>
      <w:r w:rsidR="008C6149" w:rsidRPr="008C6149">
        <w:t>(49)</w:t>
      </w:r>
      <w:r w:rsidR="007C368C">
        <w:fldChar w:fldCharType="end"/>
      </w:r>
      <w:r w:rsidR="007C368C">
        <w:t>. Additionally, it models temperature anomalies across ocean layers, ice</w:t>
      </w:r>
      <w:r w:rsidR="0096555C">
        <w:t xml:space="preserve"> </w:t>
      </w:r>
      <w:r w:rsidR="007C368C">
        <w:t>sheet volumes for Greenland and Antarctica, and sea-level changes due to glacier dynamics.</w:t>
      </w:r>
      <w:r w:rsidR="0096555C">
        <w:t xml:space="preserve"> </w:t>
      </w:r>
      <w:r w:rsidR="00ED31FF">
        <w:t xml:space="preserve">SURFER has proven effective for integrating tipping element dynamics into climate simulations, as demonstrated by Couplet et al. </w:t>
      </w:r>
      <w:r w:rsidR="00ED31FF">
        <w:fldChar w:fldCharType="begin"/>
      </w:r>
      <w:r w:rsidR="007F2E43">
        <w:instrText xml:space="preserve"> ADDIN ZOTERO_ITEM CSL_CITATION {"citationID":"SrQpFqau","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rsidR="00ED31FF">
        <w:fldChar w:fldCharType="separate"/>
      </w:r>
      <w:r w:rsidR="007F2E43" w:rsidRPr="007F2E43">
        <w:t>(40)</w:t>
      </w:r>
      <w:r w:rsidR="00ED31FF">
        <w:fldChar w:fldCharType="end"/>
      </w:r>
      <w:r w:rsidR="00ED31FF">
        <w:t xml:space="preserve">. At the time of this project, version 3.0 of SURFER was not yet available. </w:t>
      </w:r>
      <w:r w:rsidR="00D50F7F" w:rsidRPr="00D50F7F">
        <w:t xml:space="preserve">Therefore, we chose to integrate the ATCM into a preliminary version of v3.0 (see Data Availability), which we refer to here as pre3.0. There are no major differences between pre3.0 and v3.0. Some changes in the parameterization of SURFER’s carbon cycle remain, but they are not central to the objectives of this study. </w:t>
      </w:r>
      <w:r w:rsidR="004C2138" w:rsidRPr="007D0E43">
        <w:t>To integrate the ATCM into SURFER pre3.0, we chose to deactivate all components associated with tipping elements other than the AMOC and GIS in order to specifically isolate the contributions of the new AMOC representation.</w:t>
      </w:r>
    </w:p>
    <w:p w14:paraId="467AA888" w14:textId="3A2DBD24" w:rsidR="0096555C" w:rsidRDefault="0096555C" w:rsidP="004C2138"/>
    <w:p w14:paraId="2082E219" w14:textId="77777777" w:rsidR="0096555C" w:rsidRDefault="0096555C" w:rsidP="009D0737"/>
    <w:p w14:paraId="3543EF21" w14:textId="41AE2083" w:rsidR="00DE0A8B" w:rsidRDefault="00DE0A8B" w:rsidP="0096555C">
      <w:pPr>
        <w:jc w:val="center"/>
        <w:rPr>
          <w:rFonts w:ascii="Arial" w:eastAsia="Arial" w:hAnsi="Arial" w:cs="Arial"/>
          <w:b/>
          <w:sz w:val="24"/>
          <w:szCs w:val="28"/>
        </w:rPr>
      </w:pPr>
      <w:r>
        <w:rPr>
          <w:rFonts w:ascii="Arial" w:eastAsia="Arial" w:hAnsi="Arial" w:cs="Arial"/>
          <w:b/>
          <w:noProof/>
          <w:sz w:val="24"/>
          <w:szCs w:val="28"/>
        </w:rPr>
        <w:lastRenderedPageBreak/>
        <w:drawing>
          <wp:inline distT="0" distB="0" distL="0" distR="0" wp14:anchorId="0F7F7ADF" wp14:editId="30FAB5A6">
            <wp:extent cx="4269850" cy="2328779"/>
            <wp:effectExtent l="0" t="0" r="0" b="0"/>
            <wp:docPr id="71426418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4189" name="Picture 3"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2478" cy="2368391"/>
                    </a:xfrm>
                    <a:prstGeom prst="rect">
                      <a:avLst/>
                    </a:prstGeom>
                  </pic:spPr>
                </pic:pic>
              </a:graphicData>
            </a:graphic>
          </wp:inline>
        </w:drawing>
      </w:r>
    </w:p>
    <w:p w14:paraId="7DE33368" w14:textId="77777777" w:rsidR="009D0737" w:rsidRDefault="009D0737">
      <w:pPr>
        <w:pStyle w:val="BodyText"/>
        <w:rPr>
          <w:b/>
          <w:bCs/>
        </w:rPr>
      </w:pPr>
    </w:p>
    <w:p w14:paraId="0DC40A4E" w14:textId="13549A51" w:rsidR="00DE0A8B" w:rsidRDefault="00DE0A8B">
      <w:pPr>
        <w:pStyle w:val="BodyText"/>
        <w:rPr>
          <w:b/>
          <w:bCs/>
        </w:rPr>
      </w:pPr>
      <w:r>
        <w:rPr>
          <w:b/>
          <w:bCs/>
        </w:rPr>
        <w:t xml:space="preserve">Figure 5 : </w:t>
      </w:r>
      <w:r w:rsidR="00524EE8" w:rsidRPr="00524EE8">
        <w:rPr>
          <w:b/>
          <w:bCs/>
        </w:rPr>
        <w:t>Conceptual diagram of SURFER, including interacting tipping elements and their feedback on climate.</w:t>
      </w:r>
      <w:r w:rsidR="00524EE8">
        <w:rPr>
          <w:b/>
          <w:bCs/>
        </w:rPr>
        <w:t xml:space="preserve"> </w:t>
      </w:r>
      <w:r w:rsidR="00464A93" w:rsidRPr="000753EC">
        <w:t xml:space="preserve">Figure reproduced with permission from Couplet et al. </w:t>
      </w:r>
      <w:r w:rsidR="00486A88" w:rsidRPr="000753EC">
        <w:fldChar w:fldCharType="begin"/>
      </w:r>
      <w:r w:rsidR="007F2E43">
        <w:instrText xml:space="preserve"> ADDIN ZOTERO_ITEM CSL_CITATION {"citationID":"3SDXZ9D0","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rsidR="00486A88" w:rsidRPr="000753EC">
        <w:fldChar w:fldCharType="separate"/>
      </w:r>
      <w:r w:rsidR="007F2E43" w:rsidRPr="007F2E43">
        <w:t>(40)</w:t>
      </w:r>
      <w:r w:rsidR="00486A88" w:rsidRPr="000753EC">
        <w:fldChar w:fldCharType="end"/>
      </w:r>
      <w:r w:rsidR="00F0287E">
        <w:rPr>
          <w:b/>
          <w:bCs/>
        </w:rPr>
        <w:t>.</w:t>
      </w:r>
      <w:r w:rsidR="001B49C8">
        <w:rPr>
          <w:b/>
          <w:bCs/>
        </w:rPr>
        <w:t xml:space="preserve"> </w:t>
      </w:r>
      <w:r w:rsidR="000753EC" w:rsidRPr="000753EC">
        <w:t>The ATCM is integrated into the 'Tipping Elements' box of SURFER.</w:t>
      </w:r>
    </w:p>
    <w:p w14:paraId="534E6B3B" w14:textId="77777777" w:rsidR="000753EC" w:rsidRDefault="000753EC" w:rsidP="007D0E43"/>
    <w:p w14:paraId="51B5055D" w14:textId="629D0A45" w:rsidR="00E55AAE" w:rsidRPr="002670ED" w:rsidRDefault="00BB12C8" w:rsidP="00E55AAE">
      <w:r>
        <w:t>Within SURFER we</w:t>
      </w:r>
      <w:r w:rsidR="004F2675">
        <w:t xml:space="preserve"> </w:t>
      </w:r>
      <w:r>
        <w:t xml:space="preserve">obtain dynamic projections of the mean atmospheric temperature anomaly </w:t>
      </w:r>
      <m:oMath>
        <m:r>
          <w:rPr>
            <w:rFonts w:ascii="Cambria Math" w:hAnsi="Cambria Math"/>
          </w:rPr>
          <m:t>T</m:t>
        </m:r>
      </m:oMath>
      <w:r>
        <w:t xml:space="preserve"> and the freshwater flux associated with GIS melting</w:t>
      </w:r>
      <w:r w:rsidR="00ED762E">
        <w:t>, all computed within a limited time</w:t>
      </w:r>
      <w:r w:rsidR="00223A88">
        <w:t xml:space="preserve">. Indeed, </w:t>
      </w:r>
      <w:r w:rsidR="00EE04DF">
        <w:t>t</w:t>
      </w:r>
      <w:r w:rsidR="00E55AAE">
        <w:t>he parameteri</w:t>
      </w:r>
      <w:r w:rsidR="008615B0">
        <w:t>s</w:t>
      </w:r>
      <w:r w:rsidR="00E55AAE">
        <w:t xml:space="preserve">ation of </w:t>
      </w:r>
      <m:oMath>
        <m:sSub>
          <m:sSubPr>
            <m:ctrlPr>
              <w:rPr>
                <w:rFonts w:ascii="Cambria Math" w:hAnsi="Cambria Math"/>
              </w:rPr>
            </m:ctrlPr>
          </m:sSubPr>
          <m:e>
            <m:r>
              <w:rPr>
                <w:rFonts w:ascii="Cambria Math" w:hAnsi="Cambria Math"/>
              </w:rPr>
              <m:t>F</m:t>
            </m:r>
          </m:e>
          <m:sub>
            <m:r>
              <w:rPr>
                <w:rFonts w:ascii="Cambria Math" w:hAnsi="Cambria Math"/>
              </w:rPr>
              <m:t>GIS</m:t>
            </m:r>
          </m:sub>
        </m:sSub>
      </m:oMath>
      <w:r w:rsidR="00E55AAE">
        <w:t xml:space="preserve"> </w:t>
      </w:r>
      <w:r w:rsidR="00BA283B">
        <w:t>follows</w:t>
      </w:r>
      <w:r w:rsidR="00E55AAE">
        <w:t xml:space="preserve"> that of Couplet et al. </w:t>
      </w:r>
      <w:r w:rsidR="00E55AAE">
        <w:fldChar w:fldCharType="begin"/>
      </w:r>
      <w:r w:rsidR="007F2E43">
        <w:instrText xml:space="preserve"> ADDIN ZOTERO_ITEM CSL_CITATION {"citationID":"u8NIFXTv","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rsidR="00E55AAE">
        <w:fldChar w:fldCharType="separate"/>
      </w:r>
      <w:r w:rsidR="007F2E43" w:rsidRPr="007F2E43">
        <w:t>(40)</w:t>
      </w:r>
      <w:r w:rsidR="00E55AAE">
        <w:fldChar w:fldCharType="end"/>
      </w:r>
      <w:r w:rsidR="00E55AAE" w:rsidRPr="00537EE4">
        <w:t xml:space="preserve"> and is defined as:</w:t>
      </w:r>
    </w:p>
    <w:p w14:paraId="289BA8CA" w14:textId="77777777" w:rsidR="00E55AAE" w:rsidRDefault="00E55AAE" w:rsidP="00E55AAE">
      <w:pPr>
        <w:pStyle w:val="FrameContents"/>
      </w:pPr>
    </w:p>
    <w:tbl>
      <w:tblPr>
        <w:tblStyle w:val="TableGrid"/>
        <w:tblW w:w="0" w:type="auto"/>
        <w:tblLook w:val="04A0" w:firstRow="1" w:lastRow="0" w:firstColumn="1" w:lastColumn="0" w:noHBand="0" w:noVBand="1"/>
      </w:tblPr>
      <w:tblGrid>
        <w:gridCol w:w="9417"/>
        <w:gridCol w:w="649"/>
      </w:tblGrid>
      <w:tr w:rsidR="00E55AAE" w14:paraId="133B7733" w14:textId="77777777" w:rsidTr="00F704F6">
        <w:tc>
          <w:tcPr>
            <w:tcW w:w="9776" w:type="dxa"/>
            <w:tcBorders>
              <w:top w:val="nil"/>
              <w:left w:val="nil"/>
              <w:bottom w:val="nil"/>
              <w:right w:val="nil"/>
            </w:tcBorders>
          </w:tcPr>
          <w:p w14:paraId="76A7055A" w14:textId="72E2E3C2" w:rsidR="00E55AAE" w:rsidRDefault="00000000" w:rsidP="00F704F6">
            <m:oMathPara>
              <m:oMath>
                <m:sSub>
                  <m:sSubPr>
                    <m:ctrlPr>
                      <w:rPr>
                        <w:rFonts w:ascii="Cambria Math" w:hAnsi="Cambria Math"/>
                        <w:i/>
                      </w:rPr>
                    </m:ctrlPr>
                  </m:sSubPr>
                  <m:e>
                    <m:r>
                      <w:rPr>
                        <w:rFonts w:ascii="Cambria Math" w:hAnsi="Cambria Math"/>
                      </w:rPr>
                      <m:t>F</m:t>
                    </m:r>
                  </m:e>
                  <m:sub>
                    <m:r>
                      <w:rPr>
                        <w:rFonts w:ascii="Cambria Math" w:hAnsi="Cambria Math"/>
                      </w:rPr>
                      <m:t>GIS</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GIS</m:t>
                    </m:r>
                  </m:sub>
                </m:sSub>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 xml:space="preserve">. </m:t>
                </m:r>
              </m:oMath>
            </m:oMathPara>
          </w:p>
        </w:tc>
        <w:tc>
          <w:tcPr>
            <w:tcW w:w="284" w:type="dxa"/>
            <w:tcBorders>
              <w:top w:val="nil"/>
              <w:left w:val="nil"/>
              <w:bottom w:val="nil"/>
              <w:right w:val="nil"/>
            </w:tcBorders>
            <w:vAlign w:val="center"/>
          </w:tcPr>
          <w:p w14:paraId="008541D7" w14:textId="055A43C6" w:rsidR="00E55AAE" w:rsidRDefault="00E55AAE" w:rsidP="00F704F6">
            <w:r>
              <w:t>(</w:t>
            </w:r>
            <w:r w:rsidR="00903045">
              <w:t>12</w:t>
            </w:r>
            <w:r>
              <w:t>)</w:t>
            </w:r>
          </w:p>
        </w:tc>
      </w:tr>
    </w:tbl>
    <w:p w14:paraId="6B58ABCE" w14:textId="77777777" w:rsidR="00E55AAE" w:rsidRDefault="00E55AAE" w:rsidP="00E55AAE"/>
    <w:p w14:paraId="5E27464B" w14:textId="287002E0" w:rsidR="00F3540C" w:rsidRDefault="00F3540C" w:rsidP="00F3540C">
      <w:r w:rsidRPr="00C2244C">
        <w:t xml:space="preserve">The freshwater contribution of the GIS is proportional to the temporal variation of its </w:t>
      </w:r>
      <w:r>
        <w:t xml:space="preserve">dimensionless </w:t>
      </w:r>
      <w:r w:rsidRPr="00C2244C">
        <w:t>volume</w:t>
      </w:r>
      <w:r>
        <w:t xml:space="preserve"> </w:t>
      </w:r>
      <m:oMath>
        <m:r>
          <w:rPr>
            <w:rFonts w:ascii="Cambria Math" w:hAnsi="Cambria Math"/>
          </w:rPr>
          <m:t>V</m:t>
        </m:r>
      </m:oMath>
      <w:r>
        <w:t xml:space="preserve">. </w:t>
      </w:r>
      <w:r w:rsidRPr="00537EE4">
        <w:t xml:space="preserve">As with </w:t>
      </w:r>
      <w:r>
        <w:t xml:space="preserve">the normalization of </w:t>
      </w:r>
      <w:r w:rsidRPr="003D6F40">
        <w:rPr>
          <w:lang w:val="fr-BE"/>
        </w:rPr>
        <w:t>Ψ</w:t>
      </w:r>
      <w:r w:rsidRPr="00537EE4">
        <w:t xml:space="preserve">, the value of </w:t>
      </w:r>
      <m:oMath>
        <m:r>
          <w:rPr>
            <w:rFonts w:ascii="Cambria Math" w:hAnsi="Cambria Math"/>
          </w:rPr>
          <m:t>V</m:t>
        </m:r>
      </m:oMath>
      <w:r w:rsidRPr="00537EE4">
        <w:t>is normalized by the volume of the G</w:t>
      </w:r>
      <w:r>
        <w:t>IS</w:t>
      </w:r>
      <w:r w:rsidRPr="00537EE4">
        <w:t xml:space="preserve"> during the pre-industrial period.</w:t>
      </w:r>
      <w:r>
        <w:t xml:space="preserve"> </w:t>
      </w:r>
      <w:r w:rsidRPr="00E415FF">
        <w:t xml:space="preserve">The parameter </w:t>
      </w:r>
      <m:oMath>
        <m:sSub>
          <m:sSubPr>
            <m:ctrlPr>
              <w:rPr>
                <w:rFonts w:ascii="Cambria Math" w:hAnsi="Cambria Math"/>
              </w:rPr>
            </m:ctrlPr>
          </m:sSubPr>
          <m:e>
            <m:r>
              <w:rPr>
                <w:rFonts w:ascii="Cambria Math" w:hAnsi="Cambria Math"/>
              </w:rPr>
              <m:t>α</m:t>
            </m:r>
          </m:e>
          <m:sub>
            <m:r>
              <w:rPr>
                <w:rFonts w:ascii="Cambria Math" w:hAnsi="Cambria Math"/>
              </w:rPr>
              <m:t>GIS</m:t>
            </m:r>
          </m:sub>
        </m:sSub>
      </m:oMath>
      <w:r w:rsidRPr="00E415FF">
        <w:t xml:space="preserve"> relates the temporal variation of the dimensionless fraction of the GIS to a freshwater flux. </w:t>
      </w:r>
      <w:r w:rsidRPr="00176740">
        <w:t xml:space="preserve">The details of its computation and value are provided in Couplet et al. </w:t>
      </w:r>
      <w:r>
        <w:fldChar w:fldCharType="begin"/>
      </w:r>
      <w:r w:rsidR="007F2E43">
        <w:instrText xml:space="preserve"> ADDIN ZOTERO_ITEM CSL_CITATION {"citationID":"Q1zvBben","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fldChar w:fldCharType="separate"/>
      </w:r>
      <w:r w:rsidR="007F2E43" w:rsidRPr="007F2E43">
        <w:t>(40)</w:t>
      </w:r>
      <w:r>
        <w:fldChar w:fldCharType="end"/>
      </w:r>
      <w:r>
        <w:t>.</w:t>
      </w:r>
      <w:r w:rsidRPr="00212088">
        <w:t xml:space="preserve"> </w:t>
      </w:r>
      <w:r w:rsidRPr="00176740">
        <w:t xml:space="preserve">In this pre-3.0 version of SURFER, we also </w:t>
      </w:r>
      <w:r>
        <w:t>use</w:t>
      </w:r>
      <w:r w:rsidRPr="00176740">
        <w:t xml:space="preserve"> the same equation </w:t>
      </w:r>
      <w:r>
        <w:t xml:space="preserve">and calibration coefficients </w:t>
      </w:r>
      <w:r w:rsidRPr="00176740">
        <w:t xml:space="preserve">as in </w:t>
      </w:r>
      <w:r>
        <w:t xml:space="preserve">SURFER v2.0 </w:t>
      </w:r>
      <w:r>
        <w:fldChar w:fldCharType="begin"/>
      </w:r>
      <w:r w:rsidR="008C6149">
        <w:instrText xml:space="preserve"> ADDIN ZOTERO_ITEM CSL_CITATION {"citationID":"83OVJoQI","properties":{"formattedCitation":"(48)","plainCitation":"(48)","noteIndex":0},"citationItems":[{"id":444,"uris":["http://zotero.org/users/7129331/items/NUYTQ2VV"],"itemData":{"id":444,"type":"article-journal","abstract":"We present SURFER, a novel reduced model for estimating the impact of CO2 emissions and solar radiation modification options on sea level rise and ocean acidification over timescales of several thousands of years. SURFER has been designed for the analysis of CO2 emission and solar radiation modification policies, for supporting the computation of optimal (CO2 emission and solar radiation modification) policies and for the study of commitment and responsibility under uncertainty. The model is based on a combination of conservation laws for the masses of atmospheric and oceanic carbon and for the oceanic temperature anomalies, and of ad-hoc parameterisations for the different sea level rise contributors: ice sheets, glaciers and ocean thermal expansion. It consists of 9 loosely coupled ordinary differential equations, is understandable, fast and easy to modify and calibrate. It reproduces the results of more sophisticated, high-dimensional earth system models on timescales up to millennia.","container-title":"Geoscientific Model Development","DOI":"10.5194/gmd-15-8059-2022","ISSN":"1991-959X","issue":"21","language":"English","note":"publisher: Copernicus GmbH","page":"8059-8084","source":"Copernicus Online Journals","title":"SURFER v2.0: a flexible and simple model linking anthropogenic CO&lt;sub&gt;2&lt;/sub&gt; emissions and solar radiation modification to ocean acidification and sea level rise","title-short":"SURFER v2.0","volume":"15","author":[{"family":"Martínez Montero","given":"Marina"},{"family":"Crucifix","given":"Michel"},{"family":"Couplet","given":"Victor"},{"family":"Brede","given":"Nuria"},{"family":"Botta","given":"Nicola"}],"issued":{"date-parts":[["2022",11,9]]}}}],"schema":"https://github.com/citation-style-language/schema/raw/master/csl-citation.json"} </w:instrText>
      </w:r>
      <w:r>
        <w:fldChar w:fldCharType="separate"/>
      </w:r>
      <w:r w:rsidR="008C6149" w:rsidRPr="008C6149">
        <w:t>(48)</w:t>
      </w:r>
      <w:r>
        <w:fldChar w:fldCharType="end"/>
      </w:r>
      <w:r>
        <w:t xml:space="preserve"> </w:t>
      </w:r>
      <w:r w:rsidRPr="00176740">
        <w:t>to describe the temporal evolution of the GIS volume</w:t>
      </w:r>
      <w:r>
        <w:t>,</w:t>
      </w:r>
    </w:p>
    <w:p w14:paraId="3A3D01C4" w14:textId="77777777" w:rsidR="00023982" w:rsidRDefault="00023982" w:rsidP="00E55AA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7"/>
        <w:gridCol w:w="649"/>
      </w:tblGrid>
      <w:tr w:rsidR="00865CAC" w14:paraId="34109FBB" w14:textId="77777777" w:rsidTr="005C7E7A">
        <w:trPr>
          <w:trHeight w:val="329"/>
        </w:trPr>
        <w:tc>
          <w:tcPr>
            <w:tcW w:w="9498" w:type="dxa"/>
          </w:tcPr>
          <w:p w14:paraId="32A0D28F" w14:textId="79BF656C" w:rsidR="00865CAC" w:rsidRDefault="00000000" w:rsidP="00E55AAE">
            <m:oMathPara>
              <m:oMath>
                <m:f>
                  <m:fPr>
                    <m:ctrlPr>
                      <w:rPr>
                        <w:rFonts w:ascii="Cambria Math" w:hAnsi="Cambria Math"/>
                      </w:rPr>
                    </m:ctrlPr>
                  </m:fPr>
                  <m:num>
                    <m:r>
                      <w:rPr>
                        <w:rFonts w:ascii="Cambria Math" w:hAnsi="Cambria Math"/>
                      </w:rPr>
                      <m:t>dV</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rPr>
                    </m:ctrlPr>
                  </m:dPr>
                  <m:e>
                    <m:limUpp>
                      <m:limUppPr>
                        <m:ctrlPr>
                          <w:rPr>
                            <w:rFonts w:ascii="Cambria Math" w:hAnsi="Cambria Math"/>
                            <w:i/>
                          </w:rPr>
                        </m:ctrlPr>
                      </m:limUppPr>
                      <m:e>
                        <m:groupChr>
                          <m:groupChrPr>
                            <m:chr m:val="⏞"/>
                            <m:pos m:val="top"/>
                            <m:vertJc m:val="bot"/>
                            <m:ctrlPr>
                              <w:rPr>
                                <w:rFonts w:ascii="Cambria Math" w:hAnsi="Cambria Math"/>
                              </w:rPr>
                            </m:ctrlPr>
                          </m:groupChrPr>
                          <m:e>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2</m:t>
                                </m:r>
                              </m:sub>
                            </m:sSub>
                          </m:e>
                        </m:groupChr>
                        <m:ctrlPr>
                          <w:rPr>
                            <w:rFonts w:ascii="Cambria Math" w:hAnsi="Cambria Math"/>
                          </w:rPr>
                        </m:ctrlPr>
                      </m:e>
                      <m:lim>
                        <m:r>
                          <m:rPr>
                            <m:sty m:val="bi"/>
                          </m:rPr>
                          <w:rPr>
                            <w:rFonts w:ascii="Cambria Math" w:hAnsi="Cambria Math"/>
                            <w:color w:val="548DD4" w:themeColor="text2" w:themeTint="99"/>
                          </w:rPr>
                          <m:t>internal dynamics</m:t>
                        </m:r>
                      </m:lim>
                    </m:limUpp>
                    <m:r>
                      <w:rPr>
                        <w:rFonts w:ascii="Cambria Math" w:hAnsi="Cambria Math"/>
                      </w:rPr>
                      <m:t>+</m:t>
                    </m:r>
                    <m:limLow>
                      <m:limLowPr>
                        <m:ctrlPr>
                          <w:rPr>
                            <w:rFonts w:ascii="Cambria Math" w:hAnsi="Cambria Math"/>
                            <w:i/>
                          </w:rPr>
                        </m:ctrlPr>
                      </m:limLowPr>
                      <m:e>
                        <m:groupChr>
                          <m:groupChrPr>
                            <m:ctrlPr>
                              <w:rPr>
                                <w:rFonts w:ascii="Cambria Math" w:hAnsi="Cambria Math"/>
                              </w:rPr>
                            </m:ctrlPr>
                          </m:groupCh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T</m:t>
                            </m:r>
                          </m:e>
                        </m:groupChr>
                      </m:e>
                      <m:lim>
                        <m:r>
                          <m:rPr>
                            <m:sty m:val="bi"/>
                          </m:rPr>
                          <w:rPr>
                            <w:rFonts w:ascii="Cambria Math" w:hAnsi="Cambria Math"/>
                            <w:color w:val="548DD4" w:themeColor="text2" w:themeTint="99"/>
                          </w:rPr>
                          <m:t>forcing</m:t>
                        </m:r>
                      </m:lim>
                    </m:limLow>
                    <m:ctrlPr>
                      <w:rPr>
                        <w:rFonts w:ascii="Cambria Math" w:hAnsi="Cambria Math"/>
                        <w:i/>
                      </w:rPr>
                    </m:ctrlPr>
                  </m:e>
                </m:d>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V</m:t>
                    </m:r>
                  </m:sub>
                </m:sSub>
                <m:d>
                  <m:dPr>
                    <m:ctrlPr>
                      <w:rPr>
                        <w:rFonts w:ascii="Cambria Math" w:hAnsi="Cambria Math"/>
                        <w:i/>
                      </w:rPr>
                    </m:ctrlPr>
                  </m:dPr>
                  <m:e>
                    <m:r>
                      <w:rPr>
                        <w:rFonts w:ascii="Cambria Math" w:hAnsi="Cambria Math"/>
                      </w:rPr>
                      <m:t>V</m:t>
                    </m:r>
                  </m:e>
                </m:d>
                <m:r>
                  <w:rPr>
                    <w:rFonts w:ascii="Cambria Math" w:hAnsi="Cambria Math"/>
                  </w:rPr>
                  <m:t>.</m:t>
                </m:r>
              </m:oMath>
            </m:oMathPara>
          </w:p>
        </w:tc>
        <w:tc>
          <w:tcPr>
            <w:tcW w:w="558" w:type="dxa"/>
          </w:tcPr>
          <w:p w14:paraId="01E4E4A3" w14:textId="77777777" w:rsidR="00865CAC" w:rsidRDefault="00865CAC" w:rsidP="00E55AAE"/>
          <w:p w14:paraId="5EBA81C1" w14:textId="283CF16F" w:rsidR="00FA417E" w:rsidRDefault="00FA417E" w:rsidP="00E55AAE">
            <w:r>
              <w:t>(13)</w:t>
            </w:r>
          </w:p>
        </w:tc>
      </w:tr>
    </w:tbl>
    <w:p w14:paraId="7EA163CE" w14:textId="77777777" w:rsidR="003B6C76" w:rsidRDefault="003B6C76" w:rsidP="00880D07"/>
    <w:p w14:paraId="3CA76FA2" w14:textId="61127308" w:rsidR="007C3BDA" w:rsidRDefault="005C7E7A" w:rsidP="00880D07">
      <w:r w:rsidRPr="00227018">
        <w:t xml:space="preserve">The term </w:t>
      </w:r>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V</m:t>
            </m:r>
          </m:sub>
        </m:sSub>
        <m:d>
          <m:dPr>
            <m:ctrlPr>
              <w:rPr>
                <w:rFonts w:ascii="Cambria Math" w:hAnsi="Cambria Math"/>
                <w:i/>
              </w:rPr>
            </m:ctrlPr>
          </m:dPr>
          <m:e>
            <m:r>
              <w:rPr>
                <w:rFonts w:ascii="Cambria Math" w:hAnsi="Cambria Math"/>
              </w:rPr>
              <m:t>V</m:t>
            </m:r>
          </m:e>
        </m:d>
      </m:oMath>
      <w:r w:rsidRPr="00227018">
        <w:t xml:space="preserve"> encodes the dynamic time scale of the GIS</w:t>
      </w:r>
      <w:r w:rsidR="00733830">
        <w:t xml:space="preserve">, </w:t>
      </w:r>
      <w:r w:rsidRPr="00227018">
        <w:t>analogous to that of the AMOC, except that this value is parameterized differently depending on whether the GIS is regaining ice volume</w:t>
      </w:r>
      <w: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V</m:t>
            </m:r>
          </m:sub>
          <m:sup>
            <m:r>
              <w:rPr>
                <w:rFonts w:ascii="Cambria Math" w:hAnsi="Cambria Math"/>
              </w:rPr>
              <m:t>+</m:t>
            </m:r>
          </m:sup>
        </m:sSubSup>
        <m:r>
          <w:rPr>
            <w:rFonts w:ascii="Cambria Math" w:hAnsi="Cambria Math"/>
          </w:rPr>
          <m:t>=5500 y</m:t>
        </m:r>
        <m:sSup>
          <m:sSupPr>
            <m:ctrlPr>
              <w:rPr>
                <w:rFonts w:ascii="Cambria Math" w:hAnsi="Cambria Math"/>
                <w:i/>
              </w:rPr>
            </m:ctrlPr>
          </m:sSupPr>
          <m:e>
            <m:r>
              <w:rPr>
                <w:rFonts w:ascii="Cambria Math" w:hAnsi="Cambria Math"/>
              </w:rPr>
              <m:t>r</m:t>
            </m:r>
          </m:e>
          <m:sup>
            <m:r>
              <w:rPr>
                <w:rFonts w:ascii="Cambria Math" w:hAnsi="Cambria Math"/>
              </w:rPr>
              <m:t>-1</m:t>
            </m:r>
          </m:sup>
        </m:sSup>
      </m:oMath>
      <w:r w:rsidRPr="00227018">
        <w:t xml:space="preserve">) or </w:t>
      </w:r>
      <w:r>
        <w:t>melting</w:t>
      </w:r>
      <w:r w:rsidRPr="00227018">
        <w:t xml:space="preserve"> it (</w:t>
      </w:r>
      <m:oMath>
        <m:sSubSup>
          <m:sSubSupPr>
            <m:ctrlPr>
              <w:rPr>
                <w:rFonts w:ascii="Cambria Math" w:hAnsi="Cambria Math"/>
                <w:i/>
              </w:rPr>
            </m:ctrlPr>
          </m:sSubSupPr>
          <m:e>
            <m:r>
              <w:rPr>
                <w:rFonts w:ascii="Cambria Math" w:hAnsi="Cambria Math"/>
              </w:rPr>
              <m:t>τ</m:t>
            </m:r>
          </m:e>
          <m:sub>
            <m:r>
              <w:rPr>
                <w:rFonts w:ascii="Cambria Math" w:hAnsi="Cambria Math"/>
              </w:rPr>
              <m:t>V</m:t>
            </m:r>
          </m:sub>
          <m:sup>
            <m:r>
              <w:rPr>
                <w:rFonts w:ascii="Cambria Math" w:hAnsi="Cambria Math"/>
              </w:rPr>
              <m:t>-</m:t>
            </m:r>
          </m:sup>
        </m:sSubSup>
        <m:r>
          <w:rPr>
            <w:rFonts w:ascii="Cambria Math" w:hAnsi="Cambria Math"/>
          </w:rPr>
          <m:t>=470 y</m:t>
        </m:r>
        <m:sSup>
          <m:sSupPr>
            <m:ctrlPr>
              <w:rPr>
                <w:rFonts w:ascii="Cambria Math" w:hAnsi="Cambria Math"/>
                <w:i/>
              </w:rPr>
            </m:ctrlPr>
          </m:sSupPr>
          <m:e>
            <m:r>
              <w:rPr>
                <w:rFonts w:ascii="Cambria Math" w:hAnsi="Cambria Math"/>
              </w:rPr>
              <m:t>r</m:t>
            </m:r>
          </m:e>
          <m:sup>
            <m:r>
              <w:rPr>
                <w:rFonts w:ascii="Cambria Math" w:hAnsi="Cambria Math"/>
              </w:rPr>
              <m:t>-1</m:t>
            </m:r>
          </m:sup>
        </m:sSup>
      </m:oMath>
      <w:r w:rsidRPr="00227018">
        <w:t>).</w:t>
      </w:r>
      <w:r>
        <w:t xml:space="preserve"> </w:t>
      </w:r>
      <w:r w:rsidRPr="00227018">
        <w:t>These values are those used in SURFER v2.0 (47) and are themselves derived from a calibration against a complex GIS model.</w:t>
      </w:r>
      <w:r>
        <w:t xml:space="preserve"> Note that it is possible to add in Eq.(13) </w:t>
      </w:r>
      <w:r w:rsidRPr="00F24C7E">
        <w:t>a second forcing term proportional to (1 – Ψ) to account for the stabilising effect of a weakened AMOC on GIS melting. In Section S1 of the Supplementary Materials, we show how this two-forcing-variable equation can be calibrated, similarly to the ATCM. Th</w:t>
      </w:r>
      <w:r>
        <w:t xml:space="preserve">is tool can then be used </w:t>
      </w:r>
      <w:r w:rsidRPr="00F24C7E">
        <w:t>to investigate tipping cascades</w:t>
      </w:r>
      <w:r>
        <w:t xml:space="preserve"> </w:t>
      </w:r>
      <w:r>
        <w:fldChar w:fldCharType="begin"/>
      </w:r>
      <w:r w:rsidR="007F2E43">
        <w:instrText xml:space="preserve"> ADDIN ZOTERO_ITEM CSL_CITATION {"citationID":"wfHl8a7g","properties":{"formattedCitation":"(33,35)","plainCitation":"(33,35)","noteIndex":0},"citationItems":[{"id":6385,"uris":["http://zotero.org/users/7129331/items/PIISDDVE"],"itemData":{"id":6385,"type":"article-journal","abstract":"The Greenland Ice Sheet (GIS) and Atlantic Meridional Overturning Circulation (AMOC) are considered tipping elements in the climate system, where global warming exceeding critical threshold levels in forcing can lead to large-scale and nonlinear reductions in ice volume and overturning strength, respectively. The positive–negative feedback loop governing their interaction with a destabilizing effect on the AMOC due to ice loss and subsequent freshwater flux into the North Atlantic as well as a stabilizing effect of a net cooling around Greenland with an AMOC weakening may determine the long-term stability of both tipping elements. Here we explore the potential dynamic regimes arising from this positive–negative tipping feedback loop in a physically motivated conceptual model. Under idealized forcing scenarios we identify conditions under which different kinds of tipping cascades can occur: herein, we distinguish between overshoot/bifurcation tipping cascades, leading to tipping of both GIS and AMOC, and rate-induced tipping cascades, where the AMOC, despite not having crossed its own intrinsic tipping point, tips nonetheless due to the fast rate of ice loss from Greenland. The occurrence of these different cascades is affected by the ice sheet disintegration time and thus eventually by the imposed forcing and its timescales. Our results suggest that it is necessary not only to avoid surpassing the respective critical levels of the environmental drivers for the Greenland Ice Sheet and Atlantic Meridional Overturning Circulation, but also to respect safe rates of environmental change to mitigate potential domino effects.","container-title":"Earth System Dynamics","DOI":"10.5194/esd-15-635-2024","ISSN":"2190-4979","issue":"3","language":"English","note":"publisher: Copernicus GmbH","page":"635-652","source":"Copernicus Online Journals","title":"Rate-induced tipping cascades arising from interactions between the Greenland Ice Sheet and the Atlantic Meridional Overturning Circulation","volume":"15","author":[{"family":"Klose","given":"Ann Kristin"},{"family":"Donges","given":"Jonathan F."},{"family":"Feudel","given":"Ulrike"},{"family":"Winkelmann","given":"Ricarda"}],"issued":{"date-parts":[["2024",5,27]]}}},{"id":1143,"uris":["http://zotero.org/users/7129331/items/8BQ54DHH"],"itemData":{"id":1143,"type":"article-journal","abstract":"Several large-scale components of the climate system may undergo a rapid transition as critical conditions are exceeded. These tipping elements are also dynamically coupled, allowing for a global domino effect under global warming. Here we focus on such cascading events involving the Greenland Ice Sheet (GIS), the West Antarctica Ice Sheet (WAIS) and the Atlantic Meridional Overturning Circulation (AMOC). Using a conceptual model, we study the combined tipping behavior due to three dominant feedbacks: the marine ice sheet instability for the WAIS, the height-surface mass balance feedback for the GIS and the salt-advection feedback for the AMOC. We show that, in a realistic parameter range of the model, a tipping of the WAIS can inhibit cascading events by preserving the AMOC stability.","container-title":"Geophysical Research Letters","DOI":"10.1029/2022GL100305","ISSN":"1944-8007","issue":"2","language":"en","license":"© 2023 The Authors.","note":"_eprint: https://onlinelibrary.wiley.com/doi/pdf/10.1029/2022GL100305","page":"e2022GL100305","source":"Wiley Online Library","title":"AMOC Stabilization Under the Interaction With Tipping Polar Ice Sheets","volume":"50","author":[{"family":"Sinet","given":"S."},{"family":"Heydt","given":"A. S.","non-dropping-particle":"von der"},{"family":"Dijkstra","given":"H. A."}],"issued":{"date-parts":[["2023"]]}}}],"schema":"https://github.com/citation-style-language/schema/raw/master/csl-citation.json"} </w:instrText>
      </w:r>
      <w:r>
        <w:fldChar w:fldCharType="separate"/>
      </w:r>
      <w:r w:rsidR="007F2E43" w:rsidRPr="007F2E43">
        <w:t>(33,35)</w:t>
      </w:r>
      <w:r>
        <w:fldChar w:fldCharType="end"/>
      </w:r>
      <w:r w:rsidRPr="00F24C7E">
        <w:t xml:space="preserve"> between these two systems</w:t>
      </w:r>
      <w:r>
        <w:t xml:space="preserve"> with what we could call a tipping cascade emulator.</w:t>
      </w:r>
    </w:p>
    <w:p w14:paraId="7A782989" w14:textId="77777777" w:rsidR="005C7E7A" w:rsidRPr="00227018" w:rsidRDefault="005C7E7A" w:rsidP="00880D07"/>
    <w:p w14:paraId="396CFD3A" w14:textId="4110EAA3" w:rsidR="00880D07" w:rsidRPr="005C6A75" w:rsidRDefault="00A22C0D" w:rsidP="00880D07">
      <w:r>
        <w:t>F</w:t>
      </w:r>
      <w:r w:rsidR="00880D07" w:rsidRPr="002476B2">
        <w:t xml:space="preserve">igure </w:t>
      </w:r>
      <w:r w:rsidR="005A0927">
        <w:t>6</w:t>
      </w:r>
      <w:r w:rsidR="005A0927" w:rsidRPr="002476B2">
        <w:t xml:space="preserve"> </w:t>
      </w:r>
      <w:r w:rsidR="00880D07" w:rsidRPr="002476B2">
        <w:t xml:space="preserve">illustrates the fifteen emission scenarios selected as inputs to simulate the evolution of the AMOC within the emulator once integrated into SURFER. </w:t>
      </w:r>
      <w:r w:rsidR="005C6A75" w:rsidRPr="00946BFB">
        <w:t>These emission trajectories follow the historical record from 1750 to 2010</w:t>
      </w:r>
      <w:r w:rsidR="005C6A75">
        <w:t xml:space="preserve"> </w:t>
      </w:r>
      <w:r w:rsidR="00A80FE4">
        <w:t>CE</w:t>
      </w:r>
      <w:r w:rsidR="005C6A75" w:rsidRPr="00946BFB">
        <w:t xml:space="preserve">, </w:t>
      </w:r>
      <w:r w:rsidR="00117D3A">
        <w:t xml:space="preserve">and are then extended using </w:t>
      </w:r>
      <w:r w:rsidR="005C6A75" w:rsidRPr="00946BFB">
        <w:t xml:space="preserve">a logistic </w:t>
      </w:r>
      <w:r w:rsidR="002310C3">
        <w:t>equation</w:t>
      </w:r>
      <w:r w:rsidR="002B5CB5">
        <w:t xml:space="preserve"> </w:t>
      </w:r>
      <w:r w:rsidR="00117D3A">
        <w:t xml:space="preserve">so that </w:t>
      </w:r>
      <w:r w:rsidR="005C6A75" w:rsidRPr="00946BFB">
        <w:t xml:space="preserve">the cumulative emissions from 1750 to 2500 </w:t>
      </w:r>
      <w:r w:rsidR="00A80FE4">
        <w:t>CE</w:t>
      </w:r>
      <w:r w:rsidR="005C6A75" w:rsidRPr="00946BFB">
        <w:t xml:space="preserve"> range from 1000 to 5000 </w:t>
      </w:r>
      <m:oMath>
        <m:r>
          <w:rPr>
            <w:rFonts w:ascii="Cambria Math" w:hAnsi="Cambria Math"/>
          </w:rPr>
          <m:t>PgC</m:t>
        </m:r>
      </m:oMath>
      <w:r w:rsidR="002B5CB5">
        <w:t xml:space="preserve"> </w:t>
      </w:r>
      <w:r w:rsidR="005C6A75">
        <w:fldChar w:fldCharType="begin"/>
      </w:r>
      <w:r w:rsidR="008C6149">
        <w:instrText xml:space="preserve"> ADDIN ZOTERO_ITEM CSL_CITATION {"citationID":"rHjHL9Mj","properties":{"formattedCitation":"(55)","plainCitation":"(55)","noteIndex":0},"citationItems":[{"id":7232,"uris":["http://zotero.org/users/7129331/items/SUBUDX7H"],"itemData":{"id":7232,"type":"thesis","title":"Tipping cascades, future Earth system trajectories, and the prospect of a hothouse : a study with a reduced-complexity model","author":[{"family":"Couplet","given":"Victor"}],"issued":{"date-parts":[["2025"]]}}}],"schema":"https://github.com/citation-style-language/schema/raw/master/csl-citation.json"} </w:instrText>
      </w:r>
      <w:r w:rsidR="005C6A75">
        <w:fldChar w:fldCharType="separate"/>
      </w:r>
      <w:r w:rsidR="008C6149" w:rsidRPr="008C6149">
        <w:t>(55)</w:t>
      </w:r>
      <w:r w:rsidR="005C6A75">
        <w:fldChar w:fldCharType="end"/>
      </w:r>
      <w:r w:rsidR="005C6A75" w:rsidRPr="00946BFB">
        <w:t>. In this way, they cover the spectrum from SSP1-2.6 to SSP5-8.5.</w:t>
      </w:r>
    </w:p>
    <w:p w14:paraId="64054676" w14:textId="77777777" w:rsidR="00880D07" w:rsidRDefault="00880D07"/>
    <w:p w14:paraId="4FC3BDAA" w14:textId="652CBF23" w:rsidR="00F84B8D" w:rsidRDefault="00F84B8D" w:rsidP="00EB23A5">
      <w:pPr>
        <w:jc w:val="center"/>
        <w:rPr>
          <w:noProof/>
        </w:rPr>
      </w:pPr>
    </w:p>
    <w:p w14:paraId="1F32512B" w14:textId="16B4E1FD" w:rsidR="005E7E17" w:rsidRPr="00EB23A5" w:rsidRDefault="00320147" w:rsidP="00EB23A5">
      <w:pPr>
        <w:jc w:val="center"/>
      </w:pPr>
      <w:r>
        <w:rPr>
          <w:noProof/>
        </w:rPr>
        <w:lastRenderedPageBreak/>
        <w:drawing>
          <wp:inline distT="0" distB="0" distL="0" distR="0" wp14:anchorId="344E7536" wp14:editId="5FBE4B35">
            <wp:extent cx="4543425" cy="2271713"/>
            <wp:effectExtent l="0" t="0" r="0" b="0"/>
            <wp:docPr id="1670807148" name="Picture 4" descr="A graph of gas emis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7148" name="Picture 4" descr="A graph of gas emission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2033" cy="2276017"/>
                    </a:xfrm>
                    <a:prstGeom prst="rect">
                      <a:avLst/>
                    </a:prstGeom>
                  </pic:spPr>
                </pic:pic>
              </a:graphicData>
            </a:graphic>
          </wp:inline>
        </w:drawing>
      </w:r>
    </w:p>
    <w:p w14:paraId="3C7A355E" w14:textId="135C4AFA" w:rsidR="00FF4B43" w:rsidRPr="007B68BC" w:rsidRDefault="00FF4B43" w:rsidP="00FF4B43">
      <w:pPr>
        <w:rPr>
          <w:b/>
          <w:bCs/>
          <w:sz w:val="19"/>
          <w:szCs w:val="19"/>
        </w:rPr>
      </w:pPr>
      <w:r w:rsidRPr="00FF4B43">
        <w:rPr>
          <w:b/>
          <w:bCs/>
          <w:sz w:val="19"/>
          <w:szCs w:val="19"/>
        </w:rPr>
        <w:t>Figure 6 : Fifteen emission scenarios</w:t>
      </w:r>
      <w:r w:rsidR="00D9747B">
        <w:rPr>
          <w:b/>
          <w:bCs/>
          <w:sz w:val="19"/>
          <w:szCs w:val="19"/>
        </w:rPr>
        <w:t xml:space="preserve"> </w:t>
      </w:r>
      <w:r w:rsidR="0068021E">
        <w:rPr>
          <w:b/>
          <w:bCs/>
          <w:sz w:val="19"/>
          <w:szCs w:val="19"/>
        </w:rPr>
        <w:t xml:space="preserve">used as </w:t>
      </w:r>
      <w:r w:rsidRPr="00FF4B43">
        <w:rPr>
          <w:b/>
          <w:bCs/>
          <w:sz w:val="19"/>
          <w:szCs w:val="19"/>
        </w:rPr>
        <w:t>in</w:t>
      </w:r>
      <w:r w:rsidR="0068021E">
        <w:rPr>
          <w:b/>
          <w:bCs/>
          <w:sz w:val="19"/>
          <w:szCs w:val="19"/>
        </w:rPr>
        <w:t>put</w:t>
      </w:r>
      <w:r w:rsidR="007B68BC">
        <w:rPr>
          <w:b/>
          <w:bCs/>
          <w:sz w:val="19"/>
          <w:szCs w:val="19"/>
        </w:rPr>
        <w:t xml:space="preserve"> to </w:t>
      </w:r>
      <w:r w:rsidRPr="00FF4B43">
        <w:rPr>
          <w:b/>
          <w:bCs/>
          <w:sz w:val="19"/>
          <w:szCs w:val="19"/>
        </w:rPr>
        <w:t xml:space="preserve">SURFER. These scenarios account for cumulative </w:t>
      </w:r>
      <w:r w:rsidR="007B68BC">
        <w:rPr>
          <w:b/>
          <w:bCs/>
          <w:sz w:val="19"/>
          <w:szCs w:val="19"/>
        </w:rPr>
        <w:t xml:space="preserve">release of </w:t>
      </w:r>
      <m:oMath>
        <m:r>
          <m:rPr>
            <m:sty m:val="bi"/>
          </m:rPr>
          <w:rPr>
            <w:rFonts w:ascii="Cambria Math" w:hAnsi="Cambria Math"/>
            <w:sz w:val="19"/>
            <w:szCs w:val="19"/>
          </w:rPr>
          <m:t>C</m:t>
        </m:r>
        <m:sSub>
          <m:sSubPr>
            <m:ctrlPr>
              <w:rPr>
                <w:rFonts w:ascii="Cambria Math" w:hAnsi="Cambria Math"/>
                <w:b/>
                <w:bCs/>
                <w:i/>
                <w:sz w:val="19"/>
                <w:szCs w:val="19"/>
              </w:rPr>
            </m:ctrlPr>
          </m:sSubPr>
          <m:e>
            <m:r>
              <m:rPr>
                <m:sty m:val="bi"/>
              </m:rPr>
              <w:rPr>
                <w:rFonts w:ascii="Cambria Math" w:hAnsi="Cambria Math"/>
                <w:sz w:val="19"/>
                <w:szCs w:val="19"/>
              </w:rPr>
              <m:t>O</m:t>
            </m:r>
          </m:e>
          <m:sub>
            <m:r>
              <m:rPr>
                <m:sty m:val="bi"/>
              </m:rPr>
              <w:rPr>
                <w:rFonts w:ascii="Cambria Math" w:hAnsi="Cambria Math"/>
                <w:sz w:val="19"/>
                <w:szCs w:val="19"/>
              </w:rPr>
              <m:t>2</m:t>
            </m:r>
          </m:sub>
        </m:sSub>
      </m:oMath>
      <w:r w:rsidR="007B68BC">
        <w:rPr>
          <w:b/>
          <w:bCs/>
          <w:sz w:val="19"/>
          <w:szCs w:val="19"/>
        </w:rPr>
        <w:t xml:space="preserve"> in the atmosphere between </w:t>
      </w:r>
      <w:r w:rsidRPr="00FF4B43">
        <w:rPr>
          <w:b/>
          <w:bCs/>
          <w:sz w:val="19"/>
          <w:szCs w:val="19"/>
        </w:rPr>
        <w:t xml:space="preserve">1000 to 5000 PgC </w:t>
      </w:r>
      <w:r w:rsidR="00000B79">
        <w:rPr>
          <w:b/>
          <w:bCs/>
          <w:sz w:val="19"/>
          <w:szCs w:val="19"/>
        </w:rPr>
        <w:t xml:space="preserve">since 1750 CE, and cover a similar range as the SSP scenarios. </w:t>
      </w:r>
      <w:r w:rsidRPr="00FF4B43">
        <w:rPr>
          <w:sz w:val="19"/>
          <w:szCs w:val="19"/>
        </w:rPr>
        <w:t>The emission trajectories range from blue for scenarios with the lowest emissions to red for those with the highest greenhouse gas emissions, with their corresponding labels placed directly along the curves.</w:t>
      </w:r>
    </w:p>
    <w:p w14:paraId="4BE99492" w14:textId="77777777" w:rsidR="003B6C76" w:rsidRPr="001D0A70" w:rsidRDefault="003B6C76" w:rsidP="00896626"/>
    <w:p w14:paraId="4E521761" w14:textId="10ED08DF" w:rsidR="004B201E" w:rsidRDefault="00B84193">
      <w:pPr>
        <w:pStyle w:val="Heading2"/>
        <w:ind w:left="0"/>
        <w:rPr>
          <w:sz w:val="24"/>
          <w:szCs w:val="24"/>
        </w:rPr>
      </w:pPr>
      <w:r>
        <w:rPr>
          <w:sz w:val="24"/>
          <w:szCs w:val="24"/>
        </w:rPr>
        <w:t>3.4 Critical Manifold and Sampling the Forcing Space</w:t>
      </w:r>
    </w:p>
    <w:p w14:paraId="5A859E58" w14:textId="77777777" w:rsidR="003E6E50" w:rsidRDefault="003E6E50"/>
    <w:p w14:paraId="0395BC50" w14:textId="36E8B89A" w:rsidR="00F47A92" w:rsidRDefault="00F47A92" w:rsidP="00F47A92">
      <w:r>
        <w:t xml:space="preserve">Based on the calibration of the ATCM to </w:t>
      </w:r>
      <w:r w:rsidR="007D15C1">
        <w:t>cGENIE</w:t>
      </w:r>
      <w:r>
        <w:t xml:space="preserve">, we can represent </w:t>
      </w:r>
      <w:r w:rsidR="0067258D">
        <w:t xml:space="preserve">in the forcing variable space </w:t>
      </w:r>
      <m:oMath>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F</m:t>
                </m:r>
              </m:e>
              <m:sub>
                <m:r>
                  <w:rPr>
                    <w:rFonts w:ascii="Cambria Math" w:hAnsi="Cambria Math"/>
                  </w:rPr>
                  <m:t>GIS</m:t>
                </m:r>
              </m:sub>
            </m:sSub>
          </m:e>
        </m:d>
        <m:r>
          <w:rPr>
            <w:rFonts w:ascii="Cambria Math" w:hAnsi="Cambria Math"/>
          </w:rPr>
          <m:t xml:space="preserve">, </m:t>
        </m:r>
      </m:oMath>
      <w:r>
        <w:t xml:space="preserve">the two calibration experiments, </w:t>
      </w:r>
      <m:oMath>
        <m:r>
          <w:rPr>
            <w:rFonts w:ascii="Cambria Math" w:hAnsi="Cambria Math"/>
          </w:rPr>
          <m:t>EXPA</m:t>
        </m:r>
      </m:oMath>
      <w:r>
        <w:t xml:space="preserve"> and </w:t>
      </w:r>
      <m:oMath>
        <m:r>
          <w:rPr>
            <w:rFonts w:ascii="Cambria Math" w:hAnsi="Cambria Math"/>
          </w:rPr>
          <m:t>EXPB</m:t>
        </m:r>
      </m:oMath>
      <w:r w:rsidR="00512482">
        <w:t>,</w:t>
      </w:r>
      <w:r>
        <w:t xml:space="preserve"> as well as the validation experiment</w:t>
      </w:r>
      <w:r w:rsidR="0054367E">
        <w:t xml:space="preserve"> </w:t>
      </w:r>
      <w:r w:rsidR="0067258D">
        <w:t>that consider hosing</w:t>
      </w:r>
      <w:r w:rsidR="008E7351">
        <w:t xml:space="preserve"> (see Figure 7)</w:t>
      </w:r>
      <w:r w:rsidR="0067258D">
        <w:t xml:space="preserve">. </w:t>
      </w:r>
      <w:r>
        <w:t xml:space="preserve">This representation demonstrates the use of the emulator as a tool for mapping the forcing space of a given </w:t>
      </w:r>
      <w:r w:rsidR="008C4453">
        <w:t>simulator</w:t>
      </w:r>
      <w:r>
        <w:t xml:space="preserve">. The critical manifold </w:t>
      </w:r>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is defined</w:t>
      </w:r>
      <w:r w:rsidR="002C5FF3">
        <w:t xml:space="preserve"> by the ATCM</w:t>
      </w:r>
      <w:r>
        <w:t xml:space="preserve"> as follows,</w:t>
      </w:r>
    </w:p>
    <w:p w14:paraId="03FCC089" w14:textId="4E5FE1A0" w:rsidR="005B43B9" w:rsidRDefault="005B43B9" w:rsidP="00F47A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7"/>
        <w:gridCol w:w="649"/>
      </w:tblGrid>
      <w:tr w:rsidR="005B43B9" w14:paraId="0B7FBEAE" w14:textId="77777777" w:rsidTr="00DB27A1">
        <w:tc>
          <w:tcPr>
            <w:tcW w:w="9417" w:type="dxa"/>
          </w:tcPr>
          <w:p w14:paraId="6353B237" w14:textId="77777777" w:rsidR="005B43B9" w:rsidRPr="005B43B9" w:rsidRDefault="00000000" w:rsidP="001B7E8F">
            <m:oMathPara>
              <m:oMath>
                <m:sSub>
                  <m:sSubPr>
                    <m:ctrlPr>
                      <w:rPr>
                        <w:rFonts w:ascii="Cambria Math" w:hAnsi="Cambria Math"/>
                      </w:rPr>
                    </m:ctrlPr>
                  </m:sSubPr>
                  <m:e>
                    <m:r>
                      <w:rPr>
                        <w:rFonts w:ascii="Cambria Math" w:hAnsi="Cambria Math"/>
                      </w:rPr>
                      <m:t>W</m:t>
                    </m:r>
                  </m:e>
                  <m:sub>
                    <m:r>
                      <w:rPr>
                        <w:rFonts w:ascii="Cambria Math" w:hAnsi="Cambria Math"/>
                      </w:rPr>
                      <m:t>c</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e</m:t>
                        </m:r>
                      </m:e>
                      <m:sub>
                        <m:r>
                          <m:rPr>
                            <m:sty m:val="p"/>
                          </m:rPr>
                          <w:rPr>
                            <w:rFonts w:ascii="Cambria Math" w:hAnsi="Cambria Math"/>
                          </w:rPr>
                          <m:t>12</m:t>
                        </m:r>
                      </m:sub>
                    </m:sSub>
                  </m:den>
                </m:f>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hAnsi="Cambria Math"/>
                      </w:rPr>
                      <m:t>- T</m:t>
                    </m:r>
                  </m:e>
                </m:d>
                <m:r>
                  <m:rPr>
                    <m:sty m:val="p"/>
                  </m:rPr>
                  <w:rPr>
                    <w:rFonts w:ascii="Cambria Math" w:hAnsi="Cambria Math"/>
                  </w:rPr>
                  <m:t>.</m:t>
                </m:r>
              </m:oMath>
            </m:oMathPara>
          </w:p>
          <w:p w14:paraId="1FDE5D49" w14:textId="77777777" w:rsidR="005B43B9" w:rsidRPr="005B43B9" w:rsidRDefault="005B43B9" w:rsidP="001B7E8F"/>
        </w:tc>
        <w:tc>
          <w:tcPr>
            <w:tcW w:w="649" w:type="dxa"/>
            <w:vAlign w:val="center"/>
          </w:tcPr>
          <w:p w14:paraId="30AD82CD" w14:textId="466D6B00" w:rsidR="005B43B9" w:rsidRDefault="005B43B9" w:rsidP="001B7E8F">
            <w:r>
              <w:t>(1</w:t>
            </w:r>
            <w:r w:rsidR="00597C3B">
              <w:t>4</w:t>
            </w:r>
            <w:r>
              <w:t>)</w:t>
            </w:r>
          </w:p>
        </w:tc>
      </w:tr>
    </w:tbl>
    <w:p w14:paraId="582B8B62" w14:textId="2FD0CFAE" w:rsidR="00F15264" w:rsidRPr="00F15264" w:rsidRDefault="00DB27A1" w:rsidP="00F15264">
      <w:r>
        <w:t xml:space="preserve">This manifold delineates the forcing space into two regions: one where the linear combinations of the variables </w:t>
      </w:r>
      <m:oMath>
        <m:r>
          <w:rPr>
            <w:rFonts w:ascii="Cambria Math" w:hAnsi="Cambria Math"/>
          </w:rPr>
          <m:t>T</m:t>
        </m:r>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GIS</m:t>
            </m:r>
          </m:sub>
        </m:sSub>
      </m:oMath>
      <w:r>
        <w:t xml:space="preserve"> </w:t>
      </w:r>
      <w:r w:rsidRPr="00DB27A1">
        <w:t>do not lead to an AMOC tipping in the emulator, and another where such combinations would, at equilibrium, drive the AMOC into the collapsed stable state.</w:t>
      </w:r>
      <w:r>
        <w:t xml:space="preserve"> </w:t>
      </w:r>
      <w:r w:rsidR="00B84193">
        <w:t xml:space="preserve">Despite the approximations inherent in the calibration process, the ATCM provides a valuable pre-diagnostic tool for analysing forcing combinations that, if sustained for a sufficient duration </w:t>
      </w:r>
      <w:r w:rsidR="00B84193">
        <w:fldChar w:fldCharType="begin"/>
      </w:r>
      <w:r w:rsidR="007F2E43">
        <w:instrText xml:space="preserve"> ADDIN ZOTERO_ITEM CSL_CITATION {"citationID":"ErsqN1ef","properties":{"formattedCitation":"(32)","plainCitation":"(32)","noteIndex":0},"citationItems":[{"id":1263,"uris":["http://zotero.org/users/7129331/items/CQUPSR8X"],"itemData":{"id":1263,"type":"article-journal","abstract":"A classical scenario for tipping is that a dynamical system experiences a slow parameter drift across a fold tipping point, caused by a run-away positive feedback loop. We study what happens if one turns around after one has crossed the threshold. We derive a simple criterion that relates how far the parameter exceeds the tipping threshold maximally and how long the parameter stays above the threshold to avoid tipping in an inverse-square law to observable properties of the dynamical system near the fold. For the case when the dynamical system is subject to stochastic forcing we give an approximation to the probability of tipping if a parameter changing in time reverses near the tipping point. The derived approximations are valid if the parameter change in time is sufficiently slow. We demonstrate for a higher-dimensional system, a model for the Indian summer monsoon, how numerically observed escape from the equilibrium converge to our asymptotic expressions. The inverse-square law between peak of the parameter forcing and the time the parameter spends above a given threshold is also visible in the level curves of equal probability when the system is subject to random disturbances.","container-title":"Proceedings of the Royal Society A: Mathematical, Physical and Engineering Sciences","DOI":"10.1098/rspa.2018.0504","issue":"2222","note":"publisher: Royal Society","page":"20180504","source":"royalsocietypublishing.org (Atypon)","title":"Inverse-square law between time and amplitude for crossing tipping thresholds","volume":"475","author":[{"family":"Ritchie","given":"Paul"},{"family":"Karabacak","given":"Özkan"},{"family":"Sieber","given":"Jan"}],"issued":{"date-parts":[["2019",2,27]]}}}],"schema":"https://github.com/citation-style-language/schema/raw/master/csl-citation.json"} </w:instrText>
      </w:r>
      <w:r w:rsidR="00B84193">
        <w:fldChar w:fldCharType="separate"/>
      </w:r>
      <w:r w:rsidR="007F2E43" w:rsidRPr="007F2E43">
        <w:t>(32)</w:t>
      </w:r>
      <w:r w:rsidR="00B84193">
        <w:fldChar w:fldCharType="end"/>
      </w:r>
      <w:r w:rsidR="00B84193">
        <w:t>, are expected to lead to a complete tipping of the AMOC</w:t>
      </w:r>
      <w:r w:rsidR="007167F8">
        <w:t xml:space="preserve">. </w:t>
      </w:r>
      <w:r w:rsidR="00EC2B9D" w:rsidRPr="00F15264">
        <w:t xml:space="preserve">For example, we can use this critical manifold to identify the tipping point according to the emulator for the SSP experiments with a </w:t>
      </w:r>
      <m:oMath>
        <m:r>
          <w:rPr>
            <w:rFonts w:ascii="Cambria Math" w:hAnsi="Cambria Math"/>
          </w:rPr>
          <m:t>0.06 Sv</m:t>
        </m:r>
      </m:oMath>
      <w:r w:rsidR="00EC2B9D">
        <w:t xml:space="preserve"> </w:t>
      </w:r>
      <w:r w:rsidR="00EC2B9D" w:rsidRPr="00F15264">
        <w:t xml:space="preserve">hosing applied in the specific region </w:t>
      </w:r>
      <w:r w:rsidR="00EC2B9D">
        <w:t>within</w:t>
      </w:r>
      <w:r w:rsidR="00EC2B9D" w:rsidRPr="00F15264">
        <w:t xml:space="preserve"> cGENIE. In this way, the ATCM provides an estimate indicating that the tipping point associated with the temperature anomaly is near 1.2°C. This estimate is thus obtained through the emulator without the need to perform a new computationally expensive hysteresis experiment in cGENIE, which would combine both temperature and freshwater flux forcing.</w:t>
      </w:r>
    </w:p>
    <w:p w14:paraId="328B2D02" w14:textId="198F24D7" w:rsidR="0061660F" w:rsidRPr="00F15264" w:rsidRDefault="0061660F" w:rsidP="00F15264">
      <w:pPr>
        <w:jc w:val="left"/>
      </w:pPr>
    </w:p>
    <w:p w14:paraId="1E4333B3" w14:textId="77777777" w:rsidR="004646A1" w:rsidRDefault="004646A1" w:rsidP="004646A1">
      <w:r w:rsidRPr="00933A02">
        <w:t xml:space="preserve">As an application, we investigated the response of the ATCM integrated into SURFER under 15 emission scenarios, ranging from SSP1-2.6 to SSP5-8.5 (see Figure 6). Figure 8 shows the trajectories of these 10,000-year simulations in the forcing space </w:t>
      </w:r>
      <m:oMath>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GIS</m:t>
                </m:r>
              </m:sub>
            </m:sSub>
          </m:e>
        </m:d>
      </m:oMath>
      <w:r w:rsidRPr="00933A02">
        <w:t xml:space="preserve">. The critical manifold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Pr="00933A02">
        <w:t xml:space="preserve">​ is </w:t>
      </w:r>
      <w:r>
        <w:t xml:space="preserve">of course </w:t>
      </w:r>
      <w:r w:rsidRPr="00933A02">
        <w:t xml:space="preserve">identical to that in Figure 7, derived from the ATCM through the calibration experiments </w:t>
      </w:r>
      <m:oMath>
        <m:r>
          <w:rPr>
            <w:rFonts w:ascii="Cambria Math" w:hAnsi="Cambria Math"/>
          </w:rPr>
          <m:t>EXPA</m:t>
        </m:r>
      </m:oMath>
      <w:r w:rsidRPr="00933A02">
        <w:t xml:space="preserve"> and </w:t>
      </w:r>
      <m:oMath>
        <m:r>
          <w:rPr>
            <w:rFonts w:ascii="Cambria Math" w:hAnsi="Cambria Math"/>
          </w:rPr>
          <m:t>EXPB</m:t>
        </m:r>
      </m:oMath>
      <w:r w:rsidRPr="00933A02">
        <w:t>. Nine of the 15 trajectories (labelled 7–15 in Figure 6) exceed the bifurcation threshold of the AMOC when considering the linear combination of the two forcing variables</w:t>
      </w:r>
      <w:r>
        <w:t xml:space="preserve">; in other words these trajectories cross </w:t>
      </w:r>
      <m:oMath>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 xml:space="preserve">. </m:t>
        </m:r>
      </m:oMath>
      <w:r w:rsidRPr="00933A02">
        <w:t xml:space="preserve">Notably, trajectory 7 surpasses this threshold only briefly and weakly, resulting in the overshoot-without-tipping behavior described by Ritchie et al. (31). Hysteresis effects are evident: trajectories 8–14 lead to AMOC collapse and do not recover circulation despite returning to the safe space. </w:t>
      </w:r>
      <w:r>
        <w:t>Lastly, t</w:t>
      </w:r>
      <w:r w:rsidRPr="00933A02">
        <w:t xml:space="preserve">hese results underscore the importance of accounting for both temperature and freshwater flux, as the inclusion of freshwater forcing lowers the temperature-associated tipping point due to their combined influence, as reflected in the slope of </w:t>
      </w:r>
      <m:oMath>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oMath>
    </w:p>
    <w:p w14:paraId="39262A6B" w14:textId="77777777" w:rsidR="00D4488B" w:rsidRDefault="00D4488B" w:rsidP="005B5901"/>
    <w:p w14:paraId="1B11FB7A" w14:textId="77777777" w:rsidR="00D4488B" w:rsidRDefault="00D4488B" w:rsidP="00D448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8"/>
        <w:gridCol w:w="5028"/>
      </w:tblGrid>
      <w:tr w:rsidR="00D4488B" w14:paraId="52818B2C" w14:textId="77777777" w:rsidTr="00A161D7">
        <w:tc>
          <w:tcPr>
            <w:tcW w:w="5028" w:type="dxa"/>
          </w:tcPr>
          <w:p w14:paraId="1BE93032" w14:textId="77777777" w:rsidR="00D4488B" w:rsidRDefault="00D4488B" w:rsidP="0056541C">
            <w:r>
              <w:rPr>
                <w:noProof/>
              </w:rPr>
              <w:lastRenderedPageBreak/>
              <w:drawing>
                <wp:inline distT="0" distB="0" distL="0" distR="0" wp14:anchorId="42300170" wp14:editId="46B40658">
                  <wp:extent cx="2967355" cy="2373630"/>
                  <wp:effectExtent l="0" t="0" r="4445" b="7620"/>
                  <wp:docPr id="214195083" name="Picture 3" descr="A graph of temperature and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10120" name="Picture 3" descr="A graph of temperature and temperatur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7355" cy="2373630"/>
                          </a:xfrm>
                          <a:prstGeom prst="rect">
                            <a:avLst/>
                          </a:prstGeom>
                        </pic:spPr>
                      </pic:pic>
                    </a:graphicData>
                  </a:graphic>
                </wp:inline>
              </w:drawing>
            </w:r>
          </w:p>
        </w:tc>
        <w:tc>
          <w:tcPr>
            <w:tcW w:w="5028" w:type="dxa"/>
          </w:tcPr>
          <w:p w14:paraId="5BEA9C78" w14:textId="331C7C8E" w:rsidR="00D4488B" w:rsidRDefault="00EC79D1" w:rsidP="0056541C">
            <w:r>
              <w:rPr>
                <w:noProof/>
              </w:rPr>
              <w:drawing>
                <wp:inline distT="0" distB="0" distL="0" distR="0" wp14:anchorId="66E320C3" wp14:editId="2F3C7C6D">
                  <wp:extent cx="2980870" cy="2384755"/>
                  <wp:effectExtent l="0" t="0" r="0" b="0"/>
                  <wp:docPr id="831951621" name="Picture 3" descr="A diagram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1621" name="Picture 3" descr="A diagram of a temperatur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5924" cy="2404799"/>
                          </a:xfrm>
                          <a:prstGeom prst="rect">
                            <a:avLst/>
                          </a:prstGeom>
                        </pic:spPr>
                      </pic:pic>
                    </a:graphicData>
                  </a:graphic>
                </wp:inline>
              </w:drawing>
            </w:r>
          </w:p>
        </w:tc>
      </w:tr>
      <w:tr w:rsidR="00D4488B" w14:paraId="2F113521" w14:textId="77777777" w:rsidTr="00A161D7">
        <w:tc>
          <w:tcPr>
            <w:tcW w:w="5028" w:type="dxa"/>
          </w:tcPr>
          <w:p w14:paraId="4EC5002F" w14:textId="59115AC2" w:rsidR="00D4488B" w:rsidRPr="00D4488B" w:rsidRDefault="004D7C74" w:rsidP="0056541C">
            <w:pPr>
              <w:pStyle w:val="BodyText"/>
              <w:rPr>
                <w:b/>
                <w:bCs/>
              </w:rPr>
            </w:pPr>
            <w:r w:rsidRPr="002C0734">
              <w:rPr>
                <w:b/>
                <w:bCs/>
              </w:rPr>
              <w:t xml:space="preserve">Figure 7 : Forcing space </w:t>
            </w:r>
            <m:oMath>
              <m:d>
                <m:dPr>
                  <m:ctrlPr>
                    <w:rPr>
                      <w:rFonts w:ascii="Cambria Math" w:hAnsi="Cambria Math"/>
                      <w:b/>
                      <w:bCs/>
                      <w:i/>
                    </w:rPr>
                  </m:ctrlPr>
                </m:dPr>
                <m:e>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GIS</m:t>
                      </m:r>
                    </m:sub>
                  </m:sSub>
                </m:e>
              </m:d>
            </m:oMath>
            <w:r w:rsidRPr="002C0734">
              <w:rPr>
                <w:b/>
                <w:bCs/>
              </w:rPr>
              <w:t xml:space="preserve"> showing calibration experiments </w:t>
            </w:r>
            <m:oMath>
              <m:r>
                <m:rPr>
                  <m:sty m:val="bi"/>
                </m:rPr>
                <w:rPr>
                  <w:rFonts w:ascii="Cambria Math" w:hAnsi="Cambria Math"/>
                </w:rPr>
                <m:t>EXPA</m:t>
              </m:r>
            </m:oMath>
            <w:r w:rsidRPr="002C0734">
              <w:rPr>
                <w:b/>
                <w:bCs/>
              </w:rPr>
              <w:t xml:space="preserve"> (solid green line) and </w:t>
            </w:r>
            <m:oMath>
              <m:r>
                <m:rPr>
                  <m:sty m:val="bi"/>
                </m:rPr>
                <w:rPr>
                  <w:rFonts w:ascii="Cambria Math" w:hAnsi="Cambria Math"/>
                </w:rPr>
                <m:t>EXPB</m:t>
              </m:r>
            </m:oMath>
            <w:r w:rsidRPr="002C0734">
              <w:rPr>
                <w:b/>
                <w:bCs/>
              </w:rPr>
              <w:t xml:space="preserve"> (dashed green line), along with two SSP validation experiments under hosing conditions (solide yellow line for SSP5-8.5 and dashed yellow line for SSP2-4.5).</w:t>
            </w:r>
            <w:r>
              <w:t xml:space="preserve"> The tipping points identified in </w:t>
            </w:r>
            <m:oMath>
              <m:r>
                <w:rPr>
                  <w:rFonts w:ascii="Cambria Math" w:hAnsi="Cambria Math"/>
                </w:rPr>
                <m:t>EXPA</m:t>
              </m:r>
            </m:oMath>
            <w:r>
              <w:t xml:space="preserve"> and </w:t>
            </w:r>
            <m:oMath>
              <m:r>
                <w:rPr>
                  <w:rFonts w:ascii="Cambria Math" w:hAnsi="Cambria Math"/>
                </w:rPr>
                <m:t>EXPB</m:t>
              </m:r>
            </m:oMath>
            <w:r>
              <w:t xml:space="preserve"> are indicated by the blue and red markers. The red dashed line, </w:t>
            </w:r>
            <m:oMath>
              <m:sSub>
                <m:sSubPr>
                  <m:ctrlPr>
                    <w:rPr>
                      <w:rFonts w:ascii="Cambria Math" w:hAnsi="Cambria Math"/>
                    </w:rPr>
                  </m:ctrlPr>
                </m:sSubPr>
                <m:e>
                  <m:r>
                    <w:rPr>
                      <w:rFonts w:ascii="Cambria Math" w:hAnsi="Cambria Math"/>
                    </w:rPr>
                    <m:t>W</m:t>
                  </m:r>
                </m:e>
                <m:sub>
                  <m:r>
                    <w:rPr>
                      <w:rFonts w:ascii="Cambria Math" w:hAnsi="Cambria Math"/>
                    </w:rPr>
                    <m:t>c</m:t>
                  </m:r>
                </m:sub>
              </m:sSub>
            </m:oMath>
            <w:r>
              <w:t>, represents the critical bifurcation manifold in the ATCM. The “Safe Zone” in the forcing space corresponds to the combinations of the two forcing variables that do not reach the bifurcation point, whereas t</w:t>
            </w:r>
            <w:r w:rsidRPr="000D5124">
              <w:t xml:space="preserve">he “Tipping Zone” </w:t>
            </w:r>
            <w:r>
              <w:t>corresponds to conditions exceeding this bifurcation threshold in the ATCM.</w:t>
            </w:r>
          </w:p>
        </w:tc>
        <w:tc>
          <w:tcPr>
            <w:tcW w:w="5028" w:type="dxa"/>
          </w:tcPr>
          <w:p w14:paraId="76A4E5CF" w14:textId="73A769F5" w:rsidR="00EA11B0" w:rsidRPr="006664F6" w:rsidRDefault="0023530F" w:rsidP="0056541C">
            <w:pPr>
              <w:pStyle w:val="BodyText"/>
              <w:rPr>
                <w:b/>
                <w:bCs/>
              </w:rPr>
            </w:pPr>
            <w:r w:rsidRPr="00EA11B0">
              <w:rPr>
                <w:b/>
                <w:bCs/>
              </w:rPr>
              <w:t xml:space="preserve">Figure 8: </w:t>
            </w:r>
            <w:r w:rsidR="006664F6">
              <w:rPr>
                <w:b/>
                <w:bCs/>
              </w:rPr>
              <w:t xml:space="preserve">Evolution of Temperature </w:t>
            </w:r>
            <m:oMath>
              <m:r>
                <m:rPr>
                  <m:sty m:val="bi"/>
                </m:rPr>
                <w:rPr>
                  <w:rFonts w:ascii="Cambria Math" w:hAnsi="Cambria Math"/>
                </w:rPr>
                <m:t xml:space="preserve">(T)  </m:t>
              </m:r>
            </m:oMath>
            <w:r w:rsidR="00691AC5">
              <w:rPr>
                <w:b/>
                <w:bCs/>
              </w:rPr>
              <w:t xml:space="preserve">and Greenland meltwater flux </w:t>
            </w:r>
            <w:r w:rsidR="006664F6">
              <w:rPr>
                <w:b/>
                <w:bCs/>
              </w:rPr>
              <w:t xml:space="preserve"> </w:t>
            </w:r>
            <m:oMath>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GIS</m:t>
                      </m:r>
                    </m:sub>
                  </m:sSub>
                </m:e>
              </m:d>
            </m:oMath>
            <w:r w:rsidRPr="00EA11B0">
              <w:rPr>
                <w:b/>
                <w:bCs/>
              </w:rPr>
              <w:t xml:space="preserve"> </w:t>
            </w:r>
            <w:r w:rsidR="00016460">
              <w:rPr>
                <w:b/>
                <w:bCs/>
              </w:rPr>
              <w:t>in SURFER under 15 emission scenarios</w:t>
            </w:r>
            <w:r>
              <w:rPr>
                <w:b/>
                <w:bCs/>
              </w:rPr>
              <w:t xml:space="preserve"> </w:t>
            </w:r>
            <w:r w:rsidRPr="00EA11B0">
              <w:rPr>
                <w:b/>
                <w:bCs/>
              </w:rPr>
              <w:t>(see Figure 6).</w:t>
            </w:r>
            <w:r w:rsidRPr="00EA11B0">
              <w:t xml:space="preserve"> The dots indicate the state of the AMOC at the end of the 10,000-year simulation: a blue dot represents </w:t>
            </w:r>
            <m:oMath>
              <m:r>
                <w:rPr>
                  <w:rFonts w:ascii="Cambria Math" w:hAnsi="Cambria Math"/>
                </w:rPr>
                <m:t>Ψ&gt;</m:t>
              </m:r>
              <m:sSup>
                <m:sSupPr>
                  <m:ctrlPr>
                    <w:rPr>
                      <w:rFonts w:ascii="Cambria Math" w:hAnsi="Cambria Math"/>
                    </w:rPr>
                  </m:ctrlPr>
                </m:sSupPr>
                <m:e>
                  <m:r>
                    <w:rPr>
                      <w:rFonts w:ascii="Cambria Math" w:hAnsi="Cambria Math"/>
                    </w:rPr>
                    <m:t>Ψ</m:t>
                  </m:r>
                </m:e>
                <m:sup>
                  <m:r>
                    <w:rPr>
                      <w:rFonts w:ascii="Cambria Math" w:hAnsi="Cambria Math"/>
                    </w:rPr>
                    <m:t>+</m:t>
                  </m:r>
                </m:sup>
              </m:sSup>
            </m:oMath>
            <w:r w:rsidRPr="00EA11B0">
              <w:t xml:space="preserve">, corresponding to an active AMOC state, while a red dot represents </w:t>
            </w:r>
            <m:oMath>
              <m:r>
                <w:rPr>
                  <w:rFonts w:ascii="Cambria Math" w:hAnsi="Cambria Math"/>
                </w:rPr>
                <m:t>Ψ&lt;0.1</m:t>
              </m:r>
            </m:oMath>
            <w:r w:rsidRPr="00EA11B0">
              <w:t xml:space="preserve">, indicating a collapsed state. </w:t>
            </w:r>
            <w:r w:rsidRPr="0023530F">
              <w:t>The labels corresponding to their associated emission scenarios (see Figure 6) are written in white inside these dots.</w:t>
            </w:r>
            <w:r>
              <w:t xml:space="preserve"> </w:t>
            </w:r>
            <w:r w:rsidRPr="00EA11B0">
              <w:t xml:space="preserve">The red dashed line,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Pr="00EA11B0">
              <w:t>​, denotes the critical bifurcation manifold in the ATCM, dividing the forcing space into the same two regions as defined in Figure 7.</w:t>
            </w:r>
          </w:p>
        </w:tc>
      </w:tr>
    </w:tbl>
    <w:p w14:paraId="0B31C479" w14:textId="77777777" w:rsidR="00FA1BE7" w:rsidRDefault="00FA1BE7" w:rsidP="002B7100">
      <w:pPr>
        <w:pStyle w:val="Heading2"/>
        <w:ind w:left="0"/>
        <w:rPr>
          <w:sz w:val="24"/>
          <w:szCs w:val="24"/>
        </w:rPr>
      </w:pPr>
    </w:p>
    <w:p w14:paraId="06E41D3A" w14:textId="290A4CD1" w:rsidR="002B7100" w:rsidRDefault="002B7100" w:rsidP="002B7100">
      <w:pPr>
        <w:pStyle w:val="Heading2"/>
        <w:ind w:left="0"/>
        <w:rPr>
          <w:sz w:val="24"/>
          <w:szCs w:val="24"/>
        </w:rPr>
      </w:pPr>
      <w:r>
        <w:rPr>
          <w:sz w:val="24"/>
          <w:szCs w:val="24"/>
        </w:rPr>
        <w:t xml:space="preserve">3.5 </w:t>
      </w:r>
      <w:r w:rsidR="0092538E" w:rsidRPr="0092538E">
        <w:rPr>
          <w:bCs/>
          <w:sz w:val="24"/>
          <w:szCs w:val="24"/>
        </w:rPr>
        <w:t>New Collapse Trajectories Captured by the Emulator</w:t>
      </w:r>
    </w:p>
    <w:p w14:paraId="048D9217" w14:textId="77777777" w:rsidR="002340F5" w:rsidRDefault="002340F5" w:rsidP="005F43DB"/>
    <w:p w14:paraId="024CF062" w14:textId="4EE37EC8" w:rsidR="00DC18BF" w:rsidRPr="00ED5B84" w:rsidRDefault="00DC18BF" w:rsidP="00DC18BF">
      <w:r w:rsidRPr="00ED5B84">
        <w:t xml:space="preserve">To highlight the importance of developing an AMOC emulator that accounts for both temperature and freshwater flux forcing within a reduced-complexity climate model, we compared two cases using the ATCM in SURFER. In the first case, both forcings are included; in the second, the freshwater flux forcing is deliberately disabled. In both cases, we applied the </w:t>
      </w:r>
      <w:r w:rsidR="007C4304">
        <w:t xml:space="preserve">emission scenarios </w:t>
      </w:r>
      <w:r w:rsidRPr="00ED5B84">
        <w:t>shown in Figure 6.</w:t>
      </w:r>
      <w:r>
        <w:t xml:space="preserve"> </w:t>
      </w:r>
      <w:r w:rsidRPr="00ED5B84">
        <w:t xml:space="preserve">When the freshwater flux forcing from GIS melting is deactivated (see Figure 9a), only the five highest emission scenarios (labelled 11 to 15) lead to an AMOC collapse during these 10,000-year simulations. However, when the freshwater forcing from the GIS is activated in SURFER, three additional scenarios (labelled 8 to 10) result in an AMOC collapse. These three scenarios correspond to total cumulative emissions ranging from 3000 </w:t>
      </w:r>
      <m:oMath>
        <m:r>
          <w:rPr>
            <w:rFonts w:ascii="Cambria Math" w:hAnsi="Cambria Math"/>
          </w:rPr>
          <m:t>PgC</m:t>
        </m:r>
      </m:oMath>
      <w:r>
        <w:t xml:space="preserve"> </w:t>
      </w:r>
      <w:r w:rsidRPr="00ED5B84">
        <w:t xml:space="preserve">to 3571 </w:t>
      </w:r>
      <m:oMath>
        <m:r>
          <w:rPr>
            <w:rFonts w:ascii="Cambria Math" w:hAnsi="Cambria Math"/>
          </w:rPr>
          <m:t>PgC</m:t>
        </m:r>
      </m:oMath>
      <w:r w:rsidRPr="00ED5B84">
        <w:t xml:space="preserve"> over the period 1750–2500 </w:t>
      </w:r>
      <w:r w:rsidR="00A80FE4">
        <w:t>CE</w:t>
      </w:r>
      <w:r w:rsidRPr="00ED5B84">
        <w:t>. In other words, they lie slightly below and above the cumulative total emissions associated with SSP3-7.0, as shown in Figure 6.</w:t>
      </w:r>
      <w:r>
        <w:t xml:space="preserve"> </w:t>
      </w:r>
      <w:r w:rsidRPr="00ED5B84">
        <w:t>Thus, in addition to reproducing the key result identified in the validation experiments—namely, that the emulator can simulate collapses that would not occur under temperature-only forcing—the emulator coupled with SURFER now allows the simulation of these collapse trajectories at low computational cost, without the need to rerun the full complex model.</w:t>
      </w:r>
    </w:p>
    <w:p w14:paraId="5D96F1F8" w14:textId="77777777" w:rsidR="008A4C9D" w:rsidRDefault="008A4C9D" w:rsidP="00893CD4"/>
    <w:p w14:paraId="4243FF82" w14:textId="2A36BAD0" w:rsidR="00D0733D" w:rsidRPr="007954DB" w:rsidRDefault="003842BC" w:rsidP="00893CD4">
      <w:r w:rsidRPr="007954DB">
        <w:t xml:space="preserve">Lastly, in these comparisons of the trajectories with the temperature bifurcation diagram computed by the emulator, two additional noteworthy observations can be made. When the freshwater flux forcing is excluded (see Figure 9a), the AMOC trajectories lie above the bifurcation diagram. In other words, the system is unable to track its stable equilibrium position. </w:t>
      </w:r>
      <w:r w:rsidR="00154EDB">
        <w:t>Indeed, rat</w:t>
      </w:r>
      <w:r w:rsidRPr="007954DB">
        <w:t>e of forcing</w:t>
      </w:r>
      <w:r w:rsidR="00154EDB">
        <w:t xml:space="preserve"> changes shifts</w:t>
      </w:r>
      <w:r w:rsidRPr="007954DB">
        <w:t xml:space="preserve"> the AMOC </w:t>
      </w:r>
      <w:r w:rsidR="00A20618">
        <w:t>significantly off</w:t>
      </w:r>
      <w:r w:rsidRPr="007954DB">
        <w:t xml:space="preserve"> the equilibrium position that would be observed in a hysteresis experiment. In Figure 9b, by contrast, the trajectories consistently lie below the temperature bifurcation diagram. This occurs because the trajectories are driven by two forcings, whereas here we are representing only the temperature bifurcation diagram (for the purpose of comparing the trajectories between Figures 9a and 9b) and not the bifurcation diagram corresponding to the combined effect of both forcings.</w:t>
      </w:r>
    </w:p>
    <w:tbl>
      <w:tblPr>
        <w:tblStyle w:val="TableGrid"/>
        <w:tblW w:w="10632"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0"/>
        <w:gridCol w:w="5312"/>
      </w:tblGrid>
      <w:tr w:rsidR="00DC6D8F" w14:paraId="6E2CAB5A" w14:textId="77777777" w:rsidTr="00D67A65">
        <w:trPr>
          <w:trHeight w:val="2479"/>
        </w:trPr>
        <w:tc>
          <w:tcPr>
            <w:tcW w:w="5320" w:type="dxa"/>
          </w:tcPr>
          <w:p w14:paraId="78770354" w14:textId="55589E89" w:rsidR="00EB23A5" w:rsidRDefault="00C759F9" w:rsidP="00893CD4">
            <w:pPr>
              <w:rPr>
                <w:b/>
                <w:bCs/>
                <w:sz w:val="19"/>
                <w:szCs w:val="19"/>
              </w:rPr>
            </w:pPr>
            <w:r>
              <w:rPr>
                <w:b/>
                <w:bCs/>
                <w:noProof/>
                <w:sz w:val="19"/>
                <w:szCs w:val="19"/>
              </w:rPr>
              <w:lastRenderedPageBreak/>
              <w:drawing>
                <wp:inline distT="0" distB="0" distL="0" distR="0" wp14:anchorId="43C6D013" wp14:editId="26FF40CD">
                  <wp:extent cx="3179928" cy="1589965"/>
                  <wp:effectExtent l="0" t="0" r="1905" b="0"/>
                  <wp:docPr id="746643387" name="Picture 5" descr="A graph showing the temperature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3387" name="Picture 5" descr="A graph showing the temperature of a riv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6962" cy="1603482"/>
                          </a:xfrm>
                          <a:prstGeom prst="rect">
                            <a:avLst/>
                          </a:prstGeom>
                        </pic:spPr>
                      </pic:pic>
                    </a:graphicData>
                  </a:graphic>
                </wp:inline>
              </w:drawing>
            </w:r>
          </w:p>
        </w:tc>
        <w:tc>
          <w:tcPr>
            <w:tcW w:w="5312" w:type="dxa"/>
          </w:tcPr>
          <w:p w14:paraId="08C7A5B4" w14:textId="363C8055" w:rsidR="00CA7D0D" w:rsidRDefault="00C759F9" w:rsidP="00893CD4">
            <w:pPr>
              <w:rPr>
                <w:b/>
                <w:bCs/>
                <w:sz w:val="19"/>
                <w:szCs w:val="19"/>
              </w:rPr>
            </w:pPr>
            <w:r>
              <w:rPr>
                <w:b/>
                <w:bCs/>
                <w:noProof/>
                <w:sz w:val="19"/>
                <w:szCs w:val="19"/>
              </w:rPr>
              <w:drawing>
                <wp:inline distT="0" distB="0" distL="0" distR="0" wp14:anchorId="4A141BBD" wp14:editId="39F27F02">
                  <wp:extent cx="3173104" cy="1586552"/>
                  <wp:effectExtent l="0" t="0" r="8255" b="0"/>
                  <wp:docPr id="136977801" name="Picture 6" descr="A diagram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801" name="Picture 6" descr="A diagram of a temperatur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1978" cy="1605989"/>
                          </a:xfrm>
                          <a:prstGeom prst="rect">
                            <a:avLst/>
                          </a:prstGeom>
                        </pic:spPr>
                      </pic:pic>
                    </a:graphicData>
                  </a:graphic>
                </wp:inline>
              </w:drawing>
            </w:r>
          </w:p>
        </w:tc>
      </w:tr>
    </w:tbl>
    <w:p w14:paraId="54768FBC" w14:textId="4956D202" w:rsidR="00D0733D" w:rsidRPr="00D0733D" w:rsidRDefault="008B0D90" w:rsidP="00D0733D">
      <w:pPr>
        <w:rPr>
          <w:sz w:val="19"/>
          <w:szCs w:val="19"/>
        </w:rPr>
      </w:pPr>
      <w:r w:rsidRPr="00B56B65">
        <w:rPr>
          <w:b/>
          <w:bCs/>
          <w:sz w:val="19"/>
          <w:szCs w:val="19"/>
        </w:rPr>
        <w:t xml:space="preserve">Figure 9: Temperature bifurcation diagram from the ATCM showing </w:t>
      </w:r>
      <w:r w:rsidR="00006F90">
        <w:rPr>
          <w:b/>
          <w:bCs/>
          <w:sz w:val="19"/>
          <w:szCs w:val="19"/>
        </w:rPr>
        <w:t xml:space="preserve">the </w:t>
      </w:r>
      <w:r w:rsidRPr="00B56B65">
        <w:rPr>
          <w:b/>
          <w:bCs/>
          <w:sz w:val="19"/>
          <w:szCs w:val="19"/>
        </w:rPr>
        <w:t>15 AMOC trajectories in the case where only temperature forcing is applied (a) and when freshwater forcing is also included (b).</w:t>
      </w:r>
      <w:r w:rsidRPr="00B56B65">
        <w:rPr>
          <w:sz w:val="19"/>
          <w:szCs w:val="19"/>
        </w:rPr>
        <w:t xml:space="preserve"> The 15 trajectories are computed based on the emissions scenarios described in Figure 6. </w:t>
      </w:r>
      <w:r w:rsidR="00F61186" w:rsidRPr="00F61186">
        <w:rPr>
          <w:sz w:val="19"/>
          <w:szCs w:val="19"/>
        </w:rPr>
        <w:t>AMOC trajectories are colored from blue for the lowest-emission scenarios to red for the highest-emission scenarios, with labels corresponding to those in Figure 6.</w:t>
      </w:r>
      <w:r w:rsidR="00CB46B8">
        <w:rPr>
          <w:sz w:val="19"/>
          <w:szCs w:val="19"/>
        </w:rPr>
        <w:t xml:space="preserve"> </w:t>
      </w:r>
      <w:r w:rsidR="00D0733D" w:rsidRPr="00D0733D">
        <w:rPr>
          <w:sz w:val="19"/>
          <w:szCs w:val="19"/>
        </w:rPr>
        <w:t xml:space="preserve">The black curve represents the temperature bifurcation diagram computed by the ATCM based on </w:t>
      </w:r>
      <m:oMath>
        <m:r>
          <w:rPr>
            <w:rFonts w:ascii="Cambria Math" w:hAnsi="Cambria Math"/>
            <w:sz w:val="19"/>
            <w:szCs w:val="19"/>
          </w:rPr>
          <m:t>EXPA</m:t>
        </m:r>
      </m:oMath>
      <w:r w:rsidR="00D0733D" w:rsidRPr="00D0733D">
        <w:rPr>
          <w:sz w:val="19"/>
          <w:szCs w:val="19"/>
        </w:rPr>
        <w:t>.</w:t>
      </w:r>
    </w:p>
    <w:p w14:paraId="73B85F77" w14:textId="6374F460" w:rsidR="00CA7D0D" w:rsidRPr="00F61186" w:rsidRDefault="00CA7D0D" w:rsidP="00893CD4">
      <w:pPr>
        <w:rPr>
          <w:sz w:val="19"/>
          <w:szCs w:val="19"/>
        </w:rPr>
      </w:pPr>
    </w:p>
    <w:p w14:paraId="38257669" w14:textId="77777777" w:rsidR="00281C04" w:rsidRPr="00ED07DF" w:rsidRDefault="00281C04" w:rsidP="003877A6"/>
    <w:p w14:paraId="4FD7E855" w14:textId="7CBF2C59" w:rsidR="004B201E" w:rsidRPr="00ED07DF" w:rsidRDefault="00B84193">
      <w:pPr>
        <w:pStyle w:val="Heading1"/>
      </w:pPr>
      <w:r w:rsidRPr="00ED07DF">
        <w:t>4. Discussion</w:t>
      </w:r>
    </w:p>
    <w:p w14:paraId="176AABFB" w14:textId="77777777" w:rsidR="0069475B" w:rsidRPr="00006E52" w:rsidRDefault="0069475B" w:rsidP="003877A6"/>
    <w:p w14:paraId="67E3BCA4" w14:textId="25D8AD94" w:rsidR="0009327B" w:rsidRPr="009E344C" w:rsidRDefault="00A759A3" w:rsidP="0009327B">
      <w:r>
        <w:t>W</w:t>
      </w:r>
      <w:r w:rsidR="0009327B" w:rsidRPr="009E344C">
        <w:t xml:space="preserve">e developed a two-forcing-variable AMOC emulator that can be calibrated using only three </w:t>
      </w:r>
      <w:r w:rsidR="0009327B">
        <w:t>calibration</w:t>
      </w:r>
      <w:r w:rsidR="0009327B" w:rsidRPr="009E344C">
        <w:t xml:space="preserve"> experiments. The differences between the ATCM and cGENIE during the calibration phase can be attributed to two factors: the inherent limitations of the conceptual approach and constraints within the ATCM calibration module. The first factor stems from the intrinsic simplifications involved in fitting a double-fold structure to a complex hysteresis. These limitations were </w:t>
      </w:r>
      <w:r w:rsidR="005861C1">
        <w:t>expected</w:t>
      </w:r>
      <w:r w:rsidR="0009327B" w:rsidRPr="009E344C">
        <w:t xml:space="preserve">. From a technical standpoint, fitting a third-order polynomial to a complex curve is expected to introduce a non-negligible discrepancy between the approximation and the behaviour of the full complex model. The challenge, therefore, is to identify the most effective approach to minimize this inherent error. In the following, we describe the </w:t>
      </w:r>
      <w:r w:rsidR="005861C1">
        <w:t xml:space="preserve">origin </w:t>
      </w:r>
      <w:r w:rsidR="0009327B" w:rsidRPr="009E344C">
        <w:t>of these approximations and the strategies implemented to mitigate their impact.</w:t>
      </w:r>
    </w:p>
    <w:p w14:paraId="7E6A7774" w14:textId="77777777" w:rsidR="007F787B" w:rsidRDefault="007F787B"/>
    <w:p w14:paraId="6182EB46" w14:textId="4EC55D76" w:rsidR="00D84A76" w:rsidRDefault="00B84193">
      <w:r>
        <w:t xml:space="preserve">The first source of error in the calibration module arises from the values of the independent term </w:t>
      </w:r>
      <m:oMath>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which must take the same value across all sensitivity experiments. As outlined in the Methods section, the coefficient is over-determined across the two sensitivity experiments. Consequently, a specific value of </w:t>
      </w:r>
      <m:oMath>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is selected based on one calibration experiment, but this value may not apply to the other. This approach implies that our simplified model is calibrated to the bifurcation points of one </w:t>
      </w:r>
      <w:r w:rsidR="00C10218">
        <w:t>calibration</w:t>
      </w:r>
      <w:r>
        <w:t xml:space="preserve"> experiment (temperature forcing) but not the other (freshwater flux forcing). However, the decision to minimize error for temperature forcing is justified because this forcing is the dominant factor influencing the AMOC </w:t>
      </w:r>
      <w:r>
        <w:fldChar w:fldCharType="begin"/>
      </w:r>
      <w:r w:rsidR="008C6149">
        <w:instrText xml:space="preserve"> ADDIN ZOTERO_ITEM CSL_CITATION {"citationID":"fN2mCtGR","properties":{"formattedCitation":"(13,14,56)","plainCitation":"(13,14,56)","noteIndex":0},"citationItems":[{"id":6586,"uris":["http://zotero.org/users/7129331/items/I79XA89E"],"itemData":{"id":6586,"type":"article-journal","abstract":"In a transient warming scenario, the North Atlantic is influenced by a complex pattern of surface buoyancy flux changes that ultimately weaken the Atlantic meridional overturning circulation (AMOC). Here we study the AMOC response in the CMIP5 experiment, using the near-geostrophic balance of the AMOC on interannual time scales to identify the role of temperature and salinity changes in altering the circulation. The thermal wind relationship is used to quantify changes in the zonal density gradients that control the strength of the flow. At 40°N, where the overturning cell is at its strongest, weakening of the AMOC is largely driven by warming between 1000- and 2000-m depth along the western margin. Despite significant subpolar surface freshening, salinity changes are small in the deep branch of the circulation. This is likely due to the influence of anomalously salty water in the subpolar intermediate layers, which is carried northward from the subtropics in the upper limb of the AMOC. In the upper 1000 m at 40°N, salty anomalies due to increased evaporation largely cancel the buoyancy increase due to warming. Therefore, in CMIP5, temperature dynamics are responsible for AMOC weakening, while freshwater forcing instead acts to strengthen the circulation in the net. These results indicate that past modeling studies of AMOC weakening, which rely on freshwater hosing in the subpolar gyre, may not be directly applicable to a more complex warming scenario.","container-title":"Journal of Climate","DOI":"10.1175/JCLI-D-19-0547.1","ISSN":"0894-8755, 1520-0442","issue":"4","language":"EN","note":"publisher: American Meteorological Society\nsection: Journal of Climate","page":"1535-1545","source":"journals.ametsoc.org","title":"What Causes the AMOC to Weaken in CMIP5?","volume":"33","author":[{"family":"Levang","given":"Samuel J."},{"family":"Schmitt","given":"Raymond W."}],"issued":{"date-parts":[["2020",2,15]]}}},{"id":6496,"uris":["http://zotero.org/users/7129331/items/LFPLFEM3"],"itemData":{"id":6496,"type":"article-journal","abstract":"It is now established that the increase in atmospheric CO2 is likely to cause a weakening, or perhaps a collapse, of the Atlantic Meridional Overturning Circulation (AMOC). To investigate the mechanisms of this response in CMIP5 models, Levang and Schmitt (2020) have estimated the geostrophic streamfunction in these models offline and have decomposed the simulated changes into a contribution caused by the variations in temperature and salinity. They concluded that under a warming scenario, and for most models, the weakening of the AMOC is fundamentally driven by temperature anomalies, while freshwater forcing actually acts to stabilise it. However, given that both 3-D fields of ocean temperature and salinity are expected to respond to a forcing at the ocean surface, it is unclear to what extent the diagnostic is informative about the nature of the forcing. To clarify this question, we used the Earth system Model of Intermediate Complexity (EMIC), cGENIE, which is equipped with the C-GOLDSTEIN friction-geostrophic model. First, we reproduced the experiments simulating the Representative Concentration Pathway 8.5 (RCP8.5) warming scenario and observed that cGENIE behaves similarly to the majority of the CMIP5 models considered by Levang and Schmitt (2020), with the response dominated by the changes in the thermal structure of the ocean. Next, we considered hysteresis experiments associated with (1) water hosing and (2) CO2 increase and decrease. In all experiments, initial changes in the ocean streamfunction appear to be primarily caused by the changes in the temperature distribution, with variations in the 3-D distribution of salinity only partly compensating for the temperature contribution. These experiments also reveal limited sensitivity to changes in the ocean's salinity inventory. That the diagnostics behave similarly in CO2 and freshwater forcing scenarios suggests that the output of the diagnostic proposed in Levang and Schmitt (2020) is mainly determined by the internal structure of the ocean circulation rather than by the forcing applied to it. Our results illustrate the difficulty of inferring any information about the applied forcing from the thermal wind diagnostic and raise questions about the feasibility of designing a diagnostic or experiment that could identify which aspect of the forcing (thermal or haline) is driving the weakening of the AMOC.","container-title":"Earth System Dynamics","DOI":"10.5194/esd-15-293-2024","ISSN":"2190-4979","issue":"2","language":"English","note":"publisher: Copernicus GmbH","page":"293-306","source":"Copernicus Online Journals","title":"Diagnosing the causes of AMOC slowdown in a coupled model: a cautionary tale","title-short":"Diagnosing the causes of AMOC slowdown in a coupled model","volume":"15","author":[{"family":"Gérard","given":"Justin"},{"family":"Crucifix","given":"Michel"}],"issued":{"date-parts":[["2024",3,22]]}}},{"id":4650,"uris":["http://zotero.org/users/7129331/items/FHRY5KL4"],"itemData":{"id":4650,"type":"article-journal","abstract":"Climate models underestimate the possibility of a collapsed Atlantic Meridional Overturning Circulation under climate warming.\n          , \n            \n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CO\n              2\n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projection.","container-title":"Science Advances","DOI":"10.1126/sciadv.1601666","ISSN":"2375-2548","issue":"1","journalAbbreviation":"Sci. Adv.","language":"en","page":"e1601666","source":"DOI.org (Crossref)","title":"Overlooked possibility of a collapsed Atlantic Meridional Overturning Circulation in warming climate","volume":"3","author":[{"family":"Liu","given":"Wei"},{"family":"Xie","given":"Shang-Ping"},{"family":"Liu","given":"Zhengyu"},{"family":"Zhu","given":"Jiang"}],"issued":{"date-parts":[["2017",1,6]]}}}],"schema":"https://github.com/citation-style-language/schema/raw/master/csl-citation.json"} </w:instrText>
      </w:r>
      <w:r>
        <w:fldChar w:fldCharType="separate"/>
      </w:r>
      <w:r w:rsidR="008C6149" w:rsidRPr="008C6149">
        <w:t>(13,14,56)</w:t>
      </w:r>
      <w:r>
        <w:fldChar w:fldCharType="end"/>
      </w:r>
      <w:r>
        <w:t>.</w:t>
      </w:r>
    </w:p>
    <w:p w14:paraId="6D6E1EEE" w14:textId="77777777" w:rsidR="00B96198" w:rsidRPr="00B96198" w:rsidRDefault="00B96198" w:rsidP="00B96198">
      <w:r w:rsidRPr="00B96198">
        <w:t>A second limitation of the ATCM is that we did not impose the value of the AMOC intensity at preindustrial levels, as doing so would introduce an additional constraint and thereby limit experimental flexibility.</w:t>
      </w:r>
    </w:p>
    <w:p w14:paraId="7CDE187C" w14:textId="1BF2E0B4" w:rsidR="00745FDB" w:rsidRPr="00745383" w:rsidRDefault="00BA7842" w:rsidP="00745FDB">
      <w:r w:rsidRPr="00BA7842">
        <w:t xml:space="preserve">Furthermore, in the calibration experiments </w:t>
      </w:r>
      <m:oMath>
        <m:r>
          <w:rPr>
            <w:rFonts w:ascii="Cambria Math" w:hAnsi="Cambria Math"/>
          </w:rPr>
          <m:t>EXPA</m:t>
        </m:r>
      </m:oMath>
      <w:r w:rsidR="00A5660B">
        <w:t xml:space="preserve"> and </w:t>
      </w:r>
      <m:oMath>
        <m:r>
          <w:rPr>
            <w:rFonts w:ascii="Cambria Math" w:hAnsi="Cambria Math"/>
          </w:rPr>
          <m:t>EXPB</m:t>
        </m:r>
      </m:oMath>
      <w:r w:rsidRPr="00BA7842">
        <w:t xml:space="preserve">, we used the following values for the forcings held constant: </w:t>
      </w:r>
      <m:oMath>
        <m:sSubSup>
          <m:sSubSupPr>
            <m:ctrlPr>
              <w:rPr>
                <w:rFonts w:ascii="Cambria Math" w:hAnsi="Cambria Math"/>
                <w:i/>
              </w:rPr>
            </m:ctrlPr>
          </m:sSubSupPr>
          <m:e>
            <m:r>
              <w:rPr>
                <w:rFonts w:ascii="Cambria Math" w:hAnsi="Cambria Math"/>
              </w:rPr>
              <m:t xml:space="preserve"> F</m:t>
            </m:r>
          </m:e>
          <m:sub>
            <m:r>
              <w:rPr>
                <w:rFonts w:ascii="Cambria Math" w:hAnsi="Cambria Math"/>
              </w:rPr>
              <m:t xml:space="preserve">GIS </m:t>
            </m:r>
          </m:sub>
          <m:sup>
            <m:r>
              <w:rPr>
                <w:rFonts w:ascii="Cambria Math" w:hAnsi="Cambria Math"/>
              </w:rPr>
              <m:t>A</m:t>
            </m:r>
          </m:sup>
        </m:sSubSup>
        <m:r>
          <w:rPr>
            <w:rFonts w:ascii="Cambria Math" w:hAnsi="Cambria Math"/>
          </w:rPr>
          <m:t xml:space="preserve">=0 </m:t>
        </m:r>
        <m:r>
          <w:rPr>
            <w:rFonts w:ascii="Cambria Math" w:hAnsi="Cambria Math"/>
            <w:lang w:val="fr-BE"/>
          </w:rPr>
          <m:t>Sv</m:t>
        </m:r>
      </m:oMath>
      <w:r w:rsidRPr="00745383">
        <w:t xml:space="preserve"> and </w:t>
      </w:r>
      <m:oMath>
        <m:sSup>
          <m:sSupPr>
            <m:ctrlPr>
              <w:rPr>
                <w:rFonts w:ascii="Cambria Math" w:hAnsi="Cambria Math"/>
                <w:i/>
                <w:lang w:val="fr-BE"/>
              </w:rPr>
            </m:ctrlPr>
          </m:sSupPr>
          <m:e>
            <m:r>
              <w:rPr>
                <w:rFonts w:ascii="Cambria Math" w:hAnsi="Cambria Math"/>
                <w:lang w:val="fr-BE"/>
              </w:rPr>
              <m:t>T</m:t>
            </m:r>
          </m:e>
          <m:sup>
            <m:r>
              <w:rPr>
                <w:rFonts w:ascii="Cambria Math" w:hAnsi="Cambria Math"/>
                <w:lang w:val="fr-BE"/>
              </w:rPr>
              <m:t>B</m:t>
            </m:r>
          </m:sup>
        </m:sSup>
        <m:r>
          <w:rPr>
            <w:rFonts w:ascii="Cambria Math" w:hAnsi="Cambria Math"/>
          </w:rPr>
          <m:t>=0 °</m:t>
        </m:r>
        <m:r>
          <w:rPr>
            <w:rFonts w:ascii="Cambria Math" w:hAnsi="Cambria Math"/>
            <w:lang w:val="fr-BE"/>
          </w:rPr>
          <m:t>C</m:t>
        </m:r>
      </m:oMath>
      <w:r w:rsidRPr="00BA7842">
        <w:t xml:space="preserve">. </w:t>
      </w:r>
      <w:r w:rsidR="00B82134">
        <w:t>In principle,</w:t>
      </w:r>
      <w:r w:rsidRPr="00BA7842">
        <w:t xml:space="preserve"> these parameters </w:t>
      </w:r>
      <w:r w:rsidR="007102B0">
        <w:t xml:space="preserve">could be constant and not zero. </w:t>
      </w:r>
      <w:r w:rsidRPr="00BA7842">
        <w:t xml:space="preserve">However, there is a scientific rationale behind our choice. </w:t>
      </w:r>
      <w:r w:rsidR="00177BA8" w:rsidRPr="00745383">
        <w:t xml:space="preserve">First, the prevailing approach in the literature when conducting AMOC hysteresis experiments is to vary one forcing while keeping the other (if included) fixed at zero. </w:t>
      </w:r>
      <w:r w:rsidR="009C0F06">
        <w:t>This</w:t>
      </w:r>
      <w:r w:rsidR="00177BA8" w:rsidRPr="00745383">
        <w:t xml:space="preserve"> helps reduce the spin-up period in</w:t>
      </w:r>
      <w:r w:rsidR="00964F82">
        <w:t xml:space="preserve"> the</w:t>
      </w:r>
      <w:r w:rsidR="00177BA8" w:rsidRPr="00745383">
        <w:t xml:space="preserve"> complex model simulations. </w:t>
      </w:r>
      <w:r w:rsidR="00D818C9">
        <w:t>Our</w:t>
      </w:r>
      <w:r w:rsidRPr="00BA7842">
        <w:t xml:space="preserve"> methodological choice is therefore supported by a broader </w:t>
      </w:r>
      <w:r w:rsidR="009C0F06">
        <w:t xml:space="preserve">availability of </w:t>
      </w:r>
      <w:r w:rsidRPr="00BA7842">
        <w:t xml:space="preserve">simulation data. Finally, as shown in Figures 7 and 8, the emulator allows us to estimate the critical manifold of the emulated </w:t>
      </w:r>
      <w:r w:rsidR="00EB1B08">
        <w:t>simulator</w:t>
      </w:r>
      <w:r w:rsidRPr="00BA7842">
        <w:t xml:space="preserve"> by assuming that this manifold is a straight line. Given a similar uncertainty in the estimated position of each tipping point, the probability of accurately approximating the true line increases when the two bifurcation points used to define it are farther apart.</w:t>
      </w:r>
      <w:r w:rsidR="00746E94">
        <w:t xml:space="preserve"> </w:t>
      </w:r>
      <w:r w:rsidR="00746F2B" w:rsidRPr="00746F2B">
        <w:t xml:space="preserve">However, if </w:t>
      </w:r>
      <w:r w:rsidR="00FA0802">
        <w:t>users</w:t>
      </w:r>
      <w:r w:rsidR="00746F2B" w:rsidRPr="00746F2B">
        <w:t xml:space="preserve"> wish to characterize the critical manifold in more detail, it would be valuable to conduct additional hysteresis experiments using non-zero constant values for </w:t>
      </w:r>
      <m:oMath>
        <m:sSubSup>
          <m:sSubSupPr>
            <m:ctrlPr>
              <w:rPr>
                <w:rFonts w:ascii="Cambria Math" w:hAnsi="Cambria Math"/>
                <w:i/>
              </w:rPr>
            </m:ctrlPr>
          </m:sSubSupPr>
          <m:e>
            <m:r>
              <w:rPr>
                <w:rFonts w:ascii="Cambria Math" w:hAnsi="Cambria Math"/>
              </w:rPr>
              <m:t xml:space="preserve"> F</m:t>
            </m:r>
          </m:e>
          <m:sub>
            <m:r>
              <w:rPr>
                <w:rFonts w:ascii="Cambria Math" w:hAnsi="Cambria Math"/>
              </w:rPr>
              <m:t xml:space="preserve">GIS </m:t>
            </m:r>
          </m:sub>
          <m:sup>
            <m:r>
              <w:rPr>
                <w:rFonts w:ascii="Cambria Math" w:hAnsi="Cambria Math"/>
              </w:rPr>
              <m:t>A</m:t>
            </m:r>
          </m:sup>
        </m:sSubSup>
      </m:oMath>
      <w:r w:rsidR="0005600C">
        <w:t>or</w:t>
      </w:r>
      <w:r w:rsidR="00746F2B" w:rsidRPr="00745383">
        <w:t xml:space="preserve"> </w:t>
      </w:r>
      <m:oMath>
        <m:sSup>
          <m:sSupPr>
            <m:ctrlPr>
              <w:rPr>
                <w:rFonts w:ascii="Cambria Math" w:hAnsi="Cambria Math"/>
                <w:i/>
                <w:lang w:val="fr-BE"/>
              </w:rPr>
            </m:ctrlPr>
          </m:sSupPr>
          <m:e>
            <m:r>
              <w:rPr>
                <w:rFonts w:ascii="Cambria Math" w:hAnsi="Cambria Math"/>
                <w:lang w:val="fr-BE"/>
              </w:rPr>
              <m:t>T</m:t>
            </m:r>
          </m:e>
          <m:sup>
            <m:r>
              <w:rPr>
                <w:rFonts w:ascii="Cambria Math" w:hAnsi="Cambria Math"/>
                <w:lang w:val="fr-BE"/>
              </w:rPr>
              <m:t>B</m:t>
            </m:r>
          </m:sup>
        </m:sSup>
      </m:oMath>
      <w:r w:rsidR="00013C6A">
        <w:t xml:space="preserve">. </w:t>
      </w:r>
      <w:r w:rsidR="00745FDB" w:rsidRPr="00745383">
        <w:t xml:space="preserve">This would make it possible to test the robustness of the assumption that the critical manifold is linear in the </w:t>
      </w:r>
      <w:r w:rsidR="00711B73">
        <w:t>simulator</w:t>
      </w:r>
      <w:r w:rsidR="00745FDB" w:rsidRPr="00745383">
        <w:t>.</w:t>
      </w:r>
    </w:p>
    <w:p w14:paraId="0620F5B5" w14:textId="77777777" w:rsidR="009215E1" w:rsidRPr="00B33C7A" w:rsidRDefault="009215E1"/>
    <w:p w14:paraId="09939DB3" w14:textId="3FD9AE45" w:rsidR="009215E1" w:rsidRPr="00BF7B3B" w:rsidRDefault="009215E1">
      <w:r w:rsidRPr="009215E1">
        <w:t xml:space="preserve">In addition to the differences observed in fitting the bifurcation diagram, limitations of the emulator became apparent during the calibration of the </w:t>
      </w:r>
      <m:oMath>
        <m:r>
          <w:rPr>
            <w:rFonts w:ascii="Cambria Math" w:hAnsi="Cambria Math"/>
          </w:rPr>
          <m:t>τ</m:t>
        </m:r>
      </m:oMath>
      <w:r>
        <w:t xml:space="preserve"> </w:t>
      </w:r>
      <w:r w:rsidRPr="009215E1">
        <w:t xml:space="preserve">parameter. Although we developed a method to numerically calibrate this parameter based on the identification of the collapse timing in the </w:t>
      </w:r>
      <w:r w:rsidR="00711B73">
        <w:t>simulator</w:t>
      </w:r>
      <w:r w:rsidRPr="009215E1">
        <w:t xml:space="preserve">, </w:t>
      </w:r>
      <w:r w:rsidRPr="009215E1">
        <w:lastRenderedPageBreak/>
        <w:t xml:space="preserve">Figure 3(a) reveals substantial differences between the two transient trajectories. </w:t>
      </w:r>
      <w:r w:rsidR="00790BC8" w:rsidRPr="00790BC8">
        <w:t xml:space="preserve">This discrepancy arises because, in a complex model such as cGENIE, the AMOC may be sensitive not only to the absolute magnitude of the forcing but also to its rate of change over time. </w:t>
      </w:r>
      <w:r w:rsidRPr="00BF7B3B">
        <w:t xml:space="preserve">This rate dependence </w:t>
      </w:r>
      <w:r w:rsidR="003C1B50" w:rsidRPr="00F945FD">
        <w:t>causes</w:t>
      </w:r>
      <w:r w:rsidRPr="00BF7B3B">
        <w:t xml:space="preserve"> cGENIE </w:t>
      </w:r>
      <w:r w:rsidR="003C1B50" w:rsidRPr="00F945FD">
        <w:t xml:space="preserve">to </w:t>
      </w:r>
      <w:r w:rsidRPr="00BF7B3B">
        <w:t>simulat</w:t>
      </w:r>
      <w:r w:rsidR="003C1B50" w:rsidRPr="00F945FD">
        <w:t>e</w:t>
      </w:r>
      <w:r w:rsidRPr="00BF7B3B">
        <w:t xml:space="preserve"> a much more abrupt AMOC collapse than the ATCM</w:t>
      </w:r>
      <w:r w:rsidR="00BF7B3B" w:rsidRPr="00F945FD">
        <w:t>,</w:t>
      </w:r>
      <w:r w:rsidR="00BF7B3B">
        <w:t xml:space="preserve"> </w:t>
      </w:r>
      <w:r w:rsidR="00BF7B3B" w:rsidRPr="00BF7B3B">
        <w:t>despite</w:t>
      </w:r>
      <w:r w:rsidR="00BF7B3B">
        <w:t xml:space="preserve"> </w:t>
      </w:r>
      <m:oMath>
        <m:r>
          <w:rPr>
            <w:rFonts w:ascii="Cambria Math" w:hAnsi="Cambria Math"/>
          </w:rPr>
          <m:t>τ</m:t>
        </m:r>
      </m:oMath>
      <w:r w:rsidR="00BF7B3B">
        <w:t xml:space="preserve"> </w:t>
      </w:r>
      <w:r w:rsidR="00BF7B3B" w:rsidRPr="00BF7B3B">
        <w:t>being calibrated so that the timing of the collapse matches in both models.</w:t>
      </w:r>
    </w:p>
    <w:p w14:paraId="6FFD23E9" w14:textId="77777777" w:rsidR="00A210B2" w:rsidRPr="00BF7B3B" w:rsidRDefault="00A210B2"/>
    <w:p w14:paraId="6C265013" w14:textId="7995D347" w:rsidR="00777AAB" w:rsidRPr="007B05BC" w:rsidRDefault="00257BDD" w:rsidP="00777AAB">
      <w:r w:rsidRPr="00257BDD">
        <w:t>After calibrating the simplified AMOC dynamics, the emulator was tested in four additional experiments, including two that combined both forcing variables.</w:t>
      </w:r>
      <w:r>
        <w:t xml:space="preserve"> </w:t>
      </w:r>
      <w:r w:rsidR="00777AAB" w:rsidRPr="007B05BC">
        <w:t xml:space="preserve">The results indicate that the emulator performs well according to three criteria: (i) correctly predicting whether a collapse occurs in the </w:t>
      </w:r>
      <w:r w:rsidR="0097268E">
        <w:t>simulator</w:t>
      </w:r>
      <w:r w:rsidR="00777AAB" w:rsidRPr="007B05BC">
        <w:t>, (ii) reproducing the timing of such a collapse, and (iii) capturing the AMOC response under the combined influence of temperature and freshwater flux. For criteria (i) and (ii</w:t>
      </w:r>
      <w:r w:rsidR="00777AAB">
        <w:t>i</w:t>
      </w:r>
      <w:r w:rsidR="00777AAB" w:rsidRPr="007B05BC">
        <w:t xml:space="preserve">), the emulator reproduces the results of the </w:t>
      </w:r>
      <w:r w:rsidR="0097268E">
        <w:t>simulator</w:t>
      </w:r>
      <w:r w:rsidR="00777AAB" w:rsidRPr="007B05BC">
        <w:t xml:space="preserve"> exactly. </w:t>
      </w:r>
      <w:r w:rsidR="00D64CCD">
        <w:t>R</w:t>
      </w:r>
      <w:r w:rsidR="00777AAB" w:rsidRPr="007B05BC">
        <w:t xml:space="preserve">egarding criterion (ii), the emulator tends to slightly anticipate the timing of a complete AMOC collapse compared to the </w:t>
      </w:r>
      <w:r w:rsidR="00F2685F">
        <w:t>simulator</w:t>
      </w:r>
      <w:r w:rsidR="00777AAB" w:rsidRPr="007B05BC">
        <w:t xml:space="preserve">. This occurs in scenarios with weaker forcing than in our chosen </w:t>
      </w:r>
      <m:oMath>
        <m:r>
          <w:rPr>
            <w:rFonts w:ascii="Cambria Math" w:hAnsi="Cambria Math"/>
          </w:rPr>
          <m:t>EXPC</m:t>
        </m:r>
      </m:oMath>
      <w:r w:rsidR="00777AAB">
        <w:t xml:space="preserve"> </w:t>
      </w:r>
      <w:r w:rsidR="00777AAB" w:rsidRPr="007B05BC">
        <w:t xml:space="preserve">experiment, which applies a 1% per year increase in </w:t>
      </w: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oMath>
      <w:r w:rsidR="00777AAB">
        <w:t xml:space="preserve"> </w:t>
      </w:r>
      <w:r w:rsidR="00777AAB" w:rsidRPr="007B05BC">
        <w:t xml:space="preserve">concentration. </w:t>
      </w:r>
      <w:r w:rsidR="00777AAB" w:rsidRPr="00777AAB">
        <w:t xml:space="preserve">Nevertheless, the AMOC intensity in the </w:t>
      </w:r>
      <w:r w:rsidR="00D64CCD">
        <w:t>simulator is</w:t>
      </w:r>
      <w:r w:rsidR="00777AAB" w:rsidRPr="00777AAB">
        <w:t xml:space="preserve"> below 15% at that time, which can still be considered qualitatively as a collapsed state.</w:t>
      </w:r>
      <w:r w:rsidR="00777AAB" w:rsidRPr="007B05BC">
        <w:t xml:space="preserve"> These results demonstrate the emulator’s capability to provide </w:t>
      </w:r>
      <w:r w:rsidR="00945773">
        <w:t>an</w:t>
      </w:r>
      <w:r w:rsidR="00777AAB" w:rsidRPr="007B05BC">
        <w:t xml:space="preserve"> accurate representation of near-future AMOC collapse trajectories under realistic emission scenarios. For studies involving much slower forcing rates, it would be advisable to use a transient AMOC experiment with a slower forcing than the 1% CO₂ increase per year </w:t>
      </w:r>
      <m:oMath>
        <m:r>
          <w:rPr>
            <w:rFonts w:ascii="Cambria Math" w:hAnsi="Cambria Math"/>
          </w:rPr>
          <m:t>EXPC</m:t>
        </m:r>
      </m:oMath>
      <w:r w:rsidR="00777AAB" w:rsidRPr="007B05BC">
        <w:t>. Otherwise, the emulator may overestimate</w:t>
      </w:r>
      <w:r w:rsidR="00777AAB">
        <w:t xml:space="preserve"> even more</w:t>
      </w:r>
      <w:r w:rsidR="00777AAB" w:rsidRPr="007B05BC">
        <w:t xml:space="preserve"> the timing of total collapse (see Supplementary Figure S7).</w:t>
      </w:r>
    </w:p>
    <w:p w14:paraId="52CD91A8" w14:textId="77777777" w:rsidR="004B201E" w:rsidRPr="00BC72BB" w:rsidRDefault="004B201E"/>
    <w:p w14:paraId="173EA83B" w14:textId="088A5A6E" w:rsidR="005D5C0F" w:rsidRDefault="00B915DD" w:rsidP="000B6AF4">
      <w:r w:rsidRPr="00B915DD">
        <w:t xml:space="preserve">Therefore, we argue that the resulting emulator is relevant. The calibration achieved provides a tool that closely approximates the </w:t>
      </w:r>
      <w:r w:rsidR="00066D25" w:rsidRPr="00B915DD">
        <w:t>behaviour</w:t>
      </w:r>
      <w:r w:rsidRPr="00B915DD">
        <w:t xml:space="preserve"> of the </w:t>
      </w:r>
      <w:r w:rsidR="00F2685F">
        <w:t>simulator</w:t>
      </w:r>
      <w:r w:rsidRPr="00B915DD">
        <w:t xml:space="preserve"> it emulates, making it suitable for practical use as an emulator.</w:t>
      </w:r>
      <w:r>
        <w:t xml:space="preserve"> </w:t>
      </w:r>
      <w:r w:rsidR="00EE2574">
        <w:t xml:space="preserve">However, </w:t>
      </w:r>
      <w:r w:rsidR="00F2685F">
        <w:t>simulators</w:t>
      </w:r>
      <w:r w:rsidR="00B84193">
        <w:t xml:space="preserve">, whether EMICs or even ESMs, still carry significant uncertainty regarding the exact location of the AMOC tipping points and, consequently, the timing of their collapse </w:t>
      </w:r>
      <w:r w:rsidR="00B84193">
        <w:fldChar w:fldCharType="begin"/>
      </w:r>
      <w:r w:rsidR="003A0D85">
        <w:instrText xml:space="preserve"> ADDIN ZOTERO_ITEM CSL_CITATION {"citationID":"o4hEl7M2","properties":{"formattedCitation":"(5,50,56)","plainCitation":"(5,50,56)","noteIndex":0},"citationItems":[{"id":6620,"uris":["http://zotero.org/users/7129331/items/TNNEJWUG"],"itemData":{"id":6620,"type":"report","event-place":"UK","publisher":"University of Exeter","publisher-place":"UK","title":"Global Tipping Point Report 2023","URL":"https://report-2023.global-tipping-points.org/","author":[{"family":"Lenton","given":"T."},{"family":"Laybourn","given":"L."},{"family":"Armstrong McKay","given":"D."},{"family":"Loriani","given":"S."},{"family":"Abrams","given":"J.F."},{"family":"Lade","given":"S.J."},{"family":"Donges","given":"J.F."},{"family":"Milkoreit","given":"M."},{"family":"Smith","given":"S.R."},{"family":"Bailey","given":"E."},{"family":"Powell","given":"T."},{"family":"Fesenfeld","given":"L."},{"family":"Zimm","given":"C."},{"family":"Boulton","given":"C.A."},{"family":"Buxton","given":"J.E."},{"family":"Dyke","given":"J.G."},{"family":"Ghadiali","given":"A."}],"issued":{"date-parts":[["2023"]]}}},{"id":"YXi9sT6M/5S6edfbf","uris":["http://zotero.org/users/7129331/items/CWZF85CR"],"itemData":{"id":2908,"type":"article-journal","abstract":"Climate tipping points occur when change in a part of the climate system becomes self-perpetuating beyond a warming threshold, leading to substantial Earth system impacts. Synthesizing paleoclimate, observational, and model-based studies, we provide a revised shortlist of global “core” tipping elements and regional “impact” tipping elements and their temperature thresholds. Current global warming of ~1.1°C above preindustrial temperatures already lies within the lower end of some tipping point uncertainty ranges. Several tipping points may be triggered in the Paris Agreement range of 1.5 to &lt;2°C global warming, with many more likely at the 2 to 3°C of warming expected on current policy trajectories. This strengthens the evidence base for urgent action to mitigate climate change and to develop improved tipping point risk assessment, early warning capability, and adaptation strategies.\n          , \n            Getting tipsy\n            \n              Climate tipping points are conditions beyond which changes in a part of the climate system become self-perpetuating. These changes may lead to abrupt, irreversible, and dangerous impacts with serious implications for humanity. Armstrong McKay\n              et al\n              . present an updated assessment of the most important climate tipping elements and their potential tipping points, including their temperature thresholds, time scales, and impacts. Their analysis indicates that even global warming of 1°C, a threshold that we already have passed, puts us at risk by triggering some tipping points. This finding provides a compelling reason to limit additional warming as much as possible. —HJS\n            \n          , \n            Global warming greater than 1.5°C could trigger multiple climate tipping points.\n          , \n            \n              INTRODUCTION\n              \n                Climate tipping points (CTPs) are a source of growing scientific, policy, and public concern. They occur when change in large parts of the climate system—known as tipping elements—become self-perpetuating beyond a warming threshold. Triggering CTPs leads to significant, policy-relevant impacts, including substantial sea level rise from collapsing ice sheets, dieback of biodiverse biomes such as the Amazon rainforest or warm-water corals, and carbon release from thawing permafrost. Nine policy-relevant tipping elements and their CTPs were originally identified by Lenton\n                et al\n                . (2008). We carry out the first comprehensive reassessment of all suggested tipping elements, their CTPs, and the timescales and impacts of tipping. We also highlight steps to further improve understanding of CTPs, including an expert elicitation, a model intercomparison project, and early warning systems leveraging deep learning and remotely sensed data.\n              \n            \n            \n              RATIONALE\n              \n                Since the original identification of tipping elements there have been substantial advances in scientific understanding from paleoclimate, observational, and model-based studies. Additional tipping elements have been proposed (e.g., parts of the East Antarctic ice sheet) and the status of others (e.g., Arctic summer sea ice) has been questioned. Observations have revealed that parts of the West Antarctic ice sheet may have already passed a tipping point. Potential early warning signals of the Greenland ice sheet, Atlantic Meridional Overturning Circulation, and Amazon rainforest destabilization have been detected. Multiple abrupt shifts have been found in climate models. Recent work has suggested that up to 15 tipping elements are now active (Lenton\n                et al\n                ., 2019). Hence it is timely to synthesize this new knowledge to provide a revised shortlist of potential tipping elements and their CTP thresholds.\n              \n            \n            \n              RESULTS\n              We identify nine global “core” tipping elements which contribute substantially to Earth system functioning and seven regional “impact” tipping elements which contribute substantially to human welfare or have great value as unique features of the Earth system (see figure). Their estimated CTP thresholds have significant implications for climate policy: Current global warming of ~1.1°C above pre-industrial already lies within the lower end of five CTP uncertainty ranges. Six CTPs become likely (with a further four possible) within the Paris Agreement range of 1.5 to &lt;2°C warming, including collapse of the Greenland and West Antarctic ice sheets, die-off of low-latitude coral reefs, and widespread abrupt permafrost thaw. An additional CTP becomes likely and another three possible at the ~2.6°C of warming expected under current policies.\n            \n            \n              CONCLUSION\n              Our assessment provides strong scientific evidence for urgent action to mitigate climate change. We show that even the Paris Agreement goal of limiting warming to well below 2°C and preferably 1.5°C is not safe as 1.5°C and above risks crossing multiple tipping points. Crossing these CTPs can generate positive feedbacks that increase the likelihood of crossing other CTPs. Currently the world is heading toward ~2 to 3°C of global warming; at best, if all net-zero pledges and nationally determined contributions are implemented it could reach just below 2°C. This would lower tipping point risks somewhat but would still be dangerous as it could trigger multiple climate tipping points.\n              \n                \n                  The location of climate tipping elements in the cryosphere (blue), biosphere (green), and ocean/atmosphere (orange), and global warming levels at which their tipping points will likely be triggered.\n                  Pins are colored according to our central global warming threshold estimate being below 2°C, i.e., within the Paris Agreement range (light orange, circles); between 2 and 4°C, i.e., accessible with current policies (orange, diamonds); and 4°C and above (red, triangles).","container-title":"Science","DOI":"10.1126/science.abn7950","ISSN":"0036-8075, 1095-9203","issue":"6611","journalAbbreviation":"Science","language":"en","page":"eabn7950","source":"DOI.org (Crossref)","title":"Exceeding 1.5°C global warming could trigger multiple climate tipping points","volume":"377","author":[{"family":"Armstrong McKay","given":"David I."},{"family":"Staal","given":"Arie"},{"family":"Abrams","given":"Jesse F."},{"family":"Winkelmann","given":"Ricarda"},{"family":"Sakschewski","given":"Boris"},{"family":"Loriani","given":"Sina"},{"family":"Fetzer","given":"Ingo"},{"family":"Cornell","given":"Sarah E."},{"family":"Rockström","given":"Johan"},{"family":"Lenton","given":"Timothy M."}],"issued":{"date-parts":[["2022",9,9]]}}},{"id":4650,"uris":["http://zotero.org/users/7129331/items/FHRY5KL4"],"itemData":{"id":4650,"type":"article-journal","abstract":"Climate models underestimate the possibility of a collapsed Atlantic Meridional Overturning Circulation under climate warming.\n          , \n            \n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CO\n              2\n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projection.","container-title":"Science Advances","DOI":"10.1126/sciadv.1601666","ISSN":"2375-2548","issue":"1","journalAbbreviation":"Sci. Adv.","language":"en","page":"e1601666","source":"DOI.org (Crossref)","title":"Overlooked possibility of a collapsed Atlantic Meridional Overturning Circulation in warming climate","volume":"3","author":[{"family":"Liu","given":"Wei"},{"family":"Xie","given":"Shang-Ping"},{"family":"Liu","given":"Zhengyu"},{"family":"Zhu","given":"Jiang"}],"issued":{"date-parts":[["2017",1,6]]}}}],"schema":"https://github.com/citation-style-language/schema/raw/master/csl-citation.json"} </w:instrText>
      </w:r>
      <w:r w:rsidR="00B84193">
        <w:fldChar w:fldCharType="separate"/>
      </w:r>
      <w:r w:rsidR="008C6149" w:rsidRPr="008C6149">
        <w:t>(5,50,56)</w:t>
      </w:r>
      <w:r w:rsidR="00B84193">
        <w:fldChar w:fldCharType="end"/>
      </w:r>
      <w:r w:rsidR="00B84193" w:rsidRPr="002C2766">
        <w:t xml:space="preserve">. </w:t>
      </w:r>
      <w:r w:rsidR="00B84193">
        <w:t xml:space="preserve">In this context, the ATCM should not be regarded as a tool for delivering </w:t>
      </w:r>
      <w:r w:rsidR="00C330BE">
        <w:t xml:space="preserve">accurate </w:t>
      </w:r>
      <w:r w:rsidR="00B84193">
        <w:t xml:space="preserve">projections. </w:t>
      </w:r>
      <w:r w:rsidR="00B23353" w:rsidRPr="00745383">
        <w:t xml:space="preserve">While it is highly likely that the emulator’s values deviate from the process-based results of the </w:t>
      </w:r>
      <w:r w:rsidR="008368C4">
        <w:t>simulator</w:t>
      </w:r>
      <w:r w:rsidR="00B23353" w:rsidRPr="00745383">
        <w:t>, we demonstrate that the emulator can be calibrated sufficiently well to provide plausible and relevant outcomes.</w:t>
      </w:r>
      <w:r w:rsidR="00B23353">
        <w:t xml:space="preserve"> </w:t>
      </w:r>
      <w:r w:rsidR="001A127C" w:rsidRPr="00745383">
        <w:t>This is a key requirement for an AMOC tipping element emulator, as it enables more accurate studies of the AMOC state under plausible future positions within its forcing space.</w:t>
      </w:r>
      <w:r w:rsidR="007D6B19">
        <w:t xml:space="preserve"> </w:t>
      </w:r>
      <w:r w:rsidR="00B84193">
        <w:t xml:space="preserve">As </w:t>
      </w:r>
      <w:r w:rsidR="005C5E4A">
        <w:t xml:space="preserve">shown </w:t>
      </w:r>
      <w:r w:rsidR="00B84193">
        <w:t>in the Results section (see Fig</w:t>
      </w:r>
      <w:r w:rsidR="00750654">
        <w:t xml:space="preserve">ure </w:t>
      </w:r>
      <w:r w:rsidR="00510266">
        <w:t>7 and 8</w:t>
      </w:r>
      <w:r w:rsidR="008E4483">
        <w:t>)</w:t>
      </w:r>
      <w:r w:rsidR="00B84193">
        <w:t xml:space="preserve">, the ATCM facilitates realistic sampling of the forcing space once integrated into a reduced-complexity climate model like SURFER. Where complex models face significant computational constraints, the presented emulator enables </w:t>
      </w:r>
      <w:r w:rsidR="00185C54">
        <w:t xml:space="preserve">performing </w:t>
      </w:r>
      <w:r w:rsidR="00B84193">
        <w:t xml:space="preserve">a large number of simulations at </w:t>
      </w:r>
      <w:r w:rsidR="00185C54">
        <w:t>very low cost</w:t>
      </w:r>
      <w:r w:rsidR="00773815">
        <w:t>,</w:t>
      </w:r>
      <w:r w:rsidR="00B84193">
        <w:t xml:space="preserve"> while maintaining consistency with more complex models. These </w:t>
      </w:r>
      <w:r w:rsidR="000E59F6">
        <w:t>computationally-efficient</w:t>
      </w:r>
      <w:r w:rsidR="00B84193">
        <w:t xml:space="preserve"> simulations also allow for the study of overshoot without</w:t>
      </w:r>
      <w:r w:rsidR="00E100C2">
        <w:t xml:space="preserve"> tipping scenarios</w:t>
      </w:r>
      <w:r w:rsidR="00B84193">
        <w:t xml:space="preserve"> </w:t>
      </w:r>
      <w:r w:rsidR="00B84193">
        <w:fldChar w:fldCharType="begin"/>
      </w:r>
      <w:r w:rsidR="007F2E43">
        <w:instrText xml:space="preserve"> ADDIN ZOTERO_ITEM CSL_CITATION {"citationID":"kRbtNP0f","properties":{"formattedCitation":"(32)","plainCitation":"(32)","noteIndex":0},"citationItems":[{"id":1263,"uris":["http://zotero.org/users/7129331/items/CQUPSR8X"],"itemData":{"id":1263,"type":"article-journal","abstract":"A classical scenario for tipping is that a dynamical system experiences a slow parameter drift across a fold tipping point, caused by a run-away positive feedback loop. We study what happens if one turns around after one has crossed the threshold. We derive a simple criterion that relates how far the parameter exceeds the tipping threshold maximally and how long the parameter stays above the threshold to avoid tipping in an inverse-square law to observable properties of the dynamical system near the fold. For the case when the dynamical system is subject to stochastic forcing we give an approximation to the probability of tipping if a parameter changing in time reverses near the tipping point. The derived approximations are valid if the parameter change in time is sufficiently slow. We demonstrate for a higher-dimensional system, a model for the Indian summer monsoon, how numerically observed escape from the equilibrium converge to our asymptotic expressions. The inverse-square law between peak of the parameter forcing and the time the parameter spends above a given threshold is also visible in the level curves of equal probability when the system is subject to random disturbances.","container-title":"Proceedings of the Royal Society A: Mathematical, Physical and Engineering Sciences","DOI":"10.1098/rspa.2018.0504","issue":"2222","note":"publisher: Royal Society","page":"20180504","source":"royalsocietypublishing.org (Atypon)","title":"Inverse-square law between time and amplitude for crossing tipping thresholds","volume":"475","author":[{"family":"Ritchie","given":"Paul"},{"family":"Karabacak","given":"Özkan"},{"family":"Sieber","given":"Jan"}],"issued":{"date-parts":[["2019",2,27]]}}}],"schema":"https://github.com/citation-style-language/schema/raw/master/csl-citation.json"} </w:instrText>
      </w:r>
      <w:r w:rsidR="00B84193">
        <w:fldChar w:fldCharType="separate"/>
      </w:r>
      <w:r w:rsidR="007F2E43" w:rsidRPr="007F2E43">
        <w:t>(32)</w:t>
      </w:r>
      <w:r w:rsidR="00B84193">
        <w:fldChar w:fldCharType="end"/>
      </w:r>
      <w:r w:rsidR="000E59F6">
        <w:t xml:space="preserve"> by sampling the bivariate forcing space with higher resolution</w:t>
      </w:r>
      <w:r w:rsidR="00765A4F">
        <w:t xml:space="preserve"> (Figure 8)</w:t>
      </w:r>
      <w:r w:rsidR="00B84193">
        <w:t xml:space="preserve">. </w:t>
      </w:r>
    </w:p>
    <w:p w14:paraId="31AD5575" w14:textId="77777777" w:rsidR="00353C1C" w:rsidRDefault="00353C1C" w:rsidP="00C44FD8"/>
    <w:p w14:paraId="6D7191EB" w14:textId="4AB64C66" w:rsidR="00452C9A" w:rsidRDefault="00142C89" w:rsidP="00452C9A">
      <w:r w:rsidRPr="00142C89">
        <w:t>A promising direction for future research is to calibrate the ATCM using an ensemble of EMICs and potentially ESMs, allowing exploration of both the forcing space and the critical thresholds of the models, while also accounting for model uncertainty.</w:t>
      </w:r>
      <w:r>
        <w:t xml:space="preserve"> </w:t>
      </w:r>
      <w:r w:rsidR="00452C9A" w:rsidRPr="00353C1C">
        <w:t>Furthermore, the calibration approach presented here can be generalized to incorporate additional forcing variables (see Supplementary Materials</w:t>
      </w:r>
      <w:r w:rsidR="00457717">
        <w:t xml:space="preserve"> S</w:t>
      </w:r>
      <w:r w:rsidR="00B666C7">
        <w:t>2</w:t>
      </w:r>
      <w:r w:rsidR="00452C9A" w:rsidRPr="00353C1C">
        <w:t xml:space="preserve">). Another promising avenue is the application of the ATCM methodology to the GIS (see Supplementary Materials), yielding a non-linear dynamics tool calibrated on </w:t>
      </w:r>
      <w:r w:rsidR="001E3CC2">
        <w:t>simulators</w:t>
      </w:r>
      <w:r w:rsidR="00452C9A" w:rsidRPr="00353C1C">
        <w:t xml:space="preserve"> to investigate potential cascading collapses between the AMOC and GIS </w:t>
      </w:r>
      <w:r w:rsidR="00452C9A">
        <w:fldChar w:fldCharType="begin"/>
      </w:r>
      <w:r w:rsidR="007F2E43">
        <w:instrText xml:space="preserve"> ADDIN ZOTERO_ITEM CSL_CITATION {"citationID":"QABmykMW","properties":{"formattedCitation":"(33,35)","plainCitation":"(33,35)","noteIndex":0},"citationItems":[{"id":6385,"uris":["http://zotero.org/users/7129331/items/PIISDDVE"],"itemData":{"id":6385,"type":"article-journal","abstract":"The Greenland Ice Sheet (GIS) and Atlantic Meridional Overturning Circulation (AMOC) are considered tipping elements in the climate system, where global warming exceeding critical threshold levels in forcing can lead to large-scale and nonlinear reductions in ice volume and overturning strength, respectively. The positive–negative feedback loop governing their interaction with a destabilizing effect on the AMOC due to ice loss and subsequent freshwater flux into the North Atlantic as well as a stabilizing effect of a net cooling around Greenland with an AMOC weakening may determine the long-term stability of both tipping elements. Here we explore the potential dynamic regimes arising from this positive–negative tipping feedback loop in a physically motivated conceptual model. Under idealized forcing scenarios we identify conditions under which different kinds of tipping cascades can occur: herein, we distinguish between overshoot/bifurcation tipping cascades, leading to tipping of both GIS and AMOC, and rate-induced tipping cascades, where the AMOC, despite not having crossed its own intrinsic tipping point, tips nonetheless due to the fast rate of ice loss from Greenland. The occurrence of these different cascades is affected by the ice sheet disintegration time and thus eventually by the imposed forcing and its timescales. Our results suggest that it is necessary not only to avoid surpassing the respective critical levels of the environmental drivers for the Greenland Ice Sheet and Atlantic Meridional Overturning Circulation, but also to respect safe rates of environmental change to mitigate potential domino effects.","container-title":"Earth System Dynamics","DOI":"10.5194/esd-15-635-2024","ISSN":"2190-4979","issue":"3","language":"English","note":"publisher: Copernicus GmbH","page":"635-652","source":"Copernicus Online Journals","title":"Rate-induced tipping cascades arising from interactions between the Greenland Ice Sheet and the Atlantic Meridional Overturning Circulation","volume":"15","author":[{"family":"Klose","given":"Ann Kristin"},{"family":"Donges","given":"Jonathan F."},{"family":"Feudel","given":"Ulrike"},{"family":"Winkelmann","given":"Ricarda"}],"issued":{"date-parts":[["2024",5,27]]}}},{"id":1143,"uris":["http://zotero.org/users/7129331/items/8BQ54DHH"],"itemData":{"id":1143,"type":"article-journal","abstract":"Several large-scale components of the climate system may undergo a rapid transition as critical conditions are exceeded. These tipping elements are also dynamically coupled, allowing for a global domino effect under global warming. Here we focus on such cascading events involving the Greenland Ice Sheet (GIS), the West Antarctica Ice Sheet (WAIS) and the Atlantic Meridional Overturning Circulation (AMOC). Using a conceptual model, we study the combined tipping behavior due to three dominant feedbacks: the marine ice sheet instability for the WAIS, the height-surface mass balance feedback for the GIS and the salt-advection feedback for the AMOC. We show that, in a realistic parameter range of the model, a tipping of the WAIS can inhibit cascading events by preserving the AMOC stability.","container-title":"Geophysical Research Letters","DOI":"10.1029/2022GL100305","ISSN":"1944-8007","issue":"2","language":"en","license":"© 2023 The Authors.","note":"_eprint: https://onlinelibrary.wiley.com/doi/pdf/10.1029/2022GL100305","page":"e2022GL100305","source":"Wiley Online Library","title":"AMOC Stabilization Under the Interaction With Tipping Polar Ice Sheets","volume":"50","author":[{"family":"Sinet","given":"S."},{"family":"Heydt","given":"A. S.","non-dropping-particle":"von der"},{"family":"Dijkstra","given":"H. A."}],"issued":{"date-parts":[["2023"]]}}}],"schema":"https://github.com/citation-style-language/schema/raw/master/csl-citation.json"} </w:instrText>
      </w:r>
      <w:r w:rsidR="00452C9A">
        <w:fldChar w:fldCharType="separate"/>
      </w:r>
      <w:r w:rsidR="007F2E43" w:rsidRPr="007F2E43">
        <w:t>(33,35)</w:t>
      </w:r>
      <w:r w:rsidR="00452C9A">
        <w:fldChar w:fldCharType="end"/>
      </w:r>
      <w:r w:rsidR="00452C9A">
        <w:t>.</w:t>
      </w:r>
      <w:r w:rsidR="00B666C7">
        <w:t xml:space="preserve"> </w:t>
      </w:r>
      <w:r w:rsidR="00452C9A" w:rsidRPr="00353C1C">
        <w:t xml:space="preserve">Beyond the GIS, this framework for constructing tipping element emulators can be extended to other tipping elements, starting with the six additional elements whose initial parameterizations are included in </w:t>
      </w:r>
      <w:r w:rsidR="00DE079D">
        <w:t xml:space="preserve">an extended </w:t>
      </w:r>
      <w:r w:rsidR="007C3643">
        <w:t xml:space="preserve">version of </w:t>
      </w:r>
      <w:r w:rsidR="00452C9A" w:rsidRPr="00353C1C">
        <w:t xml:space="preserve">SURFER v3.0 </w:t>
      </w:r>
      <w:r w:rsidR="00452C9A">
        <w:fldChar w:fldCharType="begin"/>
      </w:r>
      <w:r w:rsidR="007F2E43">
        <w:instrText xml:space="preserve"> ADDIN ZOTERO_ITEM CSL_CITATION {"citationID":"iYl25xaf","properties":{"formattedCitation":"(40)","plainCitation":"(40)","noteIndex":0},"citationItems":[{"id":6375,"uris":["http://zotero.org/users/7129331/items/BM5GXEMV"],"itemData":{"id":6375,"type":"article-journal","language":"en","source":"Zotero","title":"Tipping interactions and cascades on multimillennial time scales in a model of reduced complexity","author":[{"family":"Couplet","given":"Victor"},{"family":"Wunderling","given":"Nico"},{"family":"Crucifix","given":"Michel"}],"issued":{"date-parts":[["2024"]]}}}],"schema":"https://github.com/citation-style-language/schema/raw/master/csl-citation.json"} </w:instrText>
      </w:r>
      <w:r w:rsidR="00452C9A">
        <w:fldChar w:fldCharType="separate"/>
      </w:r>
      <w:r w:rsidR="007F2E43" w:rsidRPr="007F2E43">
        <w:t>(40)</w:t>
      </w:r>
      <w:r w:rsidR="00452C9A">
        <w:fldChar w:fldCharType="end"/>
      </w:r>
      <w:r w:rsidR="00452C9A" w:rsidRPr="00353C1C">
        <w:t xml:space="preserve">. Finally, this emulator could be integrated into other reduced-complexity climate models, such as FAIR </w:t>
      </w:r>
      <w:r w:rsidR="00452C9A">
        <w:fldChar w:fldCharType="begin"/>
      </w:r>
      <w:r w:rsidR="008C6149">
        <w:instrText xml:space="preserve"> ADDIN ZOTERO_ITEM CSL_CITATION {"citationID":"oToEWzR2","properties":{"formattedCitation":"(57)","plainCitation":"(57)","noteIndex":0},"citationItems":[{"id":6627,"uris":["http://zotero.org/users/7129331/items/D9LJDU5J"],"itemData":{"id":6627,"type":"article-journal","abstract":"Simple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CO2 emissions (TCRE) are 2.86 (2.01 to 4.22)&amp;thinsp;K, 1.53 (1.05 to 2.41)&amp;thinsp;K and 1.40 (0.96 to 2.23)&amp;thinsp;K (1000&amp;thinsp;GtC)−1 (median and 5–95&amp;thinsp;%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ECS∕TCR parameters but less sensitive to the ERF from a doubling of CO2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2081–2100 in the constrained FAIR model ensemble is lower than the emissions-based estimate reported in AR5 by half a degree, owing to differences in forcing assumptions and ECS∕TCR distributions.","container-title":"Geoscientific Model Development","DOI":"10.5194/gmd-11-2273-2018","ISSN":"1991-959X","issue":"6","language":"English","note":"publisher: Copernicus GmbH","page":"2273-2297","source":"Copernicus Online Journals","title":"FAIR v1.3: a simple emissions-based impulse response and carbon cycle model","title-short":"FAIR v1.3","volume":"11","author":[{"family":"Smith","given":"Christopher J."},{"family":"Forster","given":"Piers M."},{"family":"Allen","given":"Myles"},{"family":"Leach","given":"Nicholas"},{"family":"Millar","given":"Richard J."},{"family":"Passerello","given":"Giovanni A."},{"family":"Regayre","given":"Leighton A."}],"issued":{"date-parts":[["2018",6,18]]}}}],"schema":"https://github.com/citation-style-language/schema/raw/master/csl-citation.json"} </w:instrText>
      </w:r>
      <w:r w:rsidR="00452C9A">
        <w:fldChar w:fldCharType="separate"/>
      </w:r>
      <w:r w:rsidR="008C6149" w:rsidRPr="008C6149">
        <w:t>(57)</w:t>
      </w:r>
      <w:r w:rsidR="00452C9A">
        <w:fldChar w:fldCharType="end"/>
      </w:r>
      <w:r w:rsidR="00452C9A" w:rsidRPr="00353C1C">
        <w:t>, with minimal technical adjustments, as it requires only the global mean temperature anomaly and a parameterization of the GIS freshwater flux as input from the climate model.</w:t>
      </w:r>
    </w:p>
    <w:p w14:paraId="60FA9C42" w14:textId="77777777" w:rsidR="00E41D2A" w:rsidRPr="00AC678A" w:rsidRDefault="00E41D2A" w:rsidP="00AC678A"/>
    <w:p w14:paraId="5FC65F9B" w14:textId="3AAD7485" w:rsidR="000F0497" w:rsidRDefault="00B84193" w:rsidP="004A1C94">
      <w:pPr>
        <w:pStyle w:val="Heading1"/>
      </w:pPr>
      <w:r>
        <w:t>5. Conclusion</w:t>
      </w:r>
    </w:p>
    <w:p w14:paraId="7D1F040D" w14:textId="77777777" w:rsidR="0090091D" w:rsidRDefault="0090091D"/>
    <w:p w14:paraId="43A8AC75" w14:textId="389B52C1" w:rsidR="00452C9A" w:rsidRDefault="00452C9A" w:rsidP="00452C9A">
      <w:pPr>
        <w:pBdr>
          <w:bottom w:val="single" w:sz="6" w:space="20" w:color="auto"/>
        </w:pBdr>
      </w:pPr>
      <w:r w:rsidRPr="008D2DD8">
        <w:t>We have presented the AMOC Tipping Calibration Module (ATCM), an emulator of AMOC dynamics based on a double-fold bifurcation structure. For the first time, this emulator incorporates two forcing variables that can be calibrated using only three experiments from the target complex model</w:t>
      </w:r>
      <w:r w:rsidR="00A97D05">
        <w:t xml:space="preserve">, also called </w:t>
      </w:r>
      <w:r w:rsidR="00A97D05">
        <w:lastRenderedPageBreak/>
        <w:t>the “simulator”</w:t>
      </w:r>
      <w:r w:rsidRPr="008D2DD8">
        <w:t xml:space="preserve">. The emulator reproduces the AMOC behaviour observed in these experiments, although simplified dynamics introduce differences during the transient phase. For example, </w:t>
      </w:r>
      <w:r w:rsidR="00A97D05">
        <w:t>simulator</w:t>
      </w:r>
      <w:r w:rsidR="003B1B07">
        <w:t>s</w:t>
      </w:r>
      <w:r w:rsidRPr="008D2DD8">
        <w:t xml:space="preserve"> such as cGENIE capture rate-induced effects, which can only be partially compensated by calibrating</w:t>
      </w:r>
      <w:r w:rsidR="008C7C75">
        <w:t xml:space="preserve"> the time scale </w:t>
      </w:r>
      <w:r w:rsidRPr="008D2DD8">
        <w:t xml:space="preserve">parameter. Despite these limitations, the ATCM reliably: (i) predicts whether a collapse occurs, (ii) reproduces its timing, and (iii) captures the AMOC response under combined temperature and freshwater forcing. Across four validation experiments, the emulator correctly reproduces the occurrence of a collapse. </w:t>
      </w:r>
      <w:r w:rsidR="003B1B07">
        <w:t>T</w:t>
      </w:r>
      <w:r w:rsidRPr="008D2DD8">
        <w:t xml:space="preserve">he emulator systematically predicts the collapse slightly earlier than the </w:t>
      </w:r>
      <w:r w:rsidR="002826AF">
        <w:t>simulator</w:t>
      </w:r>
      <w:r w:rsidRPr="008D2DD8">
        <w:t xml:space="preserve"> under forcing scenarios with slower rates than in the calibration experiment. Most notably, the emulator consistently reproduces AMOC collapse trajectories under simultaneous temperature and freshwater forcing.</w:t>
      </w:r>
    </w:p>
    <w:p w14:paraId="4D474335" w14:textId="77777777" w:rsidR="00B666C7" w:rsidRPr="008D2DD8" w:rsidRDefault="00B666C7" w:rsidP="00452C9A">
      <w:pPr>
        <w:pBdr>
          <w:bottom w:val="single" w:sz="6" w:space="20" w:color="auto"/>
        </w:pBdr>
      </w:pPr>
    </w:p>
    <w:p w14:paraId="38ECD02F" w14:textId="5430A6BB" w:rsidR="00452C9A" w:rsidRDefault="00452C9A" w:rsidP="00452C9A">
      <w:pPr>
        <w:pBdr>
          <w:bottom w:val="single" w:sz="6" w:space="20" w:color="auto"/>
        </w:pBdr>
      </w:pPr>
      <w:r w:rsidRPr="008D2DD8">
        <w:t xml:space="preserve">In addition to reproducing AMOC behaviour according to these three criteria, the ATCM offers substantial computational advantages over complex models. When integrated into the reduced-complexity model SURFER, it enables efficient exploration of the forcing space across a range of emission scenarios. We demonstrated that three emission trajectories between SSP3-7.0 and SSP5-8.5 trigger an AMOC collapse in SURFER when the two-forcing emulator is included. Furthermore, the emulator </w:t>
      </w:r>
      <w:r w:rsidR="00C2181A">
        <w:t>provide</w:t>
      </w:r>
      <w:r w:rsidR="00414EC2">
        <w:t>s a</w:t>
      </w:r>
      <w:r w:rsidR="00C2181A">
        <w:t xml:space="preserve"> linear approximation of </w:t>
      </w:r>
      <w:r w:rsidR="00414EC2">
        <w:t xml:space="preserve">AMOC’s critical manifold in the </w:t>
      </w:r>
      <w:r w:rsidR="004C19A1">
        <w:t>complex model</w:t>
      </w:r>
      <w:r w:rsidR="00BB3AC8">
        <w:t>,</w:t>
      </w:r>
      <w:r w:rsidRPr="008D2DD8">
        <w:t xml:space="preserve"> </w:t>
      </w:r>
      <w:r w:rsidR="00EC7AE2">
        <w:t>s</w:t>
      </w:r>
      <w:r w:rsidRPr="008D2DD8">
        <w:t>pecifying the combinations of temperature and freshwater forcing that result in a collapse at equilibrium. This allows systematic investigation of boundary cases and comparative sensitivity analysis.</w:t>
      </w:r>
    </w:p>
    <w:p w14:paraId="2EF490E9" w14:textId="77777777" w:rsidR="00B666C7" w:rsidRPr="008D2DD8" w:rsidRDefault="00B666C7" w:rsidP="00452C9A">
      <w:pPr>
        <w:pBdr>
          <w:bottom w:val="single" w:sz="6" w:space="20" w:color="auto"/>
        </w:pBdr>
      </w:pPr>
    </w:p>
    <w:p w14:paraId="6FFB6015" w14:textId="70749BA7" w:rsidR="00452C9A" w:rsidRDefault="00452C9A" w:rsidP="00452C9A">
      <w:pPr>
        <w:pBdr>
          <w:bottom w:val="single" w:sz="6" w:space="20" w:color="auto"/>
        </w:pBdr>
      </w:pPr>
      <w:r w:rsidRPr="008D2DD8">
        <w:t xml:space="preserve">Finally, the calibration methodology can be extended to other tipping elements. A next step would be to calibrate a Greenland Ice Sheet (GIS) emulator in a similar manner, enabling the study of potential cascading collapses between the AMOC and GIS at low computational cost. The emulator could also be implemented in other reduced-complexity models with minimal adjustment. Overall, </w:t>
      </w:r>
      <w:r w:rsidR="002826AF">
        <w:t>we have established</w:t>
      </w:r>
      <w:r w:rsidRPr="008D2DD8">
        <w:t xml:space="preserve"> a robust framework for calibrating two-forcing tipping element dynamics, bridging conceptual and complex models. This tool can therefore enhance understanding of tipping element collapse trajectories, which remain poorly understood despite their profound societal implications.</w:t>
      </w:r>
    </w:p>
    <w:p w14:paraId="12B6127D" w14:textId="77777777" w:rsidR="00D1676D" w:rsidRDefault="00D1676D" w:rsidP="00452C9A"/>
    <w:p w14:paraId="4D28EA68" w14:textId="0F9CF029" w:rsidR="004B201E" w:rsidRDefault="00B84193">
      <w:pPr>
        <w:pStyle w:val="Heading1"/>
      </w:pPr>
      <w:r>
        <w:t>Data</w:t>
      </w:r>
      <w:r>
        <w:rPr>
          <w:spacing w:val="1"/>
        </w:rPr>
        <w:t xml:space="preserve"> </w:t>
      </w:r>
      <w:r>
        <w:t>availability</w:t>
      </w:r>
    </w:p>
    <w:p w14:paraId="12D29F0F" w14:textId="77777777" w:rsidR="006D4C59" w:rsidRDefault="006D4C59">
      <w:pPr>
        <w:tabs>
          <w:tab w:val="left" w:pos="720"/>
        </w:tabs>
      </w:pPr>
    </w:p>
    <w:p w14:paraId="68FDCC08" w14:textId="3848DE18" w:rsidR="003008F7" w:rsidRPr="00E9053D" w:rsidRDefault="006D4C59">
      <w:pPr>
        <w:tabs>
          <w:tab w:val="left" w:pos="720"/>
        </w:tabs>
      </w:pPr>
      <w:r w:rsidRPr="006D4C59">
        <w:t>Laridon, A</w:t>
      </w:r>
      <w:r w:rsidR="00B63DFC">
        <w:t xml:space="preserve"> et al</w:t>
      </w:r>
      <w:r w:rsidRPr="006D4C59">
        <w:t xml:space="preserve">. Connecting complex and simplified models of tipping elements: a nonlinear two-forcing emulator for the Atlantic meridional overturning circulation. Zenodo. </w:t>
      </w:r>
      <w:r w:rsidR="006A4FA8">
        <w:t xml:space="preserve">DOI : </w:t>
      </w:r>
      <w:hyperlink r:id="rId24" w:history="1">
        <w:r w:rsidR="006A4FA8" w:rsidRPr="00933FC7">
          <w:rPr>
            <w:rStyle w:val="Hyperlink"/>
          </w:rPr>
          <w:t>https://doi.org/10.5281/zenodo.14944240</w:t>
        </w:r>
      </w:hyperlink>
      <w:r w:rsidR="00835A6B">
        <w:t>; 2025</w:t>
      </w:r>
      <w:r w:rsidR="00612A5A">
        <w:t xml:space="preserve">. This repository contains the data as well as the scripts, the SURFER model and the ATCM used in this study. </w:t>
      </w:r>
      <w:r w:rsidR="00816A39">
        <w:t xml:space="preserve">The </w:t>
      </w:r>
      <w:r w:rsidR="00816A39">
        <w:rPr>
          <w:i/>
          <w:iCs/>
        </w:rPr>
        <w:t>ATCM.ipynb</w:t>
      </w:r>
      <w:r w:rsidR="00816A39">
        <w:t xml:space="preserve"> Jupyter Notebook contains the Python code where the ATCM is defined, calibrated, and validated using cGENIE simulations. The </w:t>
      </w:r>
      <w:r w:rsidR="00816A39">
        <w:rPr>
          <w:i/>
          <w:iCs/>
        </w:rPr>
        <w:t>SURFER_pre3.0_ATCM.ipynb</w:t>
      </w:r>
      <w:r w:rsidR="00816A39">
        <w:t xml:space="preserve"> Jupyter Notebook contains the integration of the ATCM into the SURFER pre3.0 climate model. These two notebooks were used to generate all the figures presented in this paper. The emission scenario data required to run the simulations implemented in SURFER can be found in the </w:t>
      </w:r>
      <w:r w:rsidR="00816A39">
        <w:rPr>
          <w:i/>
          <w:iCs/>
        </w:rPr>
        <w:t>data/SURFER/</w:t>
      </w:r>
      <w:r w:rsidR="00816A39">
        <w:t xml:space="preserve"> directory within the Zenodo repository.</w:t>
      </w:r>
      <w:r w:rsidR="00FA5EAC">
        <w:t xml:space="preserve"> </w:t>
      </w:r>
      <w:r w:rsidR="00E9053D" w:rsidRPr="00452C9A">
        <w:t xml:space="preserve">More details on the definition of the emission scenarios used can be found in Appendix A.2 of </w:t>
      </w:r>
      <w:r w:rsidR="00BF666B">
        <w:t xml:space="preserve"> </w:t>
      </w:r>
      <w:r w:rsidR="00E9053D" w:rsidRPr="00452C9A">
        <w:t xml:space="preserve">V. Couplet’s PhD thesis </w:t>
      </w:r>
      <w:r w:rsidR="00E9053D" w:rsidRPr="00E9053D">
        <w:rPr>
          <w:lang w:val="fr-BE"/>
        </w:rPr>
        <w:fldChar w:fldCharType="begin"/>
      </w:r>
      <w:r w:rsidR="008C6149">
        <w:instrText xml:space="preserve"> ADDIN ZOTERO_ITEM CSL_CITATION {"citationID":"LXquduFr","properties":{"formattedCitation":"(55)","plainCitation":"(55)","noteIndex":0},"citationItems":[{"id":7232,"uris":["http://zotero.org/users/7129331/items/SUBUDX7H"],"itemData":{"id":7232,"type":"thesis","title":"Tipping cascades, future Earth system trajectories, and the prospect of a hothouse : a study with a reduced-complexity model","author":[{"family":"Couplet","given":"Victor"}],"issued":{"date-parts":[["2025"]]}}}],"schema":"https://github.com/citation-style-language/schema/raw/master/csl-citation.json"} </w:instrText>
      </w:r>
      <w:r w:rsidR="00E9053D" w:rsidRPr="00E9053D">
        <w:rPr>
          <w:lang w:val="fr-BE"/>
        </w:rPr>
        <w:fldChar w:fldCharType="separate"/>
      </w:r>
      <w:r w:rsidR="008C6149" w:rsidRPr="008C6149">
        <w:t>(55)</w:t>
      </w:r>
      <w:r w:rsidR="00E9053D" w:rsidRPr="00E9053D">
        <w:rPr>
          <w:lang w:val="fr-BE"/>
        </w:rPr>
        <w:fldChar w:fldCharType="end"/>
      </w:r>
      <w:r w:rsidR="00E9053D" w:rsidRPr="00452C9A">
        <w:t>.</w:t>
      </w:r>
      <w:r w:rsidR="00E9053D" w:rsidRPr="00E9053D">
        <w:t xml:space="preserve"> </w:t>
      </w:r>
      <w:r w:rsidR="00886C99" w:rsidRPr="00E9053D">
        <w:t>The repository is available under Creative Commons Zero v1.0 Universal.</w:t>
      </w:r>
    </w:p>
    <w:p w14:paraId="7A0022A6" w14:textId="3A5F20A5" w:rsidR="2260F9A5" w:rsidRDefault="00BE1297" w:rsidP="2260F9A5">
      <w:pPr>
        <w:tabs>
          <w:tab w:val="left" w:pos="720"/>
        </w:tabs>
      </w:pPr>
      <w:r w:rsidRPr="00452C9A">
        <w:t>Laridon A</w:t>
      </w:r>
      <w:r w:rsidR="00B63DFC" w:rsidRPr="00452C9A">
        <w:t xml:space="preserve"> et al</w:t>
      </w:r>
      <w:r w:rsidRPr="00452C9A">
        <w:t>. Supplementary Materials. Connecting complex and simplified models of tipping</w:t>
      </w:r>
      <w:r w:rsidRPr="006C3485">
        <w:t xml:space="preserve"> elements: a nonlinear two-forcing emulator for the Atlantic meridional overturning circulation. </w:t>
      </w:r>
      <w:r w:rsidRPr="00AC3CDB">
        <w:t>Zenodo.</w:t>
      </w:r>
      <w:r w:rsidR="006A4FA8">
        <w:t xml:space="preserve"> DOI : </w:t>
      </w:r>
      <w:hyperlink r:id="rId25">
        <w:r w:rsidRPr="2260F9A5">
          <w:rPr>
            <w:rStyle w:val="Hyperlink"/>
          </w:rPr>
          <w:t>https://doi.org/10.5281/zenodo.14979157</w:t>
        </w:r>
      </w:hyperlink>
      <w:r>
        <w:t xml:space="preserve">; 2025. This repository contains the supplementary materials referred in this paper (i) GIS calibration (ii) parameterization of the AMOC with three forcing variables (iii) </w:t>
      </w:r>
      <w:r w:rsidR="00061F18">
        <w:t>supplementary Figures</w:t>
      </w:r>
      <w:r>
        <w:t>.</w:t>
      </w:r>
      <w:r w:rsidR="00886C99">
        <w:t xml:space="preserve"> The repository is available under Creative Commons Zero v1.0 Universal.</w:t>
      </w:r>
      <w:r>
        <w:t xml:space="preserve"> </w:t>
      </w:r>
    </w:p>
    <w:p w14:paraId="3FEF2776" w14:textId="32A2908C" w:rsidR="007545DF" w:rsidRPr="007545DF" w:rsidRDefault="007545DF" w:rsidP="007545DF">
      <w:pPr>
        <w:tabs>
          <w:tab w:val="left" w:pos="720"/>
        </w:tabs>
      </w:pPr>
      <w:r w:rsidRPr="007545DF">
        <w:t>The code for the version of the ‘muffin’ release of the cGENIE Earth system model used in this paper, is tagged as v0.9.67, and is assigned a DOI: </w:t>
      </w:r>
      <w:hyperlink r:id="rId26" w:tooltip="https://doi.org/10.5281/zenodo.17372071" w:history="1">
        <w:r w:rsidRPr="007545DF">
          <w:rPr>
            <w:rStyle w:val="Hyperlink"/>
          </w:rPr>
          <w:t>https://doi.org/10.5281/zenodo.17372071</w:t>
        </w:r>
      </w:hyperlink>
      <w:hyperlink r:id="rId27" w:tooltip="https://doi.org/10.5281/zenodo.17372071" w:history="1">
        <w:r w:rsidRPr="007545DF">
          <w:rPr>
            <w:rStyle w:val="Hyperlink"/>
          </w:rPr>
          <w:t> </w:t>
        </w:r>
      </w:hyperlink>
      <w:r w:rsidR="003A0D85">
        <w:fldChar w:fldCharType="begin"/>
      </w:r>
      <w:r w:rsidR="003A0D85">
        <w:instrText xml:space="preserve"> ADDIN ZOTERO_ITEM CSL_CITATION {"citationID":"9brbTpa1","properties":{"formattedCitation":"(58)","plainCitation":"(58)","noteIndex":0},"citationItems":[{"id":7640,"uris":["http://zotero.org/users/7129331/items/MCX7WCML"],"itemData":{"id":7640,"type":"software","abstract":"Laridon et al. [2025]\nSI experiments added compared to v0.9.61","license":"MIT License","note":"DOI: 10.5281/ZENODO.17372071","publisher":"Zenodo","source":"DOI.org (Datacite)","title":"derpycode/cgenie.muffin: v0.9.67","title-short":"derpycode/cgenie.muffin","URL":"https://zenodo.org/doi/10.5281/zenodo.17372071","version":"v0.9.67","author":[{"family":"Andy Ridgwell","given":""},{"family":"Chris Reinhard","given":""},{"family":"Sebastiaan van de Velde","given":""},{"family":"Markus Adloff","given":""},{"family":"Fanny Monteiro","given":""},{"family":"Camillalxy98","given":""},{"family":"Pam Vervoort","given":""},{"family":"Yoshiki Kanzaki","given":""},{"family":"Ben Ward","given":""},{"family":"Dominik Hülse","given":""},{"family":"Jamie Wilson","given":""},{"family":"Mingsong Li","given":""},{"family":"InkyANB","given":""},{"family":"Sandra Kirtland Turner","given":""}],"accessed":{"date-parts":[["2025",10,17]]},"issued":{"date-parts":[["2025",10,16]]}}}],"schema":"https://github.com/citation-style-language/schema/raw/master/csl-citation.json"} </w:instrText>
      </w:r>
      <w:r w:rsidR="003A0D85">
        <w:fldChar w:fldCharType="separate"/>
      </w:r>
      <w:r w:rsidR="003A0D85" w:rsidRPr="003A0D85">
        <w:t>(58)</w:t>
      </w:r>
      <w:r w:rsidR="003A0D85">
        <w:fldChar w:fldCharType="end"/>
      </w:r>
      <w:r w:rsidRPr="007545DF">
        <w:t xml:space="preserve">. Configuration files for the specific experiments presented in the paper can be found in the directory: genie-userconfigs/PUBS/published/Laridon_et_al_2025. Details of the experiments, plus the command line needed to run each one, are given in the readme.txt file in that directory. All other configuration files and boundary conditions are provided as part of the code release. A manual detailing code installation, basic model configuration, tutorials covering various aspects of model configuration, </w:t>
      </w:r>
      <w:r w:rsidRPr="007545DF">
        <w:lastRenderedPageBreak/>
        <w:t>experimental</w:t>
      </w:r>
      <w:r w:rsidR="00845C04">
        <w:t xml:space="preserve"> </w:t>
      </w:r>
      <w:r w:rsidRPr="007545DF">
        <w:t>design, and output, plus the processing of results, is assigned a DOI: </w:t>
      </w:r>
      <w:hyperlink r:id="rId28" w:tooltip="https://doi.org/10.5281/zenodo.13377225" w:history="1">
        <w:r w:rsidRPr="007545DF">
          <w:rPr>
            <w:rStyle w:val="Hyperlink"/>
          </w:rPr>
          <w:t>https://doi.org/10.5281/zenodo.13377225</w:t>
        </w:r>
      </w:hyperlink>
      <w:r w:rsidRPr="007545DF">
        <w:t> </w:t>
      </w:r>
      <w:r w:rsidR="00D90A3D">
        <w:fldChar w:fldCharType="begin"/>
      </w:r>
      <w:r w:rsidR="00D90A3D">
        <w:instrText xml:space="preserve"> ADDIN ZOTERO_ITEM CSL_CITATION {"citationID":"MUN1JJbo","properties":{"formattedCitation":"(59)","plainCitation":"(59)","noteIndex":0},"citationItems":[{"id":7641,"uris":["http://zotero.org/users/7129331/items/C76T552B"],"itemData":{"id":7641,"type":"software","abstract":"No description provided.","license":"Creative Commons Attribution 4.0 International","note":"DOI: 10.5281/ZENODO.13377225","publisher":"Zenodo","source":"DOI.org (Datacite)","title":"derpycode/muffindoc: v0.24-574-NSF","title-short":"derpycode/muffindoc","URL":"https://zenodo.org/doi/10.5281/zenodo.13377225","version":"v0.24-574-NSF","author":[{"family":"Andy Ridgwell","given":""},{"family":"Dominik Hülse","given":""},{"family":"Carlye Peterson","given":""},{"family":"Ben Ward","given":""},{"family":"Ted","given":""},{"family":"evansmn","given":""},{"family":"Rhi Jones","given":""}],"accessed":{"date-parts":[["2025",10,17]]},"issued":{"date-parts":[["2024",8,26]]}}}],"schema":"https://github.com/citation-style-language/schema/raw/master/csl-citation.json"} </w:instrText>
      </w:r>
      <w:r w:rsidR="00D90A3D">
        <w:fldChar w:fldCharType="separate"/>
      </w:r>
      <w:r w:rsidR="00D90A3D" w:rsidRPr="00D90A3D">
        <w:t>(59)</w:t>
      </w:r>
      <w:r w:rsidR="00D90A3D">
        <w:fldChar w:fldCharType="end"/>
      </w:r>
      <w:r w:rsidRPr="007545DF">
        <w:t>.</w:t>
      </w:r>
    </w:p>
    <w:p w14:paraId="12368EE6" w14:textId="77777777" w:rsidR="00B83965" w:rsidRDefault="00B83965" w:rsidP="00BD5902">
      <w:pPr>
        <w:tabs>
          <w:tab w:val="left" w:pos="720"/>
        </w:tabs>
      </w:pPr>
    </w:p>
    <w:p w14:paraId="5FEB10BD" w14:textId="44D2B8F7" w:rsidR="00520806" w:rsidRPr="00410B36" w:rsidRDefault="549EC40F" w:rsidP="00520806">
      <w:pPr>
        <w:pStyle w:val="Heading1"/>
      </w:pPr>
      <w:r w:rsidRPr="007F787B">
        <w:t>Author Contributions</w:t>
      </w:r>
    </w:p>
    <w:p w14:paraId="45155F05" w14:textId="77777777" w:rsidR="00520806" w:rsidRPr="00410B36" w:rsidRDefault="00520806"/>
    <w:p w14:paraId="0CCC01EE" w14:textId="0C6F633B" w:rsidR="00A82787" w:rsidRDefault="00A5225F">
      <w:pPr>
        <w:pStyle w:val="Heading1"/>
        <w:rPr>
          <w:rFonts w:ascii="Cambria" w:eastAsia="Cambria" w:hAnsi="Cambria" w:cs="Cambria"/>
          <w:b w:val="0"/>
          <w:bCs w:val="0"/>
          <w:color w:val="auto"/>
          <w:sz w:val="22"/>
          <w:szCs w:val="22"/>
        </w:rPr>
      </w:pPr>
      <w:r w:rsidRPr="00A5225F">
        <w:rPr>
          <w:rFonts w:ascii="Cambria" w:eastAsia="Cambria" w:hAnsi="Cambria" w:cs="Cambria"/>
          <w:b w:val="0"/>
          <w:bCs w:val="0"/>
          <w:color w:val="auto"/>
          <w:sz w:val="22"/>
          <w:szCs w:val="22"/>
        </w:rPr>
        <w:t xml:space="preserve">AL, VC, and MC conceptualized the study and its objectives, which are based on AL’s MSc thesis. AL and VC are responsible for the design of the ATCM methodology. </w:t>
      </w:r>
      <w:r w:rsidR="00ED396D" w:rsidRPr="00ED396D">
        <w:rPr>
          <w:rFonts w:ascii="Cambria" w:eastAsia="Cambria" w:hAnsi="Cambria" w:cs="Cambria"/>
          <w:b w:val="0"/>
          <w:bCs w:val="0"/>
          <w:color w:val="auto"/>
          <w:sz w:val="22"/>
          <w:szCs w:val="22"/>
        </w:rPr>
        <w:t>AL conducted the formal and technical analysis of the project.</w:t>
      </w:r>
      <w:r w:rsidR="00ED396D">
        <w:rPr>
          <w:rFonts w:ascii="Cambria" w:eastAsia="Cambria" w:hAnsi="Cambria" w:cs="Cambria"/>
          <w:b w:val="0"/>
          <w:bCs w:val="0"/>
          <w:color w:val="auto"/>
          <w:sz w:val="22"/>
          <w:szCs w:val="22"/>
        </w:rPr>
        <w:t xml:space="preserve"> </w:t>
      </w:r>
      <w:r w:rsidRPr="00A5225F">
        <w:rPr>
          <w:rFonts w:ascii="Cambria" w:eastAsia="Cambria" w:hAnsi="Cambria" w:cs="Cambria"/>
          <w:b w:val="0"/>
          <w:bCs w:val="0"/>
          <w:color w:val="auto"/>
          <w:sz w:val="22"/>
          <w:szCs w:val="22"/>
        </w:rPr>
        <w:t>MC and WT managed and coordinated the research activity planning and execution. MC, as the supervisor of AL’s MSc thesis and co-supervisor of AL’s PhD, and WT, as the supervisor of AL’s PhD, provided oversight and guidance. JG assisted in designing the calibration experiments with cGENIE and conducted them.</w:t>
      </w:r>
      <w:r w:rsidR="005C03A2">
        <w:rPr>
          <w:rFonts w:ascii="Cambria" w:eastAsia="Cambria" w:hAnsi="Cambria" w:cs="Cambria"/>
          <w:b w:val="0"/>
          <w:bCs w:val="0"/>
          <w:color w:val="auto"/>
          <w:sz w:val="22"/>
          <w:szCs w:val="22"/>
        </w:rPr>
        <w:t xml:space="preserve"> </w:t>
      </w:r>
      <w:r w:rsidRPr="00A5225F">
        <w:rPr>
          <w:rFonts w:ascii="Cambria" w:eastAsia="Cambria" w:hAnsi="Cambria" w:cs="Cambria"/>
          <w:b w:val="0"/>
          <w:bCs w:val="0"/>
          <w:color w:val="auto"/>
          <w:sz w:val="22"/>
          <w:szCs w:val="22"/>
        </w:rPr>
        <w:t xml:space="preserve"> AL </w:t>
      </w:r>
      <w:r w:rsidR="009F2322" w:rsidRPr="00A5225F">
        <w:rPr>
          <w:rFonts w:ascii="Cambria" w:eastAsia="Cambria" w:hAnsi="Cambria" w:cs="Cambria"/>
          <w:b w:val="0"/>
          <w:bCs w:val="0"/>
          <w:color w:val="auto"/>
          <w:sz w:val="22"/>
          <w:szCs w:val="22"/>
        </w:rPr>
        <w:t>analysed</w:t>
      </w:r>
      <w:r w:rsidR="00DD0F1F">
        <w:rPr>
          <w:rFonts w:ascii="Cambria" w:eastAsia="Cambria" w:hAnsi="Cambria" w:cs="Cambria"/>
          <w:b w:val="0"/>
          <w:bCs w:val="0"/>
          <w:color w:val="auto"/>
          <w:sz w:val="22"/>
          <w:szCs w:val="22"/>
        </w:rPr>
        <w:t>, with the help of JG</w:t>
      </w:r>
      <w:r w:rsidR="00D903CD">
        <w:rPr>
          <w:rFonts w:ascii="Cambria" w:eastAsia="Cambria" w:hAnsi="Cambria" w:cs="Cambria"/>
          <w:b w:val="0"/>
          <w:bCs w:val="0"/>
          <w:color w:val="auto"/>
          <w:sz w:val="22"/>
          <w:szCs w:val="22"/>
        </w:rPr>
        <w:t xml:space="preserve"> these simulations. AL </w:t>
      </w:r>
      <w:r w:rsidRPr="00A5225F">
        <w:rPr>
          <w:rFonts w:ascii="Cambria" w:eastAsia="Cambria" w:hAnsi="Cambria" w:cs="Cambria"/>
          <w:b w:val="0"/>
          <w:bCs w:val="0"/>
          <w:color w:val="auto"/>
          <w:sz w:val="22"/>
          <w:szCs w:val="22"/>
        </w:rPr>
        <w:t xml:space="preserve">integrated </w:t>
      </w:r>
      <w:r w:rsidR="005F1553">
        <w:rPr>
          <w:rFonts w:ascii="Cambria" w:eastAsia="Cambria" w:hAnsi="Cambria" w:cs="Cambria"/>
          <w:b w:val="0"/>
          <w:bCs w:val="0"/>
          <w:color w:val="auto"/>
          <w:sz w:val="22"/>
          <w:szCs w:val="22"/>
        </w:rPr>
        <w:t>the</w:t>
      </w:r>
      <w:r w:rsidRPr="00A5225F">
        <w:rPr>
          <w:rFonts w:ascii="Cambria" w:eastAsia="Cambria" w:hAnsi="Cambria" w:cs="Cambria"/>
          <w:b w:val="0"/>
          <w:bCs w:val="0"/>
          <w:color w:val="auto"/>
          <w:sz w:val="22"/>
          <w:szCs w:val="22"/>
        </w:rPr>
        <w:t xml:space="preserve"> </w:t>
      </w:r>
      <w:r w:rsidR="00D903CD">
        <w:rPr>
          <w:rFonts w:ascii="Cambria" w:eastAsia="Cambria" w:hAnsi="Cambria" w:cs="Cambria"/>
          <w:b w:val="0"/>
          <w:bCs w:val="0"/>
          <w:color w:val="auto"/>
          <w:sz w:val="22"/>
          <w:szCs w:val="22"/>
        </w:rPr>
        <w:t>cGENIE simulations</w:t>
      </w:r>
      <w:r w:rsidRPr="00A5225F">
        <w:rPr>
          <w:rFonts w:ascii="Cambria" w:eastAsia="Cambria" w:hAnsi="Cambria" w:cs="Cambria"/>
          <w:b w:val="0"/>
          <w:bCs w:val="0"/>
          <w:color w:val="auto"/>
          <w:sz w:val="22"/>
          <w:szCs w:val="22"/>
        </w:rPr>
        <w:t xml:space="preserve"> into the ATCM. AL is responsible for the study's visualization, creation, and presentation of the published work. AL wrote the original draft</w:t>
      </w:r>
      <w:r w:rsidR="006027A0">
        <w:rPr>
          <w:rFonts w:ascii="Cambria" w:eastAsia="Cambria" w:hAnsi="Cambria" w:cs="Cambria"/>
          <w:b w:val="0"/>
          <w:bCs w:val="0"/>
          <w:color w:val="auto"/>
          <w:sz w:val="22"/>
          <w:szCs w:val="22"/>
        </w:rPr>
        <w:t>, produced all the figures and led the manuscript writing process</w:t>
      </w:r>
      <w:r w:rsidR="009D362E">
        <w:rPr>
          <w:rFonts w:ascii="Cambria" w:eastAsia="Cambria" w:hAnsi="Cambria" w:cs="Cambria"/>
          <w:b w:val="0"/>
          <w:bCs w:val="0"/>
          <w:color w:val="auto"/>
          <w:sz w:val="22"/>
          <w:szCs w:val="22"/>
        </w:rPr>
        <w:t xml:space="preserve">. </w:t>
      </w:r>
      <w:r w:rsidRPr="00A5225F">
        <w:rPr>
          <w:rFonts w:ascii="Cambria" w:eastAsia="Cambria" w:hAnsi="Cambria" w:cs="Cambria"/>
          <w:b w:val="0"/>
          <w:bCs w:val="0"/>
          <w:color w:val="auto"/>
          <w:sz w:val="22"/>
          <w:szCs w:val="22"/>
        </w:rPr>
        <w:t xml:space="preserve">AL, MC, JG, </w:t>
      </w:r>
      <w:r w:rsidR="00AE738D">
        <w:rPr>
          <w:rFonts w:ascii="Cambria" w:eastAsia="Cambria" w:hAnsi="Cambria" w:cs="Cambria"/>
          <w:b w:val="0"/>
          <w:bCs w:val="0"/>
          <w:color w:val="auto"/>
          <w:sz w:val="22"/>
          <w:szCs w:val="22"/>
        </w:rPr>
        <w:t xml:space="preserve">VC </w:t>
      </w:r>
      <w:r w:rsidRPr="00A5225F">
        <w:rPr>
          <w:rFonts w:ascii="Cambria" w:eastAsia="Cambria" w:hAnsi="Cambria" w:cs="Cambria"/>
          <w:b w:val="0"/>
          <w:bCs w:val="0"/>
          <w:color w:val="auto"/>
          <w:sz w:val="22"/>
          <w:szCs w:val="22"/>
        </w:rPr>
        <w:t xml:space="preserve">and </w:t>
      </w:r>
      <w:r w:rsidR="00322FA2">
        <w:rPr>
          <w:rFonts w:ascii="Cambria" w:eastAsia="Cambria" w:hAnsi="Cambria" w:cs="Cambria"/>
          <w:b w:val="0"/>
          <w:bCs w:val="0"/>
          <w:color w:val="auto"/>
          <w:sz w:val="22"/>
          <w:szCs w:val="22"/>
        </w:rPr>
        <w:t>WT</w:t>
      </w:r>
      <w:r w:rsidRPr="00A5225F">
        <w:rPr>
          <w:rFonts w:ascii="Cambria" w:eastAsia="Cambria" w:hAnsi="Cambria" w:cs="Cambria"/>
          <w:b w:val="0"/>
          <w:bCs w:val="0"/>
          <w:color w:val="auto"/>
          <w:sz w:val="22"/>
          <w:szCs w:val="22"/>
        </w:rPr>
        <w:t xml:space="preserve"> reviewed and revised it.</w:t>
      </w:r>
    </w:p>
    <w:p w14:paraId="02ED8398" w14:textId="77777777" w:rsidR="00452C9A" w:rsidRDefault="00452C9A" w:rsidP="00452C9A"/>
    <w:p w14:paraId="1D028A0A" w14:textId="620E30D7" w:rsidR="00AF21EA" w:rsidRDefault="00A82787" w:rsidP="00452C9A">
      <w:pPr>
        <w:pStyle w:val="Heading1"/>
      </w:pPr>
      <w:r>
        <w:t>Competing</w:t>
      </w:r>
      <w:r>
        <w:rPr>
          <w:spacing w:val="4"/>
        </w:rPr>
        <w:t xml:space="preserve"> </w:t>
      </w:r>
      <w:r>
        <w:t>interests</w:t>
      </w:r>
    </w:p>
    <w:p w14:paraId="75672784" w14:textId="77777777" w:rsidR="00452C9A" w:rsidRDefault="00452C9A" w:rsidP="00452C9A"/>
    <w:p w14:paraId="627DB6B2" w14:textId="61218FC5" w:rsidR="00A5225F" w:rsidRDefault="00A82787" w:rsidP="00AF21EA">
      <w:r>
        <w:t>No competing interests were disclosed.</w:t>
      </w:r>
    </w:p>
    <w:p w14:paraId="02B48159" w14:textId="77777777" w:rsidR="00AF21EA" w:rsidRPr="00685F7A" w:rsidRDefault="00AF21EA" w:rsidP="00AF21EA"/>
    <w:p w14:paraId="47E854A1" w14:textId="7CDEA298" w:rsidR="004B201E" w:rsidRDefault="00B84193" w:rsidP="00452C9A">
      <w:pPr>
        <w:pStyle w:val="Heading1"/>
      </w:pPr>
      <w:r>
        <w:t>Grant</w:t>
      </w:r>
      <w:r>
        <w:rPr>
          <w:spacing w:val="1"/>
        </w:rPr>
        <w:t xml:space="preserve"> </w:t>
      </w:r>
      <w:r>
        <w:t>information</w:t>
      </w:r>
    </w:p>
    <w:p w14:paraId="0AB798E2" w14:textId="77777777" w:rsidR="00452C9A" w:rsidRDefault="00452C9A" w:rsidP="00452C9A"/>
    <w:p w14:paraId="1CC8CBAD" w14:textId="4008D6AC" w:rsidR="00030337" w:rsidRDefault="00B84193" w:rsidP="00126F21">
      <w:pPr>
        <w:pStyle w:val="BodyText"/>
        <w:rPr>
          <w:sz w:val="22"/>
          <w:szCs w:val="22"/>
        </w:rPr>
      </w:pPr>
      <w:r>
        <w:rPr>
          <w:sz w:val="22"/>
          <w:szCs w:val="22"/>
        </w:rPr>
        <w:t xml:space="preserve">The majority of the technical work in this paper originates from the MSc Thesis of </w:t>
      </w:r>
      <w:r w:rsidR="000A05AE">
        <w:rPr>
          <w:sz w:val="22"/>
          <w:szCs w:val="22"/>
        </w:rPr>
        <w:t>AL</w:t>
      </w:r>
      <w:r>
        <w:rPr>
          <w:sz w:val="22"/>
          <w:szCs w:val="22"/>
        </w:rPr>
        <w:t xml:space="preserve">, completed in 2024 at UCLouvain </w:t>
      </w:r>
      <w:r>
        <w:fldChar w:fldCharType="begin"/>
      </w:r>
      <w:r w:rsidR="008C6149">
        <w:rPr>
          <w:sz w:val="22"/>
          <w:szCs w:val="22"/>
        </w:rPr>
        <w:instrText xml:space="preserve"> ADDIN ZOTERO_ITEM CSL_CITATION {"citationID":"CSyISDqR","properties":{"formattedCitation":"(54)","plainCitation":"(54)","noteIndex":0},"citationItems":[{"id":6380,"uris":["http://zotero.org/users/7129331/items/6E7749B7"],"itemData":{"id":6380,"type":"thesis","language":"English","number-of-pages":"185","publisher":"UCLouvain","title":"Development of a Simplified Dynamics Emulator and Investigation of Cascading Collapses of the AMOC and Greenland Ice Sheet in a Climate Model","URL":"https://dial.uclouvain.be/memoire/ucl/object/thesis:46552","author":[{"family":"Laridon","given":"Amaury."}],"issued":{"date-parts":[["2024",6,24]]}}}],"schema":"https://github.com/citation-style-language/schema/raw/master/csl-citation.json"} </w:instrText>
      </w:r>
      <w:r>
        <w:rPr>
          <w:sz w:val="22"/>
          <w:szCs w:val="22"/>
        </w:rPr>
        <w:fldChar w:fldCharType="separate"/>
      </w:r>
      <w:r w:rsidR="008C6149" w:rsidRPr="008C6149">
        <w:rPr>
          <w:sz w:val="22"/>
        </w:rPr>
        <w:t>(54)</w:t>
      </w:r>
      <w:r>
        <w:rPr>
          <w:sz w:val="22"/>
          <w:szCs w:val="22"/>
        </w:rPr>
        <w:fldChar w:fldCharType="end"/>
      </w:r>
      <w:r>
        <w:rPr>
          <w:sz w:val="22"/>
          <w:szCs w:val="22"/>
        </w:rPr>
        <w:t xml:space="preserve"> under the guidance of </w:t>
      </w:r>
      <w:r w:rsidR="000A05AE">
        <w:rPr>
          <w:sz w:val="22"/>
          <w:szCs w:val="22"/>
        </w:rPr>
        <w:t>MC</w:t>
      </w:r>
      <w:r>
        <w:rPr>
          <w:sz w:val="22"/>
          <w:szCs w:val="22"/>
        </w:rPr>
        <w:t xml:space="preserve">. The writing and finalization of the research for this article were conducted at the beginning of </w:t>
      </w:r>
      <w:r w:rsidR="000A05AE">
        <w:rPr>
          <w:sz w:val="22"/>
          <w:szCs w:val="22"/>
        </w:rPr>
        <w:t>AL’s</w:t>
      </w:r>
      <w:r>
        <w:rPr>
          <w:sz w:val="22"/>
          <w:szCs w:val="22"/>
        </w:rPr>
        <w:t xml:space="preserve"> PhD thesis under the guidance of </w:t>
      </w:r>
      <w:r w:rsidR="000A05AE">
        <w:rPr>
          <w:sz w:val="22"/>
          <w:szCs w:val="22"/>
        </w:rPr>
        <w:t>WT</w:t>
      </w:r>
      <w:r>
        <w:rPr>
          <w:sz w:val="22"/>
          <w:szCs w:val="22"/>
        </w:rPr>
        <w:t xml:space="preserve"> at VUB. The PhD is funded by the FWO under File Number: 1151225N.</w:t>
      </w:r>
      <w:r w:rsidR="00CF569F">
        <w:rPr>
          <w:sz w:val="22"/>
          <w:szCs w:val="22"/>
        </w:rPr>
        <w:t xml:space="preserve"> </w:t>
      </w:r>
      <w:r w:rsidR="00030337" w:rsidRPr="00030337">
        <w:rPr>
          <w:sz w:val="22"/>
          <w:szCs w:val="22"/>
        </w:rPr>
        <w:t>This project has received funding from the European Union’s Horizon 2020 research and innovation programme</w:t>
      </w:r>
      <w:r w:rsidR="00F32194">
        <w:rPr>
          <w:sz w:val="22"/>
          <w:szCs w:val="22"/>
        </w:rPr>
        <w:t xml:space="preserve"> </w:t>
      </w:r>
      <w:r w:rsidR="00030337" w:rsidRPr="00030337">
        <w:rPr>
          <w:sz w:val="22"/>
          <w:szCs w:val="22"/>
        </w:rPr>
        <w:t xml:space="preserve">under grant agreement </w:t>
      </w:r>
      <w:r w:rsidR="004840AB">
        <w:rPr>
          <w:sz w:val="22"/>
          <w:szCs w:val="22"/>
        </w:rPr>
        <w:t xml:space="preserve">No </w:t>
      </w:r>
      <w:r w:rsidR="004840AB" w:rsidRPr="00CF569F">
        <w:rPr>
          <w:sz w:val="22"/>
          <w:szCs w:val="22"/>
        </w:rPr>
        <w:t>820970 (project TiPES)</w:t>
      </w:r>
      <w:r w:rsidR="007D62E9">
        <w:rPr>
          <w:sz w:val="22"/>
          <w:szCs w:val="22"/>
        </w:rPr>
        <w:t>. T</w:t>
      </w:r>
      <w:r w:rsidR="00030337" w:rsidRPr="00030337">
        <w:rPr>
          <w:sz w:val="22"/>
          <w:szCs w:val="22"/>
        </w:rPr>
        <w:t xml:space="preserve">his project has also received funding from the European Research Council (ERC) under the European Union’s Horizon 2020 research and innovation programme </w:t>
      </w:r>
      <w:r w:rsidR="00EF4573" w:rsidRPr="00AC739A">
        <w:rPr>
          <w:sz w:val="22"/>
          <w:szCs w:val="22"/>
        </w:rPr>
        <w:t>under grant agreement No 101081369 (</w:t>
      </w:r>
      <w:r w:rsidR="00EF4573">
        <w:rPr>
          <w:sz w:val="22"/>
          <w:szCs w:val="22"/>
        </w:rPr>
        <w:t xml:space="preserve">project </w:t>
      </w:r>
      <w:r w:rsidR="00EF4573" w:rsidRPr="00AC739A">
        <w:rPr>
          <w:sz w:val="22"/>
          <w:szCs w:val="22"/>
        </w:rPr>
        <w:t>SPARCCLE).</w:t>
      </w:r>
    </w:p>
    <w:p w14:paraId="56227499" w14:textId="77777777" w:rsidR="00B85ABD" w:rsidRDefault="00B85ABD" w:rsidP="00030337">
      <w:pPr>
        <w:pStyle w:val="BodyText"/>
        <w:jc w:val="left"/>
        <w:rPr>
          <w:sz w:val="22"/>
          <w:szCs w:val="22"/>
        </w:rPr>
      </w:pPr>
    </w:p>
    <w:p w14:paraId="68E9CA41" w14:textId="7F3ECDE0" w:rsidR="00253281" w:rsidRDefault="00B85ABD" w:rsidP="00452C9A">
      <w:pPr>
        <w:pStyle w:val="Heading1"/>
      </w:pPr>
      <w:r>
        <w:t>Ethics and Consent</w:t>
      </w:r>
    </w:p>
    <w:p w14:paraId="1BCE91DD" w14:textId="77777777" w:rsidR="00452C9A" w:rsidRPr="00452C9A" w:rsidRDefault="00452C9A" w:rsidP="00452C9A"/>
    <w:p w14:paraId="6C68BA72" w14:textId="6197C2B9" w:rsidR="00543027" w:rsidRDefault="00253281" w:rsidP="00745383">
      <w:r w:rsidRPr="00745383">
        <w:t xml:space="preserve">In accordance with the F1000 AI Policy, the authors confirm that they have used </w:t>
      </w:r>
      <w:r w:rsidRPr="00745383">
        <w:rPr>
          <w:i/>
          <w:iCs/>
        </w:rPr>
        <w:t>ChatGPT (GPT-4, OpenAI, 2025)</w:t>
      </w:r>
      <w:r w:rsidRPr="00745383">
        <w:t xml:space="preserve"> during the preparation of this manuscript. The tool was employed exclusively for language editing purposes, specifically to improve the clarity, grammar, and academic tone of English translations. No content generation, conceptual development, or substantive modifications were delegated to the tool. All scientific content, interpretations, and conclusions remain entirely the work of the authors.</w:t>
      </w:r>
    </w:p>
    <w:p w14:paraId="66FC7729" w14:textId="77777777" w:rsidR="00900569" w:rsidRDefault="00900569" w:rsidP="00745383"/>
    <w:p w14:paraId="237DFE59" w14:textId="2BC743C9" w:rsidR="00AF21EA" w:rsidRDefault="00543027" w:rsidP="00F945FD">
      <w:r w:rsidRPr="00745383">
        <w:t>No additional ethical approval or consent was required.</w:t>
      </w:r>
    </w:p>
    <w:p w14:paraId="44A3A3BD" w14:textId="77777777" w:rsidR="00851B58" w:rsidRPr="00F32194" w:rsidRDefault="00851B58" w:rsidP="00F945FD"/>
    <w:p w14:paraId="56F9E55D" w14:textId="77777777" w:rsidR="004B201E" w:rsidRDefault="00B84193">
      <w:pPr>
        <w:pStyle w:val="Heading1"/>
      </w:pPr>
      <w:bookmarkStart w:id="8" w:name="_bookmark1"/>
      <w:bookmarkEnd w:id="8"/>
      <w:r>
        <w:t>References</w:t>
      </w:r>
    </w:p>
    <w:p w14:paraId="4BE112D3" w14:textId="77777777" w:rsidR="004B201E" w:rsidRPr="00F91B59" w:rsidRDefault="004B201E">
      <w:pPr>
        <w:pStyle w:val="Heading1"/>
        <w:rPr>
          <w:sz w:val="18"/>
          <w:szCs w:val="18"/>
        </w:rPr>
      </w:pPr>
    </w:p>
    <w:p w14:paraId="352D4A2A" w14:textId="77777777" w:rsidR="00D90A3D" w:rsidRDefault="00B84193" w:rsidP="00D90A3D">
      <w:pPr>
        <w:pStyle w:val="Bibliography"/>
      </w:pPr>
      <w:r w:rsidRPr="00452C9A">
        <w:rPr>
          <w:sz w:val="12"/>
          <w:szCs w:val="12"/>
        </w:rPr>
        <w:fldChar w:fldCharType="begin"/>
      </w:r>
      <w:r w:rsidR="00275483" w:rsidRPr="00452C9A">
        <w:rPr>
          <w:sz w:val="12"/>
          <w:szCs w:val="12"/>
        </w:rPr>
        <w:instrText xml:space="preserve"> ADDIN ZOTERO_BIBL {"uncited":[],"omitted":[],"custom":[]} CSL_BIBLIOGRAPHY </w:instrText>
      </w:r>
      <w:r w:rsidRPr="00452C9A">
        <w:rPr>
          <w:sz w:val="12"/>
          <w:szCs w:val="12"/>
        </w:rPr>
        <w:fldChar w:fldCharType="separate"/>
      </w:r>
      <w:r w:rsidR="00D90A3D">
        <w:t>1.</w:t>
      </w:r>
      <w:r w:rsidR="00D90A3D">
        <w:tab/>
        <w:t>Stocker TF. Chapter 1 - The Ocean as a Component of the Climate System. In: Siedler G, Griffies SM, Gould J, Church JA, editors. International Geophysics [Internet]. Academic Press; 2013 [cited 2024 Dec 10]. p. 3–30. (Ocean Circulation and Climate; vol. 103). Available from: https://www.sciencedirect.com/science/article/pii/B9780123918512000015</w:t>
      </w:r>
    </w:p>
    <w:p w14:paraId="2582EB27" w14:textId="77777777" w:rsidR="00D90A3D" w:rsidRDefault="00D90A3D" w:rsidP="00D90A3D">
      <w:pPr>
        <w:pStyle w:val="Bibliography"/>
      </w:pPr>
      <w:r w:rsidRPr="00D90A3D">
        <w:rPr>
          <w:lang w:val="de-DE"/>
        </w:rPr>
        <w:t>2.</w:t>
      </w:r>
      <w:r w:rsidRPr="00D90A3D">
        <w:rPr>
          <w:lang w:val="de-DE"/>
        </w:rPr>
        <w:tab/>
        <w:t xml:space="preserve">Jackson LC, Kahana R, Graham T, Ringer MA, Woollings T, Mecking JV, et al. </w:t>
      </w:r>
      <w:r>
        <w:t xml:space="preserve">Global and European climate impacts of a slowdown of the AMOC in a high resolution GCM. Clim Dyn. 2015 Dec 1;45(11):3299–316. </w:t>
      </w:r>
    </w:p>
    <w:p w14:paraId="2A83EBFE" w14:textId="77777777" w:rsidR="00D90A3D" w:rsidRDefault="00D90A3D" w:rsidP="00D90A3D">
      <w:pPr>
        <w:pStyle w:val="Bibliography"/>
      </w:pPr>
      <w:r>
        <w:t>3.</w:t>
      </w:r>
      <w:r>
        <w:tab/>
        <w:t xml:space="preserve">Liu W, Fedorov AV, Xie SP, Hu S. Climate impacts of a weakened Atlantic Meridional Overturning </w:t>
      </w:r>
      <w:r>
        <w:lastRenderedPageBreak/>
        <w:t xml:space="preserve">Circulation in a warming climate. Sci Adv. 2020 June 26;6(26):eaaz4876. </w:t>
      </w:r>
    </w:p>
    <w:p w14:paraId="22014B4A" w14:textId="77777777" w:rsidR="00D90A3D" w:rsidRDefault="00D90A3D" w:rsidP="00D90A3D">
      <w:pPr>
        <w:pStyle w:val="Bibliography"/>
      </w:pPr>
      <w:r>
        <w:t>4.</w:t>
      </w:r>
      <w:r>
        <w:tab/>
        <w:t xml:space="preserve">Lenton T, Held H, Kriegler E, Hall JW, Lucht W, Rahmstorf S, et al. Tipping elements in the Earth’s climate system. Proc Natl Acad Sci. 2008 Feb 12;105(6):1786–93. </w:t>
      </w:r>
    </w:p>
    <w:p w14:paraId="26B20B75" w14:textId="77777777" w:rsidR="00D90A3D" w:rsidRDefault="00D90A3D" w:rsidP="00D90A3D">
      <w:pPr>
        <w:pStyle w:val="Bibliography"/>
      </w:pPr>
      <w:r>
        <w:t>5.</w:t>
      </w:r>
      <w:r>
        <w:tab/>
        <w:t>Lenton T, Laybourn L, Armstrong McKay D, Loriani S, Abrams JF, Lade SJ, et al. Global Tipping Point Report 2023 [Internet]. UK: University of Exeter; 2023. Available from: https://report-2023.global-tipping-points.org/</w:t>
      </w:r>
    </w:p>
    <w:p w14:paraId="176E5C7A" w14:textId="77777777" w:rsidR="00D90A3D" w:rsidRDefault="00D90A3D" w:rsidP="00D90A3D">
      <w:pPr>
        <w:pStyle w:val="Bibliography"/>
      </w:pPr>
      <w:r w:rsidRPr="00D90A3D">
        <w:rPr>
          <w:lang w:val="nl-NL"/>
        </w:rPr>
        <w:t>6.</w:t>
      </w:r>
      <w:r w:rsidRPr="00D90A3D">
        <w:rPr>
          <w:lang w:val="nl-NL"/>
        </w:rPr>
        <w:tab/>
        <w:t xml:space="preserve">Van Westen RM, Kliphuis M, Dijkstra HA. </w:t>
      </w:r>
      <w:r>
        <w:t xml:space="preserve">Physics-based early warning signal shows that AMOC is on tipping course. Sci Adv. 2024 Feb 9;10(6):eadk1189. </w:t>
      </w:r>
    </w:p>
    <w:p w14:paraId="7FDE670B" w14:textId="77777777" w:rsidR="00D90A3D" w:rsidRDefault="00D90A3D" w:rsidP="00D90A3D">
      <w:pPr>
        <w:pStyle w:val="Bibliography"/>
      </w:pPr>
      <w:r>
        <w:t>7.</w:t>
      </w:r>
      <w:r>
        <w:tab/>
        <w:t>Zickfeld K, Eby M, Weaver AJ. Carbon-cycle feedbacks of changes in the Atlantic meridional overturning circulation under future atmospheric CO2. Glob Biogeochem Cycles [Internet]. 2008 [cited 2024 Apr 4];22(3). Available from: https://onlinelibrary.wiley.com/doi/abs/10.1029/2007GB003118</w:t>
      </w:r>
    </w:p>
    <w:p w14:paraId="12241014" w14:textId="77777777" w:rsidR="00D90A3D" w:rsidRDefault="00D90A3D" w:rsidP="00D90A3D">
      <w:pPr>
        <w:pStyle w:val="Bibliography"/>
      </w:pPr>
      <w:r>
        <w:t>8.</w:t>
      </w:r>
      <w:r>
        <w:tab/>
        <w:t xml:space="preserve">Brovkin V, Brook E, Williams JW, Bathiany S, Lenton TM, Barton M, et al. Past abrupt changes, tipping points and cascading impacts in the Earth system. Nat Geosci. 2021 Aug;14(8):550–8. </w:t>
      </w:r>
    </w:p>
    <w:p w14:paraId="0C898524" w14:textId="77777777" w:rsidR="00D90A3D" w:rsidRDefault="00D90A3D" w:rsidP="00D90A3D">
      <w:pPr>
        <w:pStyle w:val="Bibliography"/>
      </w:pPr>
      <w:r>
        <w:t>9.</w:t>
      </w:r>
      <w:r>
        <w:tab/>
        <w:t xml:space="preserve">Rocha JC, Peterson G, Bodin Ö, Levin S. Cascading regime shifts within and across scales. Science. 2018 Dec 21;362(6421):1379–83. </w:t>
      </w:r>
    </w:p>
    <w:p w14:paraId="12C5808F" w14:textId="77777777" w:rsidR="00D90A3D" w:rsidRDefault="00D90A3D" w:rsidP="00D90A3D">
      <w:pPr>
        <w:pStyle w:val="Bibliography"/>
      </w:pPr>
      <w:r>
        <w:t>10.</w:t>
      </w:r>
      <w:r>
        <w:tab/>
        <w:t xml:space="preserve">Buckley MW, Marshall J. Observations, inferences, and mechanisms of the Atlantic Meridional Overturning Circulation: A review. Rev Geophys. 2016;54(1):5–63. </w:t>
      </w:r>
    </w:p>
    <w:p w14:paraId="3DE1B68E" w14:textId="77777777" w:rsidR="00D90A3D" w:rsidRDefault="00D90A3D" w:rsidP="00D90A3D">
      <w:pPr>
        <w:pStyle w:val="Bibliography"/>
      </w:pPr>
      <w:r>
        <w:t>11.</w:t>
      </w:r>
      <w:r>
        <w:tab/>
        <w:t>Goosse H. Climate System Dynamics and Modelling: [Internet]. 1st edn. Cambridge University Press; 2015 [cited 2024 Apr 20]. Available from: https://www.cambridge.org/highereducation/books/climate-system-dynamics-and-modelling/C8FC9D02159C8D9FD2146976AA8D28A6#contents</w:t>
      </w:r>
    </w:p>
    <w:p w14:paraId="17253FCD" w14:textId="77777777" w:rsidR="00D90A3D" w:rsidRDefault="00D90A3D" w:rsidP="00D90A3D">
      <w:pPr>
        <w:pStyle w:val="Bibliography"/>
      </w:pPr>
      <w:r>
        <w:t>12.</w:t>
      </w:r>
      <w:r>
        <w:tab/>
        <w:t xml:space="preserve">Stocker TF, Schmittner A. Influence of CO2 emission rates on the stability of the thermohaline circulation. Nature. 1997 Aug;388(6645):862–5. </w:t>
      </w:r>
    </w:p>
    <w:p w14:paraId="0B0D69A0" w14:textId="77777777" w:rsidR="00D90A3D" w:rsidRDefault="00D90A3D" w:rsidP="00D90A3D">
      <w:pPr>
        <w:pStyle w:val="Bibliography"/>
      </w:pPr>
      <w:r>
        <w:t>13.</w:t>
      </w:r>
      <w:r>
        <w:tab/>
        <w:t xml:space="preserve">Levang SJ, Schmitt RW. What Causes the AMOC to Weaken in CMIP5? J Clim. 2020 Feb 15;33(4):1535–45. </w:t>
      </w:r>
    </w:p>
    <w:p w14:paraId="1C99E3E9" w14:textId="77777777" w:rsidR="00D90A3D" w:rsidRDefault="00D90A3D" w:rsidP="00D90A3D">
      <w:pPr>
        <w:pStyle w:val="Bibliography"/>
      </w:pPr>
      <w:r>
        <w:t>14.</w:t>
      </w:r>
      <w:r>
        <w:tab/>
        <w:t xml:space="preserve">Gérard J, Crucifix M. Diagnosing the causes of AMOC slowdown in a coupled model: a cautionary tale. Earth Syst Dyn. 2024 Mar 22;15(2):293–306. </w:t>
      </w:r>
    </w:p>
    <w:p w14:paraId="56C931BE" w14:textId="77777777" w:rsidR="00D90A3D" w:rsidRDefault="00D90A3D" w:rsidP="00D90A3D">
      <w:pPr>
        <w:pStyle w:val="Bibliography"/>
      </w:pPr>
      <w:r>
        <w:t>15.</w:t>
      </w:r>
      <w:r>
        <w:tab/>
        <w:t xml:space="preserve">Bakker P, Schmittner A, Lenaerts JTM, Abe-Ouchi A, Bi D, van den Broeke MR, et al. Fate of the Atlantic Meridional Overturning Circulation: Strong decline under continued warming and Greenland melting. Geophys Res Lett. 2016;43(23):12,252-12,260. </w:t>
      </w:r>
    </w:p>
    <w:p w14:paraId="7F862687" w14:textId="77777777" w:rsidR="00D90A3D" w:rsidRDefault="00D90A3D" w:rsidP="00D90A3D">
      <w:pPr>
        <w:pStyle w:val="Bibliography"/>
      </w:pPr>
      <w:r>
        <w:t>16.</w:t>
      </w:r>
      <w:r>
        <w:tab/>
        <w:t xml:space="preserve">Bakker P, Schmittner A, Lenaerts JTM, Abe-Ouchi A, Bi D, van den Broeke MR, et al. Fate of the Atlantic Meridional Overturning Circulation: Strong decline under continued warming and Greenland melting. Geophys Res Lett. 2016;43(23):12,252-12,260. </w:t>
      </w:r>
    </w:p>
    <w:p w14:paraId="58810772" w14:textId="77777777" w:rsidR="00D90A3D" w:rsidRDefault="00D90A3D" w:rsidP="00D90A3D">
      <w:pPr>
        <w:pStyle w:val="Bibliography"/>
      </w:pPr>
      <w:r>
        <w:t>17.</w:t>
      </w:r>
      <w:r>
        <w:tab/>
        <w:t xml:space="preserve">Böning CW, Behrens E, Biastoch A, Getzlaff K, Bamber JL. Emerging impact of Greenland meltwater on deepwater formation in the North Atlantic Ocean. Nat Geosci. 2016 July;9(7):523–7. </w:t>
      </w:r>
    </w:p>
    <w:p w14:paraId="69078ABC" w14:textId="77777777" w:rsidR="00D90A3D" w:rsidRDefault="00D90A3D" w:rsidP="00D90A3D">
      <w:pPr>
        <w:pStyle w:val="Bibliography"/>
      </w:pPr>
      <w:r>
        <w:t>18.</w:t>
      </w:r>
      <w:r>
        <w:tab/>
        <w:t xml:space="preserve">Jackson LC, Alastrué de Asenjo E, Bellomo K, Danabasoglu G, Haak H, Hu A, et al. Understanding AMOC stability: the North Atlantic Hosing Model Intercomparison Project. Geosci Model Dev. 2023 Apr 6;16(7):1975–95. </w:t>
      </w:r>
    </w:p>
    <w:p w14:paraId="616244D5" w14:textId="77777777" w:rsidR="00D90A3D" w:rsidRDefault="00D90A3D" w:rsidP="00D90A3D">
      <w:pPr>
        <w:pStyle w:val="Bibliography"/>
      </w:pPr>
      <w:r>
        <w:t>19.</w:t>
      </w:r>
      <w:r>
        <w:tab/>
        <w:t xml:space="preserve">Romanou A, Rind D, Jonas J, Miller R, Kelley M, Russell G, et al. Stochastic Bifurcation of the North Atlantic Circulation under a Midrange Future Climate Scenario with the NASA-GISS ModelE. J Clim. </w:t>
      </w:r>
      <w:r>
        <w:lastRenderedPageBreak/>
        <w:t xml:space="preserve">2023 Aug 21;36(18):6141–61. </w:t>
      </w:r>
    </w:p>
    <w:p w14:paraId="11F786DC" w14:textId="77777777" w:rsidR="00D90A3D" w:rsidRDefault="00D90A3D" w:rsidP="00D90A3D">
      <w:pPr>
        <w:pStyle w:val="Bibliography"/>
      </w:pPr>
      <w:r>
        <w:t>20.</w:t>
      </w:r>
      <w:r>
        <w:tab/>
        <w:t xml:space="preserve">Stommel H. Thermohaline Convection with Two Stable Regimes of Flow. Tellus. 1961;13(2):224–30. </w:t>
      </w:r>
    </w:p>
    <w:p w14:paraId="5FFD537A" w14:textId="77777777" w:rsidR="00D90A3D" w:rsidRDefault="00D90A3D" w:rsidP="00D90A3D">
      <w:pPr>
        <w:pStyle w:val="Bibliography"/>
      </w:pPr>
      <w:r>
        <w:t>21.</w:t>
      </w:r>
      <w:r>
        <w:tab/>
        <w:t xml:space="preserve">Wang S, Foster A, Lenz EA, Kessler JD, Stroeve JC, Anderson LO, et al. Mechanisms and Impacts of Earth System Tipping Elements. Rev Geophys. 2023;61(1):e2021RG000757. </w:t>
      </w:r>
    </w:p>
    <w:p w14:paraId="147859F2" w14:textId="77777777" w:rsidR="00D90A3D" w:rsidRDefault="00D90A3D" w:rsidP="00D90A3D">
      <w:pPr>
        <w:pStyle w:val="Bibliography"/>
      </w:pPr>
      <w:r>
        <w:t>22.</w:t>
      </w:r>
      <w:r>
        <w:tab/>
        <w:t xml:space="preserve">Jackson LC, Wood RA. Hysteresis and Resilience of the AMOC in an Eddy-Permitting GCM. Geophys Res Lett. 2018;45(16):8547–56. </w:t>
      </w:r>
    </w:p>
    <w:p w14:paraId="681F5E98" w14:textId="77777777" w:rsidR="00D90A3D" w:rsidRDefault="00D90A3D" w:rsidP="00D90A3D">
      <w:pPr>
        <w:pStyle w:val="Bibliography"/>
      </w:pPr>
      <w:r>
        <w:t>23.</w:t>
      </w:r>
      <w:r>
        <w:tab/>
        <w:t xml:space="preserve">Rahmstorf S, Box JE, Feulner G, Mann ME, Robinson A, Rutherford S, et al. Exceptional twentieth-century slowdown in Atlantic Ocean overturning circulation. Nat Clim Change. 2015 May;5(5):475–80. </w:t>
      </w:r>
    </w:p>
    <w:p w14:paraId="167CEA94" w14:textId="77777777" w:rsidR="00D90A3D" w:rsidRDefault="00D90A3D" w:rsidP="00D90A3D">
      <w:pPr>
        <w:pStyle w:val="Bibliography"/>
      </w:pPr>
      <w:r>
        <w:t>24.</w:t>
      </w:r>
      <w:r>
        <w:tab/>
        <w:t xml:space="preserve">Caesar L, Rahmstorf S, Robinson A, Feulner G, Saba V. Observed fingerprint of a weakening Atlantic Ocean overturning circulation. Nature. 2018 Apr;556(7700):191–6. </w:t>
      </w:r>
    </w:p>
    <w:p w14:paraId="513FDED2" w14:textId="77777777" w:rsidR="00D90A3D" w:rsidRDefault="00D90A3D" w:rsidP="00D90A3D">
      <w:pPr>
        <w:pStyle w:val="Bibliography"/>
      </w:pPr>
      <w:r>
        <w:t>25.</w:t>
      </w:r>
      <w:r>
        <w:tab/>
        <w:t xml:space="preserve">Jackson LC, Biastoch A, Buckley MW, Desbruyères DG, Frajka-Williams E, Moat B, et al. The evolution of the North Atlantic Meridional Overturning Circulation since 1980. Nat Rev Earth Environ. 2022 Apr;3(4):241–54. </w:t>
      </w:r>
    </w:p>
    <w:p w14:paraId="1A53FAD4" w14:textId="77777777" w:rsidR="00D90A3D" w:rsidRDefault="00D90A3D" w:rsidP="00D90A3D">
      <w:pPr>
        <w:pStyle w:val="Bibliography"/>
      </w:pPr>
      <w:r>
        <w:t>26.</w:t>
      </w:r>
      <w:r>
        <w:tab/>
        <w:t>Clement AC, Peterson LC. Mechanisms of abrupt climate change of the last glacial period. Rev Geophys [Internet]. 2008 [cited 2024 Dec 9];46(4). Available from: https://onlinelibrary.wiley.com/doi/abs/10.1029/2006RG000204</w:t>
      </w:r>
    </w:p>
    <w:p w14:paraId="22CA5702" w14:textId="77777777" w:rsidR="00D90A3D" w:rsidRDefault="00D90A3D" w:rsidP="00D90A3D">
      <w:pPr>
        <w:pStyle w:val="Bibliography"/>
      </w:pPr>
      <w:r>
        <w:t>27.</w:t>
      </w:r>
      <w:r>
        <w:tab/>
        <w:t xml:space="preserve">Rahmstorf S. Ocean circulation and climate during the past 120,000 years. Nature. 2002 Sept;419(6903):207–14. </w:t>
      </w:r>
    </w:p>
    <w:p w14:paraId="47789FD9" w14:textId="77777777" w:rsidR="00D90A3D" w:rsidRDefault="00D90A3D" w:rsidP="00D90A3D">
      <w:pPr>
        <w:pStyle w:val="Bibliography"/>
      </w:pPr>
      <w:r>
        <w:t>28.</w:t>
      </w:r>
      <w:r>
        <w:tab/>
        <w:t>Rahmstorf S, Crucifix M, Ganopolski A, Goosse H, Kamenkovich I, Knutti R, et al. Thermohaline circulation hysteresis: A model intercomparison. Geophys Res Lett [Internet]. 2005 [cited 2023 Oct 22];32(23). Available from: https://onlinelibrary.wiley.com/doi/abs/10.1029/2005GL023655</w:t>
      </w:r>
    </w:p>
    <w:p w14:paraId="7999238B" w14:textId="77777777" w:rsidR="00D90A3D" w:rsidRDefault="00D90A3D" w:rsidP="00D90A3D">
      <w:pPr>
        <w:pStyle w:val="Bibliography"/>
      </w:pPr>
      <w:r>
        <w:t>29.</w:t>
      </w:r>
      <w:r>
        <w:tab/>
        <w:t xml:space="preserve">Weijer W, Cheng W, Drijfhout SS, Fedorov AV, Hu A, Jackson LC, et al. Stability of the Atlantic Meridional Overturning Circulation: A Review and Synthesis. J Geophys Res Oceans. 2019;124(8):5336–75. </w:t>
      </w:r>
    </w:p>
    <w:p w14:paraId="02F571ED" w14:textId="77777777" w:rsidR="00D90A3D" w:rsidRDefault="00D90A3D" w:rsidP="00D90A3D">
      <w:pPr>
        <w:pStyle w:val="Bibliography"/>
      </w:pPr>
      <w:r>
        <w:t>30.</w:t>
      </w:r>
      <w:r>
        <w:tab/>
        <w:t xml:space="preserve">Armstrong McKay DI, Staal A, Abrams JF, Winkelmann R, Sakschewski B, Loriani S, et al. Exceeding 1.5°C global warming could trigger multiple climate tipping points. Science. 2022 Sept 9;377(6611):eabn7950. </w:t>
      </w:r>
    </w:p>
    <w:p w14:paraId="1D205044" w14:textId="77777777" w:rsidR="00D90A3D" w:rsidRDefault="00D90A3D" w:rsidP="00D90A3D">
      <w:pPr>
        <w:pStyle w:val="Bibliography"/>
      </w:pPr>
      <w:r>
        <w:t>31.</w:t>
      </w:r>
      <w:r>
        <w:tab/>
        <w:t xml:space="preserve">Ditlevsen P, Ditlevsen S. Warning of a forthcoming collapse of the Atlantic meridional overturning circulation. Nat Commun. 2023 July 25;14(1):4254. </w:t>
      </w:r>
    </w:p>
    <w:p w14:paraId="7BB3F8E6" w14:textId="77777777" w:rsidR="00D90A3D" w:rsidRDefault="00D90A3D" w:rsidP="00D90A3D">
      <w:pPr>
        <w:pStyle w:val="Bibliography"/>
      </w:pPr>
      <w:r>
        <w:t>32.</w:t>
      </w:r>
      <w:r>
        <w:tab/>
        <w:t xml:space="preserve">Ritchie P, Karabacak Ö, Sieber J. Inverse-square law between time and amplitude for crossing tipping thresholds. Proc R Soc Math Phys Eng Sci. 2019 Feb 27;475(2222):20180504. </w:t>
      </w:r>
    </w:p>
    <w:p w14:paraId="4260893D" w14:textId="77777777" w:rsidR="00D90A3D" w:rsidRDefault="00D90A3D" w:rsidP="00D90A3D">
      <w:pPr>
        <w:pStyle w:val="Bibliography"/>
      </w:pPr>
      <w:r>
        <w:t>33.</w:t>
      </w:r>
      <w:r>
        <w:tab/>
        <w:t xml:space="preserve">Klose AK, Donges JF, Feudel U, Winkelmann R. Rate-induced tipping cascades arising from interactions between the Greenland Ice Sheet and the Atlantic Meridional Overturning Circulation. Earth Syst Dyn. 2024 May 27;15(3):635–52. </w:t>
      </w:r>
    </w:p>
    <w:p w14:paraId="0C7DC267" w14:textId="77777777" w:rsidR="00D90A3D" w:rsidRDefault="00D90A3D" w:rsidP="00D90A3D">
      <w:pPr>
        <w:pStyle w:val="Bibliography"/>
      </w:pPr>
      <w:r>
        <w:t>34.</w:t>
      </w:r>
      <w:r>
        <w:tab/>
        <w:t xml:space="preserve">Klose AK, Wunderling N, Winkelmann R, Donges JF. What do we mean, ‘tipping cascade’? Environ Res Lett. 2021 Dec;16(12):125011. </w:t>
      </w:r>
    </w:p>
    <w:p w14:paraId="4F97A9B5" w14:textId="77777777" w:rsidR="00D90A3D" w:rsidRDefault="00D90A3D" w:rsidP="00D90A3D">
      <w:pPr>
        <w:pStyle w:val="Bibliography"/>
      </w:pPr>
      <w:r>
        <w:t>35.</w:t>
      </w:r>
      <w:r>
        <w:tab/>
        <w:t xml:space="preserve">Sinet S, von der Heydt AS, Dijkstra HA. AMOC Stabilization Under the Interaction With Tipping Polar Ice Sheets. Geophys Res Lett. 2023;50(2):e2022GL100305. </w:t>
      </w:r>
    </w:p>
    <w:p w14:paraId="085658C1" w14:textId="77777777" w:rsidR="00D90A3D" w:rsidRPr="00DC53C5" w:rsidRDefault="00D90A3D" w:rsidP="00D90A3D">
      <w:pPr>
        <w:pStyle w:val="Bibliography"/>
        <w:rPr>
          <w:lang w:val="fr-BE"/>
        </w:rPr>
      </w:pPr>
      <w:r>
        <w:lastRenderedPageBreak/>
        <w:t>36.</w:t>
      </w:r>
      <w:r>
        <w:tab/>
        <w:t xml:space="preserve">Wood RA, Rodríguez JM, Smith RS, Jackson LC, Hawkins E. Observable, low-order dynamical controls on thresholds of the Atlantic meridional overturning circulation. </w:t>
      </w:r>
      <w:r w:rsidRPr="00DC53C5">
        <w:rPr>
          <w:lang w:val="fr-BE"/>
        </w:rPr>
        <w:t xml:space="preserve">Clim Dyn. 2019 Dec 1;53(11):6815–34. </w:t>
      </w:r>
    </w:p>
    <w:p w14:paraId="739788FA" w14:textId="77777777" w:rsidR="00D90A3D" w:rsidRDefault="00D90A3D" w:rsidP="00D90A3D">
      <w:pPr>
        <w:pStyle w:val="Bibliography"/>
      </w:pPr>
      <w:r w:rsidRPr="00DC53C5">
        <w:rPr>
          <w:lang w:val="fr-BE"/>
        </w:rPr>
        <w:t>37.</w:t>
      </w:r>
      <w:r w:rsidRPr="00DC53C5">
        <w:rPr>
          <w:lang w:val="fr-BE"/>
        </w:rPr>
        <w:tab/>
        <w:t xml:space="preserve">Claussen M, Mysak L, Weaver A, Crucifix M, Fichefet T, Loutre MF, et al. </w:t>
      </w:r>
      <w:r>
        <w:t xml:space="preserve">Earth system models of intermediate complexity: closing the gap in the spectrum of climate system models. Clim Dyn. 2002 Mar 1;18(7):579–86. </w:t>
      </w:r>
    </w:p>
    <w:p w14:paraId="176EC6C0" w14:textId="77777777" w:rsidR="00D90A3D" w:rsidRDefault="00D90A3D" w:rsidP="00D90A3D">
      <w:pPr>
        <w:pStyle w:val="Bibliography"/>
      </w:pPr>
      <w:r>
        <w:t>38.</w:t>
      </w:r>
      <w:r>
        <w:tab/>
        <w:t xml:space="preserve">Liu W, Xie SP, Liu Z, Zhu J. Overlooked possibility of a collapsed Atlantic Meridional Overturning Circulation in warming climate. Sci Adv. 2017 Jan 4;3(1):e1601666. </w:t>
      </w:r>
    </w:p>
    <w:p w14:paraId="0FCB64D5" w14:textId="77777777" w:rsidR="00D90A3D" w:rsidRDefault="00D90A3D" w:rsidP="00D90A3D">
      <w:pPr>
        <w:pStyle w:val="Bibliography"/>
      </w:pPr>
      <w:r>
        <w:t>39.</w:t>
      </w:r>
      <w:r>
        <w:tab/>
        <w:t>Mecking JV, Drijfhout SS, Jackson LC, Andrews MB. The effect of model bias on Atlantic freshwater transport and implications for AMOC bi-stability. Tellus Dyn Meteorol Oceanogr [Internet]. 2017 Jan 1 [cited 2025 Jan 14];69(1). Available from: https://a.tellusjournals.se/articles/10.1080/16000870.2017.1299910</w:t>
      </w:r>
    </w:p>
    <w:p w14:paraId="08E7F1E2" w14:textId="77777777" w:rsidR="00D90A3D" w:rsidRDefault="00D90A3D" w:rsidP="00D90A3D">
      <w:pPr>
        <w:pStyle w:val="Bibliography"/>
      </w:pPr>
      <w:r>
        <w:t>40.</w:t>
      </w:r>
      <w:r>
        <w:tab/>
        <w:t xml:space="preserve">Couplet V, Wunderling N, Crucifix M. Tipping interactions and cascades on multimillennial time scales in a model of reduced complexity. 2024; </w:t>
      </w:r>
    </w:p>
    <w:p w14:paraId="45372EE9" w14:textId="77777777" w:rsidR="00D90A3D" w:rsidRDefault="00D90A3D" w:rsidP="00D90A3D">
      <w:pPr>
        <w:pStyle w:val="Bibliography"/>
      </w:pPr>
      <w:r>
        <w:t>41.</w:t>
      </w:r>
      <w:r>
        <w:tab/>
        <w:t xml:space="preserve">Dekker MM, von der Heydt AS, Dijkstra HA. Cascading transitions in the climate system. Earth Syst Dyn. 2018 Nov 6;9(4):1243–60. </w:t>
      </w:r>
    </w:p>
    <w:p w14:paraId="710F893E" w14:textId="77777777" w:rsidR="00D90A3D" w:rsidRDefault="00D90A3D" w:rsidP="00D90A3D">
      <w:pPr>
        <w:pStyle w:val="Bibliography"/>
      </w:pPr>
      <w:r>
        <w:t>42.</w:t>
      </w:r>
      <w:r>
        <w:tab/>
        <w:t xml:space="preserve">Wunderling N, Donges JF, Kurths J, Winkelmann R. Interacting tipping elements increase risk of climate domino effects under global warming. Earth Syst Dyn. 2021 June 3;12(2):601–19. </w:t>
      </w:r>
    </w:p>
    <w:p w14:paraId="7C10FF3D" w14:textId="77777777" w:rsidR="00D90A3D" w:rsidRDefault="00D90A3D" w:rsidP="00D90A3D">
      <w:pPr>
        <w:pStyle w:val="Bibliography"/>
      </w:pPr>
      <w:r>
        <w:t>43.</w:t>
      </w:r>
      <w:r>
        <w:tab/>
        <w:t xml:space="preserve">Klose AK, Karle V, Winkelmann R, Donges JF. Emergence of cascading dynamics in interacting tipping elements of ecology and climate. R Soc Open Sci. 2020 June 24;7(6):200599. </w:t>
      </w:r>
    </w:p>
    <w:p w14:paraId="331CC0C5" w14:textId="77777777" w:rsidR="00D90A3D" w:rsidRDefault="00D90A3D" w:rsidP="00D90A3D">
      <w:pPr>
        <w:pStyle w:val="Bibliography"/>
      </w:pPr>
      <w:r>
        <w:t>44.</w:t>
      </w:r>
      <w:r>
        <w:tab/>
        <w:t xml:space="preserve">Liu W, Liu Z. A Diagnostic Indicator of the Stability of the Atlantic Meridional Overturning Circulation in CCSM3. J Clim. 2013 Mar 15;26(6):1926–38. </w:t>
      </w:r>
    </w:p>
    <w:p w14:paraId="711C17E9" w14:textId="77777777" w:rsidR="00D90A3D" w:rsidRDefault="00D90A3D" w:rsidP="00D90A3D">
      <w:pPr>
        <w:pStyle w:val="Bibliography"/>
      </w:pPr>
      <w:r>
        <w:t>45.</w:t>
      </w:r>
      <w:r>
        <w:tab/>
        <w:t xml:space="preserve">Rahmstorf S. On the freshwater forcing and transport of the Atlantic thermohaline circulation. Clim Dyn. 1996 Nov 1;12(12):799–811. </w:t>
      </w:r>
    </w:p>
    <w:p w14:paraId="5DCE3762" w14:textId="77777777" w:rsidR="00D90A3D" w:rsidRDefault="00D90A3D" w:rsidP="00D90A3D">
      <w:pPr>
        <w:pStyle w:val="Bibliography"/>
      </w:pPr>
      <w:r>
        <w:t>46.</w:t>
      </w:r>
      <w:r>
        <w:tab/>
        <w:t>de Vries P, Weber SL. The Atlantic freshwater budget as a diagnostic for the existence of a stable shut down of the meridional overturning circulation. Geophys Res Lett [Internet]. 2005 [cited 2024 Dec 10];32(9). Available from: https://onlinelibrary.wiley.com/doi/abs/10.1029/2004GL021450</w:t>
      </w:r>
    </w:p>
    <w:p w14:paraId="4B2FA09D" w14:textId="77777777" w:rsidR="00D90A3D" w:rsidRDefault="00D90A3D" w:rsidP="00D90A3D">
      <w:pPr>
        <w:pStyle w:val="Bibliography"/>
      </w:pPr>
      <w:r>
        <w:t>47.</w:t>
      </w:r>
      <w:r>
        <w:tab/>
        <w:t>Oakley JE, Youngman BD. Calibration of Complex Computer Simulators using Likelihood Emulation [Internet]. arXiv; 2014 [cited 2025 Oct 15]. Available from: http://arxiv.org/abs/1403.5196</w:t>
      </w:r>
    </w:p>
    <w:p w14:paraId="7D318418" w14:textId="77777777" w:rsidR="00D90A3D" w:rsidRDefault="00D90A3D" w:rsidP="00D90A3D">
      <w:pPr>
        <w:pStyle w:val="Bibliography"/>
      </w:pPr>
      <w:r>
        <w:t>48.</w:t>
      </w:r>
      <w:r>
        <w:tab/>
        <w:t>Martínez Montero M, Crucifix M, Couplet V, Brede N, Botta N. SURFER v2.0: a flexible and simple model linking anthropogenic CO</w:t>
      </w:r>
      <w:r>
        <w:rPr>
          <w:vertAlign w:val="subscript"/>
        </w:rPr>
        <w:t>2</w:t>
      </w:r>
      <w:r>
        <w:t xml:space="preserve"> emissions and solar radiation modification to ocean acidification and sea level rise. Geosci Model Dev. 2022 Nov 9;15(21):8059–84. </w:t>
      </w:r>
    </w:p>
    <w:p w14:paraId="6FA57D7C" w14:textId="77777777" w:rsidR="00D90A3D" w:rsidRDefault="00D90A3D" w:rsidP="00D90A3D">
      <w:pPr>
        <w:pStyle w:val="Bibliography"/>
      </w:pPr>
      <w:r>
        <w:t>49.</w:t>
      </w:r>
      <w:r>
        <w:tab/>
        <w:t xml:space="preserve">Couplet V, Martínez Montero M, Crucifix M. SURFER v3.0: a fast model with ice sheet tipping points and carbon cycle feedbacks for short and long-term climate scenarios. EGUsphere. 2024 Sept 11;1–77. </w:t>
      </w:r>
    </w:p>
    <w:p w14:paraId="3ACBE61F" w14:textId="77777777" w:rsidR="00D90A3D" w:rsidRDefault="00D90A3D" w:rsidP="00D90A3D">
      <w:pPr>
        <w:pStyle w:val="Bibliography"/>
      </w:pPr>
      <w:r>
        <w:t>50.</w:t>
      </w:r>
      <w:r>
        <w:tab/>
        <w:t xml:space="preserve">Armstrong McKay DI, Staal A, Abrams JF, Winkelmann R, Sakschewski B, Loriani S, et al. Exceeding 1.5°C global warming could trigger multiple climate tipping points. Science. 2022 Sept 9;377(6611):eabn7950. </w:t>
      </w:r>
    </w:p>
    <w:p w14:paraId="3B4818A4" w14:textId="77777777" w:rsidR="00D90A3D" w:rsidRDefault="00D90A3D" w:rsidP="00D90A3D">
      <w:pPr>
        <w:pStyle w:val="Bibliography"/>
      </w:pPr>
      <w:r>
        <w:t>51.</w:t>
      </w:r>
      <w:r>
        <w:tab/>
        <w:t>Ridgwell A. cGENIE.muffin EMIC Documentation. 2022; Available from: https://www.seao2.info/mymuffin.html</w:t>
      </w:r>
    </w:p>
    <w:p w14:paraId="57E61C33" w14:textId="77777777" w:rsidR="00D90A3D" w:rsidRDefault="00D90A3D" w:rsidP="00D90A3D">
      <w:pPr>
        <w:pStyle w:val="Bibliography"/>
      </w:pPr>
      <w:r>
        <w:t>52.</w:t>
      </w:r>
      <w:r>
        <w:tab/>
        <w:t xml:space="preserve">Marsh R, Sóbester A, Hart EE, Oliver KIC, Edwards NR, Cox SJ. An optimally tuned ensemble of the </w:t>
      </w:r>
      <w:r>
        <w:lastRenderedPageBreak/>
        <w:t xml:space="preserve">‘eb_go_gs’ configuration of GENIE: parameter sensitivity and bifurcations in the Atlantic overturning circulation. Geosci Model Dev. 2013 Oct 21;6(5):1729–44. </w:t>
      </w:r>
    </w:p>
    <w:p w14:paraId="31D4BB74" w14:textId="77777777" w:rsidR="00D90A3D" w:rsidRDefault="00D90A3D" w:rsidP="00D90A3D">
      <w:pPr>
        <w:pStyle w:val="Bibliography"/>
      </w:pPr>
      <w:r>
        <w:t>53.</w:t>
      </w:r>
      <w:r>
        <w:tab/>
        <w:t xml:space="preserve">Edwards NR, Marsh R. Uncertainties due to transport-parameter sensitivity in an efficient 3-D ocean-climate model. Clim Dyn. 2005 Mar 1;24(4):415–33. </w:t>
      </w:r>
    </w:p>
    <w:p w14:paraId="49280C55" w14:textId="77777777" w:rsidR="00D90A3D" w:rsidRPr="00DC53C5" w:rsidRDefault="00D90A3D" w:rsidP="00D90A3D">
      <w:pPr>
        <w:pStyle w:val="Bibliography"/>
        <w:rPr>
          <w:lang w:val="fr-BE"/>
        </w:rPr>
      </w:pPr>
      <w:r>
        <w:t>54.</w:t>
      </w:r>
      <w:r>
        <w:tab/>
        <w:t xml:space="preserve">Laridon Amaury. Development of a Simplified Dynamics Emulator and Investigation of Cascading Collapses of the AMOC and Greenland Ice Sheet in a Climate Model [Internet]. </w:t>
      </w:r>
      <w:r w:rsidRPr="00DC53C5">
        <w:rPr>
          <w:lang w:val="fr-BE"/>
        </w:rPr>
        <w:t>UCLouvain; 2024. Available from: https://dial.uclouvain.be/memoire/ucl/object/thesis:46552</w:t>
      </w:r>
    </w:p>
    <w:p w14:paraId="206E05C1" w14:textId="77777777" w:rsidR="00D90A3D" w:rsidRDefault="00D90A3D" w:rsidP="00D90A3D">
      <w:pPr>
        <w:pStyle w:val="Bibliography"/>
      </w:pPr>
      <w:r>
        <w:t>55.</w:t>
      </w:r>
      <w:r>
        <w:tab/>
        <w:t xml:space="preserve">Couplet V. Tipping cascades, future Earth system trajectories, and the prospect of a hothouse : a study with a reduced-complexity model. 2025. </w:t>
      </w:r>
    </w:p>
    <w:p w14:paraId="37DF6DAB" w14:textId="77777777" w:rsidR="00D90A3D" w:rsidRDefault="00D90A3D" w:rsidP="00D90A3D">
      <w:pPr>
        <w:pStyle w:val="Bibliography"/>
      </w:pPr>
      <w:r>
        <w:t>56.</w:t>
      </w:r>
      <w:r>
        <w:tab/>
        <w:t xml:space="preserve">Liu W, Xie SP, Liu Z, Zhu J. Overlooked possibility of a collapsed Atlantic Meridional Overturning Circulation in warming climate. Sci Adv. 2017 Jan 6;3(1):e1601666. </w:t>
      </w:r>
    </w:p>
    <w:p w14:paraId="117F0793" w14:textId="77777777" w:rsidR="00D90A3D" w:rsidRDefault="00D90A3D" w:rsidP="00D90A3D">
      <w:pPr>
        <w:pStyle w:val="Bibliography"/>
      </w:pPr>
      <w:r>
        <w:t>57.</w:t>
      </w:r>
      <w:r>
        <w:tab/>
        <w:t xml:space="preserve">Smith CJ, Forster PM, Allen M, Leach N, Millar RJ, Passerello GA, et al. FAIR v1.3: a simple emissions-based impulse response and carbon cycle model. Geosci Model Dev. 2018 June 18;11(6):2273–97. </w:t>
      </w:r>
    </w:p>
    <w:p w14:paraId="51524CB2" w14:textId="77777777" w:rsidR="00D90A3D" w:rsidRDefault="00D90A3D" w:rsidP="00D90A3D">
      <w:pPr>
        <w:pStyle w:val="Bibliography"/>
      </w:pPr>
      <w:r>
        <w:t>58.</w:t>
      </w:r>
      <w:r>
        <w:tab/>
        <w:t>Andy Ridgwell, Chris Reinhard, Sebastiaan van de Velde, Markus Adloff, Fanny Monteiro, Camillalxy98, et al. derpycode/cgenie.muffin: v0.9.67 [Internet]. Zenodo; 2025 [cited 2025 Oct 17]. Available from: https://zenodo.org/doi/10.5281/zenodo.17372071</w:t>
      </w:r>
    </w:p>
    <w:p w14:paraId="5D552EA4" w14:textId="77777777" w:rsidR="00D90A3D" w:rsidRDefault="00D90A3D" w:rsidP="00D90A3D">
      <w:pPr>
        <w:pStyle w:val="Bibliography"/>
      </w:pPr>
      <w:r>
        <w:t>59.</w:t>
      </w:r>
      <w:r>
        <w:tab/>
        <w:t>Andy Ridgwell, Dominik Hülse, Carlye Peterson, Ben Ward, Ted, evansmn, et al. derpycode/muffindoc: v0.24-574-NSF [Internet]. Zenodo; 2024 [cited 2025 Oct 17]. Available from: https://zenodo.org/doi/10.5281/zenodo.13377225</w:t>
      </w:r>
    </w:p>
    <w:p w14:paraId="7F3E1AD0" w14:textId="3E6970F8" w:rsidR="008A0528" w:rsidRPr="00DE5E49" w:rsidRDefault="00B84193" w:rsidP="00AF21EA">
      <w:pPr>
        <w:pStyle w:val="Bibliography"/>
      </w:pPr>
      <w:r w:rsidRPr="00452C9A">
        <w:rPr>
          <w:sz w:val="14"/>
          <w:szCs w:val="14"/>
        </w:rPr>
        <w:fldChar w:fldCharType="end"/>
      </w:r>
      <w:bookmarkStart w:id="9" w:name="_bookmark2"/>
      <w:bookmarkEnd w:id="9"/>
    </w:p>
    <w:sectPr w:rsidR="008A0528" w:rsidRPr="00DE5E49" w:rsidSect="008F7963">
      <w:headerReference w:type="default" r:id="rId29"/>
      <w:footerReference w:type="default" r:id="rId30"/>
      <w:type w:val="continuous"/>
      <w:pgSz w:w="11906" w:h="16838"/>
      <w:pgMar w:top="1240" w:right="920" w:bottom="700" w:left="920" w:header="528" w:footer="504"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997F3" w14:textId="77777777" w:rsidR="00BD6E40" w:rsidRDefault="00BD6E40">
      <w:r>
        <w:separator/>
      </w:r>
    </w:p>
  </w:endnote>
  <w:endnote w:type="continuationSeparator" w:id="0">
    <w:p w14:paraId="2270D4FB" w14:textId="77777777" w:rsidR="00BD6E40" w:rsidRDefault="00BD6E40">
      <w:r>
        <w:continuationSeparator/>
      </w:r>
    </w:p>
  </w:endnote>
  <w:endnote w:type="continuationNotice" w:id="1">
    <w:p w14:paraId="7761E952" w14:textId="77777777" w:rsidR="00BD6E40" w:rsidRDefault="00BD6E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A430A" w14:textId="52386191" w:rsidR="005B5901" w:rsidRDefault="005B5901">
    <w:pPr>
      <w:pStyle w:val="Footer"/>
    </w:pPr>
    <w:r>
      <w:rPr>
        <w:noProof/>
      </w:rPr>
      <mc:AlternateContent>
        <mc:Choice Requires="wps">
          <w:drawing>
            <wp:anchor distT="0" distB="2540" distL="0" distR="0" simplePos="0" relativeHeight="251658241" behindDoc="1" locked="0" layoutInCell="0" allowOverlap="1" wp14:anchorId="409A3A3B" wp14:editId="77B8C212">
              <wp:simplePos x="0" y="0"/>
              <wp:positionH relativeFrom="page">
                <wp:posOffset>0</wp:posOffset>
              </wp:positionH>
              <wp:positionV relativeFrom="page">
                <wp:posOffset>10238740</wp:posOffset>
              </wp:positionV>
              <wp:extent cx="7562850" cy="263525"/>
              <wp:effectExtent l="0" t="0" r="0" b="3175"/>
              <wp:wrapNone/>
              <wp:docPr id="1587240099" name="MSIPCM356a4cc5bdda75b654a7ef3d" descr="{&quot;HashCode&quot;:-134840300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562880" cy="263520"/>
                      </a:xfrm>
                      <a:prstGeom prst="rect">
                        <a:avLst/>
                      </a:prstGeom>
                      <a:noFill/>
                      <a:ln w="6350">
                        <a:noFill/>
                      </a:ln>
                    </wps:spPr>
                    <wps:style>
                      <a:lnRef idx="0">
                        <a:scrgbClr r="0" g="0" b="0"/>
                      </a:lnRef>
                      <a:fillRef idx="0">
                        <a:scrgbClr r="0" g="0" b="0"/>
                      </a:fillRef>
                      <a:effectRef idx="0">
                        <a:scrgbClr r="0" g="0" b="0"/>
                      </a:effectRef>
                      <a:fontRef idx="minor"/>
                    </wps:style>
                    <wps:txbx>
                      <w:txbxContent>
                        <w:sdt>
                          <w:sdtPr>
                            <w:id w:val="-1422484501"/>
                            <w:docPartObj>
                              <w:docPartGallery w:val="Page Numbers (Top of Page)"/>
                              <w:docPartUnique/>
                            </w:docPartObj>
                          </w:sdtPr>
                          <w:sdtContent>
                            <w:p w14:paraId="6A3C58EB" w14:textId="77777777" w:rsidR="005B5901" w:rsidRDefault="005B5901">
                              <w:pPr>
                                <w:pStyle w:val="FrameContents"/>
                                <w:rPr>
                                  <w:color w:val="000000"/>
                                </w:rPr>
                              </w:pPr>
                              <w:r>
                                <w:rPr>
                                  <w:color w:val="000000"/>
                                </w:rPr>
                                <w:t>Information Classification: General</w:t>
                              </w:r>
                            </w:p>
                          </w:sdtContent>
                        </w:sdt>
                      </w:txbxContent>
                    </wps:txbx>
                    <wps:bodyPr lIns="254160" tIns="0" bIns="0" anchor="b">
                      <a:prstTxWarp prst="textNoShape">
                        <a:avLst/>
                      </a:prstTxWarp>
                      <a:noAutofit/>
                    </wps:bodyPr>
                  </wps:wsp>
                </a:graphicData>
              </a:graphic>
            </wp:anchor>
          </w:drawing>
        </mc:Choice>
        <mc:Fallback>
          <w:pict>
            <v:rect w14:anchorId="409A3A3B" id="MSIPCM356a4cc5bdda75b654a7ef3d" o:spid="_x0000_s1026" alt="{&quot;HashCode&quot;:-1348403003,&quot;Height&quot;:842.0,&quot;Width&quot;:595.0,&quot;Placement&quot;:&quot;Footer&quot;,&quot;Index&quot;:&quot;Primary&quot;,&quot;Section&quot;:1,&quot;Top&quot;:0.0,&quot;Left&quot;:0.0}" style="position:absolute;left:0;text-align:left;margin-left:0;margin-top:806.2pt;width:595.5pt;height:20.75pt;z-index:-251658239;visibility:visible;mso-wrap-style:square;mso-wrap-distance-left:0;mso-wrap-distance-top:0;mso-wrap-distance-right:0;mso-wrap-distance-bottom:.2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" o:allowincell="f" filled="f" stroked="f" strokeweight=".5pt">
              <v:textbox inset="7.06mm,0,,0">
                <w:txbxContent>
                  <w:sdt>
                    <w:sdtPr>
                      <w:id w:val="-1422484501"/>
                      <w:docPartObj>
                        <w:docPartGallery w:val="Page Numbers (Top of Page)"/>
                        <w:docPartUnique/>
                      </w:docPartObj>
                    </w:sdtPr>
                    <w:sdtContent>
                      <w:p w14:paraId="6A3C58EB" w14:textId="77777777" w:rsidR="005B5901" w:rsidRDefault="005B5901">
                        <w:pPr>
                          <w:pStyle w:val="FrameContents"/>
                          <w:rPr>
                            <w:color w:val="000000"/>
                          </w:rPr>
                        </w:pPr>
                        <w:r>
                          <w:rPr>
                            <w:color w:val="000000"/>
                          </w:rPr>
                          <w:t>Information Classification: General</w:t>
                        </w:r>
                      </w:p>
                    </w:sdtContent>
                  </w:sdt>
                </w:txbxContent>
              </v:textbox>
              <w10:wrap anchorx="page" anchory="page"/>
            </v:rect>
          </w:pict>
        </mc:Fallback>
      </mc:AlternateContent>
    </w:r>
    <w:r>
      <w:t xml:space="preserve">Page </w:t>
    </w:r>
    <w:r>
      <w:fldChar w:fldCharType="begin"/>
    </w:r>
    <w:r>
      <w:instrText xml:space="preserve"> PAGE </w:instrText>
    </w:r>
    <w:r>
      <w:fldChar w:fldCharType="separate"/>
    </w:r>
    <w:r>
      <w:t>24</w:t>
    </w:r>
    <w:r>
      <w:fldChar w:fldCharType="end"/>
    </w:r>
    <w:r>
      <w:t xml:space="preserve"> of </w:t>
    </w:r>
    <w:r>
      <w:fldChar w:fldCharType="begin"/>
    </w:r>
    <w:r>
      <w:instrText xml:space="preserve"> NUMPAGES </w:instrText>
    </w:r>
    <w:r>
      <w:fldChar w:fldCharType="separate"/>
    </w:r>
    <w:r>
      <w:t>24</w:t>
    </w:r>
    <w:r>
      <w:fldChar w:fldCharType="end"/>
    </w:r>
  </w:p>
  <w:p w14:paraId="498AA336" w14:textId="77777777" w:rsidR="005B5901" w:rsidRDefault="005B5901">
    <w:pPr>
      <w:pStyle w:val="Body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B8D36" w14:textId="77777777" w:rsidR="00BD6E40" w:rsidRDefault="00BD6E40">
      <w:r>
        <w:separator/>
      </w:r>
    </w:p>
  </w:footnote>
  <w:footnote w:type="continuationSeparator" w:id="0">
    <w:p w14:paraId="25E21786" w14:textId="77777777" w:rsidR="00BD6E40" w:rsidRDefault="00BD6E40">
      <w:r>
        <w:continuationSeparator/>
      </w:r>
    </w:p>
  </w:footnote>
  <w:footnote w:type="continuationNotice" w:id="1">
    <w:p w14:paraId="26DCBF30" w14:textId="77777777" w:rsidR="00BD6E40" w:rsidRDefault="00BD6E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7A9B1" w14:textId="77777777" w:rsidR="005B5901" w:rsidRDefault="005B5901">
    <w:pPr>
      <w:pStyle w:val="Header"/>
    </w:pPr>
    <w:hyperlink r:id="rId1">
      <w:r>
        <w:rPr>
          <w:rStyle w:val="Hyperlink"/>
          <w:color w:val="004494"/>
          <w:u w:val="none"/>
        </w:rPr>
        <w:t xml:space="preserve"> </w:t>
      </w:r>
      <w:r>
        <w:rPr>
          <w:rStyle w:val="Hyperlink"/>
          <w:rFonts w:ascii="Arial" w:hAnsi="Arial" w:cs="Arial"/>
          <w:color w:val="004494"/>
          <w:sz w:val="18"/>
          <w:szCs w:val="18"/>
          <w:u w:val="none"/>
        </w:rPr>
        <w:t xml:space="preserve">https://open-research-europe.ec.europa.eu </w:t>
      </w:r>
    </w:hyperlink>
    <w:r>
      <w:t xml:space="preserve"> | editorial@open-research-europe.ec.europa.eu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6C5EB4"/>
    <w:multiLevelType w:val="multilevel"/>
    <w:tmpl w:val="BEA8C308"/>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720" w:hanging="72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1" w15:restartNumberingAfterBreak="0">
    <w:nsid w:val="50977CC3"/>
    <w:multiLevelType w:val="multilevel"/>
    <w:tmpl w:val="31B42E7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19331755">
    <w:abstractNumId w:val="0"/>
  </w:num>
  <w:num w:numId="2" w16cid:durableId="1869416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01E"/>
    <w:rsid w:val="000002D5"/>
    <w:rsid w:val="00000B79"/>
    <w:rsid w:val="0000108C"/>
    <w:rsid w:val="000013C9"/>
    <w:rsid w:val="00004816"/>
    <w:rsid w:val="0000598E"/>
    <w:rsid w:val="00005A44"/>
    <w:rsid w:val="00005D7A"/>
    <w:rsid w:val="000069B8"/>
    <w:rsid w:val="00006E52"/>
    <w:rsid w:val="00006F90"/>
    <w:rsid w:val="0000754A"/>
    <w:rsid w:val="00010DD6"/>
    <w:rsid w:val="00011BC1"/>
    <w:rsid w:val="00012D69"/>
    <w:rsid w:val="00012F7B"/>
    <w:rsid w:val="00013C6A"/>
    <w:rsid w:val="00013D89"/>
    <w:rsid w:val="0001460A"/>
    <w:rsid w:val="000149E7"/>
    <w:rsid w:val="00015424"/>
    <w:rsid w:val="00016460"/>
    <w:rsid w:val="000164EB"/>
    <w:rsid w:val="00016DDA"/>
    <w:rsid w:val="00017506"/>
    <w:rsid w:val="00020671"/>
    <w:rsid w:val="000217DC"/>
    <w:rsid w:val="00021859"/>
    <w:rsid w:val="00022453"/>
    <w:rsid w:val="000224AA"/>
    <w:rsid w:val="000225A1"/>
    <w:rsid w:val="0002369A"/>
    <w:rsid w:val="00023982"/>
    <w:rsid w:val="000246DB"/>
    <w:rsid w:val="0002544D"/>
    <w:rsid w:val="00026568"/>
    <w:rsid w:val="00027388"/>
    <w:rsid w:val="00027CE9"/>
    <w:rsid w:val="00030337"/>
    <w:rsid w:val="00032DA5"/>
    <w:rsid w:val="0003389F"/>
    <w:rsid w:val="000338EC"/>
    <w:rsid w:val="00033E2F"/>
    <w:rsid w:val="00034156"/>
    <w:rsid w:val="00035081"/>
    <w:rsid w:val="00035778"/>
    <w:rsid w:val="00036169"/>
    <w:rsid w:val="0003618D"/>
    <w:rsid w:val="00036F58"/>
    <w:rsid w:val="0003768B"/>
    <w:rsid w:val="00037D08"/>
    <w:rsid w:val="00037F2D"/>
    <w:rsid w:val="000403A4"/>
    <w:rsid w:val="00040DF2"/>
    <w:rsid w:val="00041C2B"/>
    <w:rsid w:val="00041C84"/>
    <w:rsid w:val="00042B31"/>
    <w:rsid w:val="00042F4C"/>
    <w:rsid w:val="00042FB7"/>
    <w:rsid w:val="0004432E"/>
    <w:rsid w:val="00044A8C"/>
    <w:rsid w:val="00045415"/>
    <w:rsid w:val="00045676"/>
    <w:rsid w:val="00045FC4"/>
    <w:rsid w:val="000460B6"/>
    <w:rsid w:val="000501B2"/>
    <w:rsid w:val="00050835"/>
    <w:rsid w:val="0005101D"/>
    <w:rsid w:val="00052833"/>
    <w:rsid w:val="00053576"/>
    <w:rsid w:val="0005562B"/>
    <w:rsid w:val="00055A27"/>
    <w:rsid w:val="0005600C"/>
    <w:rsid w:val="00056D81"/>
    <w:rsid w:val="00057116"/>
    <w:rsid w:val="00057294"/>
    <w:rsid w:val="00060115"/>
    <w:rsid w:val="00061AB0"/>
    <w:rsid w:val="00061BBF"/>
    <w:rsid w:val="00061F18"/>
    <w:rsid w:val="00061F5B"/>
    <w:rsid w:val="00063880"/>
    <w:rsid w:val="00063A04"/>
    <w:rsid w:val="00063CAE"/>
    <w:rsid w:val="00063E46"/>
    <w:rsid w:val="00064005"/>
    <w:rsid w:val="00064357"/>
    <w:rsid w:val="00065084"/>
    <w:rsid w:val="000659FE"/>
    <w:rsid w:val="00066066"/>
    <w:rsid w:val="000669AD"/>
    <w:rsid w:val="00066AC8"/>
    <w:rsid w:val="00066D25"/>
    <w:rsid w:val="00067055"/>
    <w:rsid w:val="000676B8"/>
    <w:rsid w:val="00067713"/>
    <w:rsid w:val="0006789D"/>
    <w:rsid w:val="00067A8C"/>
    <w:rsid w:val="00070D2B"/>
    <w:rsid w:val="00070DA2"/>
    <w:rsid w:val="000723C7"/>
    <w:rsid w:val="00072B7C"/>
    <w:rsid w:val="000733EA"/>
    <w:rsid w:val="000734FC"/>
    <w:rsid w:val="00074C55"/>
    <w:rsid w:val="0007502B"/>
    <w:rsid w:val="000753EC"/>
    <w:rsid w:val="000760E9"/>
    <w:rsid w:val="00077248"/>
    <w:rsid w:val="000772F1"/>
    <w:rsid w:val="000775DB"/>
    <w:rsid w:val="000777D6"/>
    <w:rsid w:val="00077BC3"/>
    <w:rsid w:val="00080128"/>
    <w:rsid w:val="00080668"/>
    <w:rsid w:val="000806E6"/>
    <w:rsid w:val="00080A50"/>
    <w:rsid w:val="00081C88"/>
    <w:rsid w:val="00082540"/>
    <w:rsid w:val="000826A0"/>
    <w:rsid w:val="00082A19"/>
    <w:rsid w:val="000833E3"/>
    <w:rsid w:val="000842D4"/>
    <w:rsid w:val="000860E2"/>
    <w:rsid w:val="000863C5"/>
    <w:rsid w:val="00086AC3"/>
    <w:rsid w:val="000909F3"/>
    <w:rsid w:val="00090ABC"/>
    <w:rsid w:val="000910DF"/>
    <w:rsid w:val="00091D25"/>
    <w:rsid w:val="00091F8C"/>
    <w:rsid w:val="000929D4"/>
    <w:rsid w:val="00092AD7"/>
    <w:rsid w:val="00092D38"/>
    <w:rsid w:val="0009327B"/>
    <w:rsid w:val="00093ECF"/>
    <w:rsid w:val="00094B5E"/>
    <w:rsid w:val="00095A0E"/>
    <w:rsid w:val="0009647E"/>
    <w:rsid w:val="000968BA"/>
    <w:rsid w:val="00097485"/>
    <w:rsid w:val="00097574"/>
    <w:rsid w:val="000A0426"/>
    <w:rsid w:val="000A05AE"/>
    <w:rsid w:val="000A0AD4"/>
    <w:rsid w:val="000A1CCC"/>
    <w:rsid w:val="000A2EB3"/>
    <w:rsid w:val="000A3203"/>
    <w:rsid w:val="000A3360"/>
    <w:rsid w:val="000A39D9"/>
    <w:rsid w:val="000A3A6B"/>
    <w:rsid w:val="000A4A87"/>
    <w:rsid w:val="000A77F9"/>
    <w:rsid w:val="000A7E6A"/>
    <w:rsid w:val="000B0E6F"/>
    <w:rsid w:val="000B1328"/>
    <w:rsid w:val="000B1C6A"/>
    <w:rsid w:val="000B2B43"/>
    <w:rsid w:val="000B3293"/>
    <w:rsid w:val="000B3F37"/>
    <w:rsid w:val="000B4055"/>
    <w:rsid w:val="000B46A7"/>
    <w:rsid w:val="000B489A"/>
    <w:rsid w:val="000B4B7F"/>
    <w:rsid w:val="000B51A1"/>
    <w:rsid w:val="000B5D22"/>
    <w:rsid w:val="000B6839"/>
    <w:rsid w:val="000B6AF4"/>
    <w:rsid w:val="000B6D75"/>
    <w:rsid w:val="000C0565"/>
    <w:rsid w:val="000C0710"/>
    <w:rsid w:val="000C075F"/>
    <w:rsid w:val="000C0BDA"/>
    <w:rsid w:val="000C0F4A"/>
    <w:rsid w:val="000C15A9"/>
    <w:rsid w:val="000C2602"/>
    <w:rsid w:val="000C3C3C"/>
    <w:rsid w:val="000C44F0"/>
    <w:rsid w:val="000C46FD"/>
    <w:rsid w:val="000C4F60"/>
    <w:rsid w:val="000C506B"/>
    <w:rsid w:val="000C6E8B"/>
    <w:rsid w:val="000C7425"/>
    <w:rsid w:val="000D00AB"/>
    <w:rsid w:val="000D0C3A"/>
    <w:rsid w:val="000D1B54"/>
    <w:rsid w:val="000D2B9B"/>
    <w:rsid w:val="000D3475"/>
    <w:rsid w:val="000D409A"/>
    <w:rsid w:val="000D4411"/>
    <w:rsid w:val="000D4563"/>
    <w:rsid w:val="000D4B86"/>
    <w:rsid w:val="000D5124"/>
    <w:rsid w:val="000D5434"/>
    <w:rsid w:val="000D659B"/>
    <w:rsid w:val="000D6EB9"/>
    <w:rsid w:val="000D72C3"/>
    <w:rsid w:val="000D76DC"/>
    <w:rsid w:val="000E09B7"/>
    <w:rsid w:val="000E1BAE"/>
    <w:rsid w:val="000E1C0D"/>
    <w:rsid w:val="000E241D"/>
    <w:rsid w:val="000E27E1"/>
    <w:rsid w:val="000E32A6"/>
    <w:rsid w:val="000E59F6"/>
    <w:rsid w:val="000E6D01"/>
    <w:rsid w:val="000E6D5C"/>
    <w:rsid w:val="000E7E4D"/>
    <w:rsid w:val="000F0173"/>
    <w:rsid w:val="000F0497"/>
    <w:rsid w:val="000F0543"/>
    <w:rsid w:val="000F0AEE"/>
    <w:rsid w:val="000F0D00"/>
    <w:rsid w:val="000F0E4C"/>
    <w:rsid w:val="000F12AD"/>
    <w:rsid w:val="000F2130"/>
    <w:rsid w:val="000F32D7"/>
    <w:rsid w:val="000F3514"/>
    <w:rsid w:val="000F3B12"/>
    <w:rsid w:val="000F40BD"/>
    <w:rsid w:val="000F46D0"/>
    <w:rsid w:val="000F5D90"/>
    <w:rsid w:val="000F6093"/>
    <w:rsid w:val="000F62F9"/>
    <w:rsid w:val="000F65BF"/>
    <w:rsid w:val="000F71D1"/>
    <w:rsid w:val="000F7362"/>
    <w:rsid w:val="0010094F"/>
    <w:rsid w:val="00101715"/>
    <w:rsid w:val="00101F49"/>
    <w:rsid w:val="0010294F"/>
    <w:rsid w:val="00104E69"/>
    <w:rsid w:val="001050FF"/>
    <w:rsid w:val="001054EF"/>
    <w:rsid w:val="001061FD"/>
    <w:rsid w:val="001070EE"/>
    <w:rsid w:val="00110D16"/>
    <w:rsid w:val="00111BBE"/>
    <w:rsid w:val="00111C76"/>
    <w:rsid w:val="00111DE5"/>
    <w:rsid w:val="00113AE3"/>
    <w:rsid w:val="00113B73"/>
    <w:rsid w:val="00114A41"/>
    <w:rsid w:val="00115963"/>
    <w:rsid w:val="00115AC4"/>
    <w:rsid w:val="00115AE5"/>
    <w:rsid w:val="001163B2"/>
    <w:rsid w:val="00116CE8"/>
    <w:rsid w:val="0011777A"/>
    <w:rsid w:val="001179C1"/>
    <w:rsid w:val="00117D3A"/>
    <w:rsid w:val="00120AC4"/>
    <w:rsid w:val="001251C9"/>
    <w:rsid w:val="00126970"/>
    <w:rsid w:val="00126F21"/>
    <w:rsid w:val="00126FB9"/>
    <w:rsid w:val="00127150"/>
    <w:rsid w:val="0012756F"/>
    <w:rsid w:val="0012785D"/>
    <w:rsid w:val="00127BD9"/>
    <w:rsid w:val="00127C3F"/>
    <w:rsid w:val="001303E6"/>
    <w:rsid w:val="00130C30"/>
    <w:rsid w:val="001320BE"/>
    <w:rsid w:val="00132291"/>
    <w:rsid w:val="001324B1"/>
    <w:rsid w:val="001327BA"/>
    <w:rsid w:val="00132E60"/>
    <w:rsid w:val="001336D8"/>
    <w:rsid w:val="00133A50"/>
    <w:rsid w:val="00133F49"/>
    <w:rsid w:val="001344C1"/>
    <w:rsid w:val="00134655"/>
    <w:rsid w:val="001347CA"/>
    <w:rsid w:val="00134A0A"/>
    <w:rsid w:val="00135DF1"/>
    <w:rsid w:val="00136B84"/>
    <w:rsid w:val="00137204"/>
    <w:rsid w:val="00137A5B"/>
    <w:rsid w:val="00137CD7"/>
    <w:rsid w:val="00137EBA"/>
    <w:rsid w:val="001404D3"/>
    <w:rsid w:val="001409DF"/>
    <w:rsid w:val="00140B6B"/>
    <w:rsid w:val="001415A2"/>
    <w:rsid w:val="00142223"/>
    <w:rsid w:val="00142C89"/>
    <w:rsid w:val="00143986"/>
    <w:rsid w:val="00145E84"/>
    <w:rsid w:val="001462B5"/>
    <w:rsid w:val="00146AD9"/>
    <w:rsid w:val="00146EB5"/>
    <w:rsid w:val="00146F18"/>
    <w:rsid w:val="001503D1"/>
    <w:rsid w:val="0015191C"/>
    <w:rsid w:val="001530A4"/>
    <w:rsid w:val="00153297"/>
    <w:rsid w:val="00153CBD"/>
    <w:rsid w:val="00153CE1"/>
    <w:rsid w:val="001546D1"/>
    <w:rsid w:val="00154EDB"/>
    <w:rsid w:val="0015507A"/>
    <w:rsid w:val="00155E31"/>
    <w:rsid w:val="00155EDF"/>
    <w:rsid w:val="0015653C"/>
    <w:rsid w:val="0015699E"/>
    <w:rsid w:val="00157138"/>
    <w:rsid w:val="0015729E"/>
    <w:rsid w:val="0016051E"/>
    <w:rsid w:val="00160F18"/>
    <w:rsid w:val="001613A4"/>
    <w:rsid w:val="00161BC4"/>
    <w:rsid w:val="00163E77"/>
    <w:rsid w:val="00164191"/>
    <w:rsid w:val="001647CD"/>
    <w:rsid w:val="001649DE"/>
    <w:rsid w:val="001659ED"/>
    <w:rsid w:val="00166C2A"/>
    <w:rsid w:val="00167434"/>
    <w:rsid w:val="00171EDD"/>
    <w:rsid w:val="00174595"/>
    <w:rsid w:val="001747A1"/>
    <w:rsid w:val="0017485E"/>
    <w:rsid w:val="00175781"/>
    <w:rsid w:val="001766F1"/>
    <w:rsid w:val="00176740"/>
    <w:rsid w:val="00176D00"/>
    <w:rsid w:val="0017760B"/>
    <w:rsid w:val="00177698"/>
    <w:rsid w:val="00177BA8"/>
    <w:rsid w:val="00180E14"/>
    <w:rsid w:val="001816A5"/>
    <w:rsid w:val="00182023"/>
    <w:rsid w:val="00182FB5"/>
    <w:rsid w:val="0018377A"/>
    <w:rsid w:val="0018544E"/>
    <w:rsid w:val="0018590F"/>
    <w:rsid w:val="00185B86"/>
    <w:rsid w:val="00185C54"/>
    <w:rsid w:val="00185E77"/>
    <w:rsid w:val="001860F7"/>
    <w:rsid w:val="0018613A"/>
    <w:rsid w:val="00186967"/>
    <w:rsid w:val="00187183"/>
    <w:rsid w:val="001906CA"/>
    <w:rsid w:val="001923BA"/>
    <w:rsid w:val="00192A78"/>
    <w:rsid w:val="00193007"/>
    <w:rsid w:val="00193753"/>
    <w:rsid w:val="00193D0D"/>
    <w:rsid w:val="001943B1"/>
    <w:rsid w:val="00194AF8"/>
    <w:rsid w:val="00194E03"/>
    <w:rsid w:val="001962A1"/>
    <w:rsid w:val="00197563"/>
    <w:rsid w:val="00197AE8"/>
    <w:rsid w:val="001A10CF"/>
    <w:rsid w:val="001A127C"/>
    <w:rsid w:val="001A181D"/>
    <w:rsid w:val="001A1A0A"/>
    <w:rsid w:val="001A1DF9"/>
    <w:rsid w:val="001A1FF2"/>
    <w:rsid w:val="001A2DD6"/>
    <w:rsid w:val="001A56D8"/>
    <w:rsid w:val="001A67ED"/>
    <w:rsid w:val="001A68DB"/>
    <w:rsid w:val="001A72B1"/>
    <w:rsid w:val="001A79BC"/>
    <w:rsid w:val="001A7E7E"/>
    <w:rsid w:val="001A7FB9"/>
    <w:rsid w:val="001B080D"/>
    <w:rsid w:val="001B1AB6"/>
    <w:rsid w:val="001B1F20"/>
    <w:rsid w:val="001B338A"/>
    <w:rsid w:val="001B3869"/>
    <w:rsid w:val="001B49C8"/>
    <w:rsid w:val="001B4A60"/>
    <w:rsid w:val="001B52DE"/>
    <w:rsid w:val="001B5A47"/>
    <w:rsid w:val="001B5E4D"/>
    <w:rsid w:val="001B64EE"/>
    <w:rsid w:val="001B6E0D"/>
    <w:rsid w:val="001B6FFB"/>
    <w:rsid w:val="001B7E8F"/>
    <w:rsid w:val="001B7E99"/>
    <w:rsid w:val="001B7F7A"/>
    <w:rsid w:val="001C0215"/>
    <w:rsid w:val="001C0CCD"/>
    <w:rsid w:val="001C13E9"/>
    <w:rsid w:val="001C1A4B"/>
    <w:rsid w:val="001C36E6"/>
    <w:rsid w:val="001C3905"/>
    <w:rsid w:val="001C458C"/>
    <w:rsid w:val="001C5C72"/>
    <w:rsid w:val="001C5D07"/>
    <w:rsid w:val="001C7632"/>
    <w:rsid w:val="001C7C1A"/>
    <w:rsid w:val="001D057B"/>
    <w:rsid w:val="001D0A70"/>
    <w:rsid w:val="001D0D10"/>
    <w:rsid w:val="001D10AE"/>
    <w:rsid w:val="001D10CB"/>
    <w:rsid w:val="001D1992"/>
    <w:rsid w:val="001D21F8"/>
    <w:rsid w:val="001D23E4"/>
    <w:rsid w:val="001D2668"/>
    <w:rsid w:val="001D27C6"/>
    <w:rsid w:val="001D428F"/>
    <w:rsid w:val="001D5C40"/>
    <w:rsid w:val="001D68A1"/>
    <w:rsid w:val="001D738D"/>
    <w:rsid w:val="001E019C"/>
    <w:rsid w:val="001E2670"/>
    <w:rsid w:val="001E2BC3"/>
    <w:rsid w:val="001E330A"/>
    <w:rsid w:val="001E36BF"/>
    <w:rsid w:val="001E3B46"/>
    <w:rsid w:val="001E3CC2"/>
    <w:rsid w:val="001E6292"/>
    <w:rsid w:val="001E629B"/>
    <w:rsid w:val="001E7C75"/>
    <w:rsid w:val="001F048A"/>
    <w:rsid w:val="001F2334"/>
    <w:rsid w:val="001F24E6"/>
    <w:rsid w:val="001F2ED4"/>
    <w:rsid w:val="001F2F5E"/>
    <w:rsid w:val="001F614B"/>
    <w:rsid w:val="001F7859"/>
    <w:rsid w:val="001F7A6A"/>
    <w:rsid w:val="00200215"/>
    <w:rsid w:val="00200382"/>
    <w:rsid w:val="0020043C"/>
    <w:rsid w:val="00200934"/>
    <w:rsid w:val="00201939"/>
    <w:rsid w:val="002023AB"/>
    <w:rsid w:val="00202F8B"/>
    <w:rsid w:val="00204AB1"/>
    <w:rsid w:val="00204C32"/>
    <w:rsid w:val="00205C86"/>
    <w:rsid w:val="002066FD"/>
    <w:rsid w:val="00206B21"/>
    <w:rsid w:val="00206C6D"/>
    <w:rsid w:val="00207A30"/>
    <w:rsid w:val="00207C33"/>
    <w:rsid w:val="00210B48"/>
    <w:rsid w:val="00210DB6"/>
    <w:rsid w:val="00211115"/>
    <w:rsid w:val="0021188C"/>
    <w:rsid w:val="002130C7"/>
    <w:rsid w:val="00213D5B"/>
    <w:rsid w:val="00214B30"/>
    <w:rsid w:val="00215011"/>
    <w:rsid w:val="00215C80"/>
    <w:rsid w:val="002161D5"/>
    <w:rsid w:val="002168DD"/>
    <w:rsid w:val="00216D29"/>
    <w:rsid w:val="00216E30"/>
    <w:rsid w:val="00217A17"/>
    <w:rsid w:val="00220C56"/>
    <w:rsid w:val="00221064"/>
    <w:rsid w:val="0022139B"/>
    <w:rsid w:val="00221526"/>
    <w:rsid w:val="002215E4"/>
    <w:rsid w:val="00221DC9"/>
    <w:rsid w:val="00221E1D"/>
    <w:rsid w:val="002224F4"/>
    <w:rsid w:val="00222B03"/>
    <w:rsid w:val="00223A88"/>
    <w:rsid w:val="00223EBB"/>
    <w:rsid w:val="00224099"/>
    <w:rsid w:val="002245BB"/>
    <w:rsid w:val="002259BB"/>
    <w:rsid w:val="00226616"/>
    <w:rsid w:val="00226BBC"/>
    <w:rsid w:val="00226C80"/>
    <w:rsid w:val="00227018"/>
    <w:rsid w:val="002271F9"/>
    <w:rsid w:val="00227F42"/>
    <w:rsid w:val="00230D88"/>
    <w:rsid w:val="002310C3"/>
    <w:rsid w:val="00232E37"/>
    <w:rsid w:val="002335BB"/>
    <w:rsid w:val="002340F5"/>
    <w:rsid w:val="002346FD"/>
    <w:rsid w:val="00235300"/>
    <w:rsid w:val="0023530F"/>
    <w:rsid w:val="00235D58"/>
    <w:rsid w:val="00236069"/>
    <w:rsid w:val="002412D4"/>
    <w:rsid w:val="002412E0"/>
    <w:rsid w:val="002418B8"/>
    <w:rsid w:val="0024299C"/>
    <w:rsid w:val="00243F61"/>
    <w:rsid w:val="0024533F"/>
    <w:rsid w:val="00246348"/>
    <w:rsid w:val="002469DA"/>
    <w:rsid w:val="00246E3F"/>
    <w:rsid w:val="002476B2"/>
    <w:rsid w:val="00247932"/>
    <w:rsid w:val="00247EF7"/>
    <w:rsid w:val="0025007B"/>
    <w:rsid w:val="0025063D"/>
    <w:rsid w:val="00250ED2"/>
    <w:rsid w:val="002514C0"/>
    <w:rsid w:val="00253281"/>
    <w:rsid w:val="002536BD"/>
    <w:rsid w:val="00253D79"/>
    <w:rsid w:val="0025422F"/>
    <w:rsid w:val="002546D2"/>
    <w:rsid w:val="00254B1C"/>
    <w:rsid w:val="00254DE3"/>
    <w:rsid w:val="00255E75"/>
    <w:rsid w:val="002560D1"/>
    <w:rsid w:val="00256618"/>
    <w:rsid w:val="00256DC9"/>
    <w:rsid w:val="00257482"/>
    <w:rsid w:val="002575D2"/>
    <w:rsid w:val="00257BDD"/>
    <w:rsid w:val="00260416"/>
    <w:rsid w:val="00260419"/>
    <w:rsid w:val="002605B9"/>
    <w:rsid w:val="002605F4"/>
    <w:rsid w:val="00260C37"/>
    <w:rsid w:val="002611E0"/>
    <w:rsid w:val="00262262"/>
    <w:rsid w:val="002625E5"/>
    <w:rsid w:val="002634F2"/>
    <w:rsid w:val="00263575"/>
    <w:rsid w:val="00263DBE"/>
    <w:rsid w:val="00263FEB"/>
    <w:rsid w:val="00266007"/>
    <w:rsid w:val="00266B91"/>
    <w:rsid w:val="002670ED"/>
    <w:rsid w:val="002705D8"/>
    <w:rsid w:val="00272C06"/>
    <w:rsid w:val="00272F0A"/>
    <w:rsid w:val="002731BD"/>
    <w:rsid w:val="002733C7"/>
    <w:rsid w:val="00274C90"/>
    <w:rsid w:val="00275483"/>
    <w:rsid w:val="002754AB"/>
    <w:rsid w:val="002757CD"/>
    <w:rsid w:val="00275CF5"/>
    <w:rsid w:val="00275F4F"/>
    <w:rsid w:val="00276E48"/>
    <w:rsid w:val="00277431"/>
    <w:rsid w:val="00277FFB"/>
    <w:rsid w:val="00281039"/>
    <w:rsid w:val="002814CD"/>
    <w:rsid w:val="00281C04"/>
    <w:rsid w:val="00282409"/>
    <w:rsid w:val="0028259F"/>
    <w:rsid w:val="002826AF"/>
    <w:rsid w:val="00282743"/>
    <w:rsid w:val="00282F6D"/>
    <w:rsid w:val="00283BDA"/>
    <w:rsid w:val="00284865"/>
    <w:rsid w:val="00284B17"/>
    <w:rsid w:val="00285A69"/>
    <w:rsid w:val="00286282"/>
    <w:rsid w:val="00287EFE"/>
    <w:rsid w:val="00290D63"/>
    <w:rsid w:val="0029201E"/>
    <w:rsid w:val="002920C9"/>
    <w:rsid w:val="00293405"/>
    <w:rsid w:val="0029347B"/>
    <w:rsid w:val="002953B0"/>
    <w:rsid w:val="002958A6"/>
    <w:rsid w:val="00296270"/>
    <w:rsid w:val="00297F09"/>
    <w:rsid w:val="00297FED"/>
    <w:rsid w:val="002A02DF"/>
    <w:rsid w:val="002A0356"/>
    <w:rsid w:val="002A0818"/>
    <w:rsid w:val="002A0852"/>
    <w:rsid w:val="002A0A75"/>
    <w:rsid w:val="002A1EFC"/>
    <w:rsid w:val="002A25F0"/>
    <w:rsid w:val="002A43E0"/>
    <w:rsid w:val="002A5B99"/>
    <w:rsid w:val="002A762E"/>
    <w:rsid w:val="002B1600"/>
    <w:rsid w:val="002B1DCF"/>
    <w:rsid w:val="002B4235"/>
    <w:rsid w:val="002B4733"/>
    <w:rsid w:val="002B4DCF"/>
    <w:rsid w:val="002B59FB"/>
    <w:rsid w:val="002B5CB5"/>
    <w:rsid w:val="002B60C3"/>
    <w:rsid w:val="002B7100"/>
    <w:rsid w:val="002B7690"/>
    <w:rsid w:val="002C0734"/>
    <w:rsid w:val="002C2766"/>
    <w:rsid w:val="002C315B"/>
    <w:rsid w:val="002C3476"/>
    <w:rsid w:val="002C4CF1"/>
    <w:rsid w:val="002C5FF3"/>
    <w:rsid w:val="002C7271"/>
    <w:rsid w:val="002C7DB5"/>
    <w:rsid w:val="002D1AB7"/>
    <w:rsid w:val="002D1D31"/>
    <w:rsid w:val="002D3A8B"/>
    <w:rsid w:val="002D3AB8"/>
    <w:rsid w:val="002D3B10"/>
    <w:rsid w:val="002D4862"/>
    <w:rsid w:val="002D5033"/>
    <w:rsid w:val="002D5842"/>
    <w:rsid w:val="002D6754"/>
    <w:rsid w:val="002D71E9"/>
    <w:rsid w:val="002D7712"/>
    <w:rsid w:val="002D7A27"/>
    <w:rsid w:val="002D7AA7"/>
    <w:rsid w:val="002E0489"/>
    <w:rsid w:val="002E29BC"/>
    <w:rsid w:val="002E573C"/>
    <w:rsid w:val="002E5780"/>
    <w:rsid w:val="002E6076"/>
    <w:rsid w:val="002E61F8"/>
    <w:rsid w:val="002E76AA"/>
    <w:rsid w:val="002F0160"/>
    <w:rsid w:val="002F1493"/>
    <w:rsid w:val="002F1963"/>
    <w:rsid w:val="002F1973"/>
    <w:rsid w:val="002F1C85"/>
    <w:rsid w:val="002F2BD0"/>
    <w:rsid w:val="002F344C"/>
    <w:rsid w:val="002F3A60"/>
    <w:rsid w:val="002F4D32"/>
    <w:rsid w:val="002F4DDC"/>
    <w:rsid w:val="002F4E1F"/>
    <w:rsid w:val="002F4E51"/>
    <w:rsid w:val="002F5F04"/>
    <w:rsid w:val="002F6BBA"/>
    <w:rsid w:val="002F6E59"/>
    <w:rsid w:val="002F7A6F"/>
    <w:rsid w:val="00300240"/>
    <w:rsid w:val="003008F7"/>
    <w:rsid w:val="00300BF2"/>
    <w:rsid w:val="0030134F"/>
    <w:rsid w:val="003016DE"/>
    <w:rsid w:val="003030EB"/>
    <w:rsid w:val="00303E3D"/>
    <w:rsid w:val="00304142"/>
    <w:rsid w:val="0030421C"/>
    <w:rsid w:val="00304FEF"/>
    <w:rsid w:val="00305D04"/>
    <w:rsid w:val="00305F7A"/>
    <w:rsid w:val="00306534"/>
    <w:rsid w:val="0030771D"/>
    <w:rsid w:val="00307721"/>
    <w:rsid w:val="00307756"/>
    <w:rsid w:val="0031223B"/>
    <w:rsid w:val="00313704"/>
    <w:rsid w:val="00313A4B"/>
    <w:rsid w:val="00313B74"/>
    <w:rsid w:val="003148E5"/>
    <w:rsid w:val="003160EB"/>
    <w:rsid w:val="00316256"/>
    <w:rsid w:val="003166E9"/>
    <w:rsid w:val="00317174"/>
    <w:rsid w:val="003175EB"/>
    <w:rsid w:val="00317DAD"/>
    <w:rsid w:val="00320147"/>
    <w:rsid w:val="00320E06"/>
    <w:rsid w:val="003213B9"/>
    <w:rsid w:val="00321752"/>
    <w:rsid w:val="00322FA2"/>
    <w:rsid w:val="00323897"/>
    <w:rsid w:val="003242F9"/>
    <w:rsid w:val="00324770"/>
    <w:rsid w:val="003250E1"/>
    <w:rsid w:val="00325E76"/>
    <w:rsid w:val="0032604B"/>
    <w:rsid w:val="00326351"/>
    <w:rsid w:val="00326CA5"/>
    <w:rsid w:val="00327D25"/>
    <w:rsid w:val="00327D54"/>
    <w:rsid w:val="00330CCE"/>
    <w:rsid w:val="00331951"/>
    <w:rsid w:val="00332276"/>
    <w:rsid w:val="0033324C"/>
    <w:rsid w:val="00334C3A"/>
    <w:rsid w:val="00335114"/>
    <w:rsid w:val="00336B83"/>
    <w:rsid w:val="00337AD3"/>
    <w:rsid w:val="00337C01"/>
    <w:rsid w:val="0034018A"/>
    <w:rsid w:val="00340B22"/>
    <w:rsid w:val="00341857"/>
    <w:rsid w:val="003418C5"/>
    <w:rsid w:val="00341D82"/>
    <w:rsid w:val="00344916"/>
    <w:rsid w:val="003457D0"/>
    <w:rsid w:val="0034774F"/>
    <w:rsid w:val="003509E9"/>
    <w:rsid w:val="00351172"/>
    <w:rsid w:val="003516DA"/>
    <w:rsid w:val="003539D2"/>
    <w:rsid w:val="00353C1C"/>
    <w:rsid w:val="00354C79"/>
    <w:rsid w:val="0035552F"/>
    <w:rsid w:val="003555B5"/>
    <w:rsid w:val="003557C6"/>
    <w:rsid w:val="00355E3F"/>
    <w:rsid w:val="003566B8"/>
    <w:rsid w:val="00360796"/>
    <w:rsid w:val="00362D61"/>
    <w:rsid w:val="00363197"/>
    <w:rsid w:val="00363B8D"/>
    <w:rsid w:val="00364256"/>
    <w:rsid w:val="003642DF"/>
    <w:rsid w:val="003649C0"/>
    <w:rsid w:val="00365836"/>
    <w:rsid w:val="00365D94"/>
    <w:rsid w:val="00366C12"/>
    <w:rsid w:val="00367271"/>
    <w:rsid w:val="003701F5"/>
    <w:rsid w:val="00371F2F"/>
    <w:rsid w:val="003726EB"/>
    <w:rsid w:val="003728FE"/>
    <w:rsid w:val="00373619"/>
    <w:rsid w:val="003736BC"/>
    <w:rsid w:val="003745D6"/>
    <w:rsid w:val="00374E61"/>
    <w:rsid w:val="0037505F"/>
    <w:rsid w:val="003751D6"/>
    <w:rsid w:val="00376378"/>
    <w:rsid w:val="003763CB"/>
    <w:rsid w:val="00377119"/>
    <w:rsid w:val="003801B0"/>
    <w:rsid w:val="0038151F"/>
    <w:rsid w:val="00381FA6"/>
    <w:rsid w:val="00381FDF"/>
    <w:rsid w:val="00382597"/>
    <w:rsid w:val="00382751"/>
    <w:rsid w:val="00382D03"/>
    <w:rsid w:val="0038362C"/>
    <w:rsid w:val="00383773"/>
    <w:rsid w:val="003842BC"/>
    <w:rsid w:val="00384683"/>
    <w:rsid w:val="00384934"/>
    <w:rsid w:val="003853E2"/>
    <w:rsid w:val="003854D2"/>
    <w:rsid w:val="0038692B"/>
    <w:rsid w:val="00386C89"/>
    <w:rsid w:val="00386E21"/>
    <w:rsid w:val="003877A6"/>
    <w:rsid w:val="00390BE2"/>
    <w:rsid w:val="00391331"/>
    <w:rsid w:val="00391AA8"/>
    <w:rsid w:val="0039207B"/>
    <w:rsid w:val="00392A91"/>
    <w:rsid w:val="00392AAC"/>
    <w:rsid w:val="0039371C"/>
    <w:rsid w:val="00394802"/>
    <w:rsid w:val="00395406"/>
    <w:rsid w:val="00396DD4"/>
    <w:rsid w:val="00396E24"/>
    <w:rsid w:val="003974FB"/>
    <w:rsid w:val="003975DC"/>
    <w:rsid w:val="00397D8E"/>
    <w:rsid w:val="003A0D85"/>
    <w:rsid w:val="003A1A32"/>
    <w:rsid w:val="003A208C"/>
    <w:rsid w:val="003A2416"/>
    <w:rsid w:val="003A289A"/>
    <w:rsid w:val="003A2E6F"/>
    <w:rsid w:val="003A44D2"/>
    <w:rsid w:val="003A45AE"/>
    <w:rsid w:val="003A4DC3"/>
    <w:rsid w:val="003A61D3"/>
    <w:rsid w:val="003A6C0E"/>
    <w:rsid w:val="003A7E53"/>
    <w:rsid w:val="003A7F55"/>
    <w:rsid w:val="003B0D0F"/>
    <w:rsid w:val="003B1B07"/>
    <w:rsid w:val="003B1D67"/>
    <w:rsid w:val="003B207A"/>
    <w:rsid w:val="003B2802"/>
    <w:rsid w:val="003B2AB6"/>
    <w:rsid w:val="003B32D8"/>
    <w:rsid w:val="003B3656"/>
    <w:rsid w:val="003B41FD"/>
    <w:rsid w:val="003B4260"/>
    <w:rsid w:val="003B45A8"/>
    <w:rsid w:val="003B5409"/>
    <w:rsid w:val="003B5F81"/>
    <w:rsid w:val="003B633B"/>
    <w:rsid w:val="003B6C76"/>
    <w:rsid w:val="003B7327"/>
    <w:rsid w:val="003B7EC3"/>
    <w:rsid w:val="003B7F66"/>
    <w:rsid w:val="003C013D"/>
    <w:rsid w:val="003C0193"/>
    <w:rsid w:val="003C1B50"/>
    <w:rsid w:val="003C1E3F"/>
    <w:rsid w:val="003C1FB2"/>
    <w:rsid w:val="003C3AF5"/>
    <w:rsid w:val="003C574D"/>
    <w:rsid w:val="003C5874"/>
    <w:rsid w:val="003C69E4"/>
    <w:rsid w:val="003D04C5"/>
    <w:rsid w:val="003D05FF"/>
    <w:rsid w:val="003D0CB6"/>
    <w:rsid w:val="003D11DA"/>
    <w:rsid w:val="003D26C0"/>
    <w:rsid w:val="003D32A6"/>
    <w:rsid w:val="003D39CD"/>
    <w:rsid w:val="003D4A04"/>
    <w:rsid w:val="003D5527"/>
    <w:rsid w:val="003D56AF"/>
    <w:rsid w:val="003D5EED"/>
    <w:rsid w:val="003D6774"/>
    <w:rsid w:val="003D6F40"/>
    <w:rsid w:val="003D7A55"/>
    <w:rsid w:val="003E0ABD"/>
    <w:rsid w:val="003E2071"/>
    <w:rsid w:val="003E2820"/>
    <w:rsid w:val="003E4133"/>
    <w:rsid w:val="003E42EA"/>
    <w:rsid w:val="003E4CF0"/>
    <w:rsid w:val="003E5728"/>
    <w:rsid w:val="003E577B"/>
    <w:rsid w:val="003E6522"/>
    <w:rsid w:val="003E6B22"/>
    <w:rsid w:val="003E6E50"/>
    <w:rsid w:val="003E79E5"/>
    <w:rsid w:val="003F24F2"/>
    <w:rsid w:val="003F2D2D"/>
    <w:rsid w:val="003F2ED8"/>
    <w:rsid w:val="003F30EA"/>
    <w:rsid w:val="003F3557"/>
    <w:rsid w:val="003F482F"/>
    <w:rsid w:val="003F711F"/>
    <w:rsid w:val="003F7136"/>
    <w:rsid w:val="00400020"/>
    <w:rsid w:val="00400167"/>
    <w:rsid w:val="004027F9"/>
    <w:rsid w:val="004031CA"/>
    <w:rsid w:val="00403CF4"/>
    <w:rsid w:val="004041E4"/>
    <w:rsid w:val="00404E5A"/>
    <w:rsid w:val="004054E0"/>
    <w:rsid w:val="0040739F"/>
    <w:rsid w:val="00407645"/>
    <w:rsid w:val="0041040D"/>
    <w:rsid w:val="00410B36"/>
    <w:rsid w:val="004116B7"/>
    <w:rsid w:val="00411E45"/>
    <w:rsid w:val="00411F9E"/>
    <w:rsid w:val="00413774"/>
    <w:rsid w:val="00413992"/>
    <w:rsid w:val="00413CF4"/>
    <w:rsid w:val="00414BD8"/>
    <w:rsid w:val="00414EC2"/>
    <w:rsid w:val="004160FC"/>
    <w:rsid w:val="00416661"/>
    <w:rsid w:val="00420103"/>
    <w:rsid w:val="00420267"/>
    <w:rsid w:val="00420611"/>
    <w:rsid w:val="00421F3E"/>
    <w:rsid w:val="004225D8"/>
    <w:rsid w:val="00422651"/>
    <w:rsid w:val="004251E5"/>
    <w:rsid w:val="00427606"/>
    <w:rsid w:val="00432020"/>
    <w:rsid w:val="00432AD7"/>
    <w:rsid w:val="00432BBC"/>
    <w:rsid w:val="00433AED"/>
    <w:rsid w:val="00433E54"/>
    <w:rsid w:val="0044052D"/>
    <w:rsid w:val="004425BC"/>
    <w:rsid w:val="00442B21"/>
    <w:rsid w:val="00443D4A"/>
    <w:rsid w:val="0044421E"/>
    <w:rsid w:val="00444779"/>
    <w:rsid w:val="004454D4"/>
    <w:rsid w:val="00445B5F"/>
    <w:rsid w:val="0044616D"/>
    <w:rsid w:val="004476D8"/>
    <w:rsid w:val="004477E5"/>
    <w:rsid w:val="00447CB7"/>
    <w:rsid w:val="00447E0E"/>
    <w:rsid w:val="00450205"/>
    <w:rsid w:val="00450E42"/>
    <w:rsid w:val="00451D63"/>
    <w:rsid w:val="00451F7D"/>
    <w:rsid w:val="0045260F"/>
    <w:rsid w:val="00452C9A"/>
    <w:rsid w:val="00453052"/>
    <w:rsid w:val="0045362B"/>
    <w:rsid w:val="0045364C"/>
    <w:rsid w:val="0045508C"/>
    <w:rsid w:val="00455773"/>
    <w:rsid w:val="00457035"/>
    <w:rsid w:val="00457717"/>
    <w:rsid w:val="00457F43"/>
    <w:rsid w:val="00461F03"/>
    <w:rsid w:val="0046205D"/>
    <w:rsid w:val="00462256"/>
    <w:rsid w:val="00462376"/>
    <w:rsid w:val="00462AA1"/>
    <w:rsid w:val="00462BA9"/>
    <w:rsid w:val="00462D5E"/>
    <w:rsid w:val="00464535"/>
    <w:rsid w:val="004646A1"/>
    <w:rsid w:val="00464A93"/>
    <w:rsid w:val="00465589"/>
    <w:rsid w:val="00465F15"/>
    <w:rsid w:val="0046642A"/>
    <w:rsid w:val="00466533"/>
    <w:rsid w:val="00466D08"/>
    <w:rsid w:val="004670F3"/>
    <w:rsid w:val="004671BE"/>
    <w:rsid w:val="004672C6"/>
    <w:rsid w:val="00467D20"/>
    <w:rsid w:val="0047001C"/>
    <w:rsid w:val="004714C6"/>
    <w:rsid w:val="0047180C"/>
    <w:rsid w:val="00471C99"/>
    <w:rsid w:val="00471F15"/>
    <w:rsid w:val="00474474"/>
    <w:rsid w:val="00475348"/>
    <w:rsid w:val="00475812"/>
    <w:rsid w:val="00475E7F"/>
    <w:rsid w:val="004769D8"/>
    <w:rsid w:val="004770C3"/>
    <w:rsid w:val="00477728"/>
    <w:rsid w:val="004807DA"/>
    <w:rsid w:val="0048140D"/>
    <w:rsid w:val="00482A39"/>
    <w:rsid w:val="00482E11"/>
    <w:rsid w:val="00483256"/>
    <w:rsid w:val="00483668"/>
    <w:rsid w:val="00483E1E"/>
    <w:rsid w:val="004840AB"/>
    <w:rsid w:val="00484E1F"/>
    <w:rsid w:val="004852D8"/>
    <w:rsid w:val="00485330"/>
    <w:rsid w:val="00486A88"/>
    <w:rsid w:val="004921BE"/>
    <w:rsid w:val="00492589"/>
    <w:rsid w:val="004926FD"/>
    <w:rsid w:val="004932A0"/>
    <w:rsid w:val="00494914"/>
    <w:rsid w:val="004955DC"/>
    <w:rsid w:val="0049581C"/>
    <w:rsid w:val="00496006"/>
    <w:rsid w:val="00496213"/>
    <w:rsid w:val="00497879"/>
    <w:rsid w:val="00497CF1"/>
    <w:rsid w:val="004A0072"/>
    <w:rsid w:val="004A04D9"/>
    <w:rsid w:val="004A08DE"/>
    <w:rsid w:val="004A0F21"/>
    <w:rsid w:val="004A1C94"/>
    <w:rsid w:val="004A2908"/>
    <w:rsid w:val="004A2D19"/>
    <w:rsid w:val="004A2F13"/>
    <w:rsid w:val="004A441F"/>
    <w:rsid w:val="004A7010"/>
    <w:rsid w:val="004A7131"/>
    <w:rsid w:val="004B1066"/>
    <w:rsid w:val="004B201E"/>
    <w:rsid w:val="004B21E7"/>
    <w:rsid w:val="004B4DBD"/>
    <w:rsid w:val="004B52F9"/>
    <w:rsid w:val="004B74C4"/>
    <w:rsid w:val="004B76EC"/>
    <w:rsid w:val="004C0E6E"/>
    <w:rsid w:val="004C158D"/>
    <w:rsid w:val="004C19A1"/>
    <w:rsid w:val="004C2138"/>
    <w:rsid w:val="004C30C5"/>
    <w:rsid w:val="004C3196"/>
    <w:rsid w:val="004C31A6"/>
    <w:rsid w:val="004C4217"/>
    <w:rsid w:val="004C58CA"/>
    <w:rsid w:val="004C5CEB"/>
    <w:rsid w:val="004D149E"/>
    <w:rsid w:val="004D1865"/>
    <w:rsid w:val="004D247E"/>
    <w:rsid w:val="004D2BBD"/>
    <w:rsid w:val="004D4ECA"/>
    <w:rsid w:val="004D50DD"/>
    <w:rsid w:val="004D674D"/>
    <w:rsid w:val="004D6956"/>
    <w:rsid w:val="004D7C74"/>
    <w:rsid w:val="004E060D"/>
    <w:rsid w:val="004E2224"/>
    <w:rsid w:val="004E4259"/>
    <w:rsid w:val="004E498A"/>
    <w:rsid w:val="004E4FC6"/>
    <w:rsid w:val="004E5803"/>
    <w:rsid w:val="004E589B"/>
    <w:rsid w:val="004E5B01"/>
    <w:rsid w:val="004E7043"/>
    <w:rsid w:val="004E77D8"/>
    <w:rsid w:val="004F0EB8"/>
    <w:rsid w:val="004F1627"/>
    <w:rsid w:val="004F1A01"/>
    <w:rsid w:val="004F1DE1"/>
    <w:rsid w:val="004F1E6F"/>
    <w:rsid w:val="004F22BE"/>
    <w:rsid w:val="004F2675"/>
    <w:rsid w:val="004F2ECC"/>
    <w:rsid w:val="004F38CD"/>
    <w:rsid w:val="004F529E"/>
    <w:rsid w:val="004F7E70"/>
    <w:rsid w:val="005015E7"/>
    <w:rsid w:val="00501A2C"/>
    <w:rsid w:val="00501A4E"/>
    <w:rsid w:val="00502009"/>
    <w:rsid w:val="005028CC"/>
    <w:rsid w:val="005037E1"/>
    <w:rsid w:val="00503B04"/>
    <w:rsid w:val="00504407"/>
    <w:rsid w:val="00504FB8"/>
    <w:rsid w:val="00505EE9"/>
    <w:rsid w:val="00506597"/>
    <w:rsid w:val="005066F1"/>
    <w:rsid w:val="00507152"/>
    <w:rsid w:val="00510266"/>
    <w:rsid w:val="00510DC2"/>
    <w:rsid w:val="0051116C"/>
    <w:rsid w:val="005112BC"/>
    <w:rsid w:val="00511469"/>
    <w:rsid w:val="00511DA3"/>
    <w:rsid w:val="00512482"/>
    <w:rsid w:val="00512F77"/>
    <w:rsid w:val="0051304A"/>
    <w:rsid w:val="00513152"/>
    <w:rsid w:val="00513D4D"/>
    <w:rsid w:val="0051414F"/>
    <w:rsid w:val="005147FA"/>
    <w:rsid w:val="00514A57"/>
    <w:rsid w:val="00514F6B"/>
    <w:rsid w:val="00517BBB"/>
    <w:rsid w:val="00520652"/>
    <w:rsid w:val="00520806"/>
    <w:rsid w:val="005220F7"/>
    <w:rsid w:val="00522E72"/>
    <w:rsid w:val="00523526"/>
    <w:rsid w:val="005236BA"/>
    <w:rsid w:val="00523A26"/>
    <w:rsid w:val="00523CD5"/>
    <w:rsid w:val="00524B79"/>
    <w:rsid w:val="00524EA3"/>
    <w:rsid w:val="00524EE8"/>
    <w:rsid w:val="005254E2"/>
    <w:rsid w:val="00525E8E"/>
    <w:rsid w:val="005267EC"/>
    <w:rsid w:val="00526F15"/>
    <w:rsid w:val="00527003"/>
    <w:rsid w:val="005276AD"/>
    <w:rsid w:val="00527F52"/>
    <w:rsid w:val="005303D7"/>
    <w:rsid w:val="00530777"/>
    <w:rsid w:val="00530CA2"/>
    <w:rsid w:val="00532541"/>
    <w:rsid w:val="00533394"/>
    <w:rsid w:val="005350D2"/>
    <w:rsid w:val="00535112"/>
    <w:rsid w:val="005367EB"/>
    <w:rsid w:val="00536E9F"/>
    <w:rsid w:val="00537EE4"/>
    <w:rsid w:val="00540765"/>
    <w:rsid w:val="0054086A"/>
    <w:rsid w:val="0054176D"/>
    <w:rsid w:val="00541CE2"/>
    <w:rsid w:val="00543027"/>
    <w:rsid w:val="0054367E"/>
    <w:rsid w:val="005438BA"/>
    <w:rsid w:val="0054424E"/>
    <w:rsid w:val="00544257"/>
    <w:rsid w:val="00544854"/>
    <w:rsid w:val="00545933"/>
    <w:rsid w:val="00546E63"/>
    <w:rsid w:val="00550B5E"/>
    <w:rsid w:val="00551370"/>
    <w:rsid w:val="00551D90"/>
    <w:rsid w:val="00552350"/>
    <w:rsid w:val="005527EC"/>
    <w:rsid w:val="00553E03"/>
    <w:rsid w:val="00554634"/>
    <w:rsid w:val="00554DD4"/>
    <w:rsid w:val="00555727"/>
    <w:rsid w:val="00555E00"/>
    <w:rsid w:val="00556687"/>
    <w:rsid w:val="00556810"/>
    <w:rsid w:val="00557287"/>
    <w:rsid w:val="00557589"/>
    <w:rsid w:val="00561183"/>
    <w:rsid w:val="005625E1"/>
    <w:rsid w:val="005628BB"/>
    <w:rsid w:val="00562CDA"/>
    <w:rsid w:val="0056388F"/>
    <w:rsid w:val="005657E0"/>
    <w:rsid w:val="005660F6"/>
    <w:rsid w:val="0056624F"/>
    <w:rsid w:val="00567FC0"/>
    <w:rsid w:val="00570087"/>
    <w:rsid w:val="0057016A"/>
    <w:rsid w:val="00570862"/>
    <w:rsid w:val="005712BC"/>
    <w:rsid w:val="0057168D"/>
    <w:rsid w:val="0057259D"/>
    <w:rsid w:val="0057268A"/>
    <w:rsid w:val="005732E6"/>
    <w:rsid w:val="005740A2"/>
    <w:rsid w:val="005742DB"/>
    <w:rsid w:val="005751FB"/>
    <w:rsid w:val="00576252"/>
    <w:rsid w:val="00577F7E"/>
    <w:rsid w:val="00580B9C"/>
    <w:rsid w:val="0058183D"/>
    <w:rsid w:val="00582D60"/>
    <w:rsid w:val="00583004"/>
    <w:rsid w:val="005838D3"/>
    <w:rsid w:val="00583BF2"/>
    <w:rsid w:val="00583E5F"/>
    <w:rsid w:val="00584D7E"/>
    <w:rsid w:val="00585331"/>
    <w:rsid w:val="00586028"/>
    <w:rsid w:val="00586180"/>
    <w:rsid w:val="005861C1"/>
    <w:rsid w:val="0058677B"/>
    <w:rsid w:val="00586BBE"/>
    <w:rsid w:val="005876A6"/>
    <w:rsid w:val="00587CDF"/>
    <w:rsid w:val="00587F43"/>
    <w:rsid w:val="00591D80"/>
    <w:rsid w:val="0059306A"/>
    <w:rsid w:val="005964ED"/>
    <w:rsid w:val="00597751"/>
    <w:rsid w:val="00597C3B"/>
    <w:rsid w:val="00597F6B"/>
    <w:rsid w:val="00597F9C"/>
    <w:rsid w:val="005A0927"/>
    <w:rsid w:val="005A1139"/>
    <w:rsid w:val="005A135E"/>
    <w:rsid w:val="005A16D9"/>
    <w:rsid w:val="005A191B"/>
    <w:rsid w:val="005A195F"/>
    <w:rsid w:val="005A270C"/>
    <w:rsid w:val="005A30DD"/>
    <w:rsid w:val="005A31AE"/>
    <w:rsid w:val="005A3CF5"/>
    <w:rsid w:val="005A3FED"/>
    <w:rsid w:val="005A435F"/>
    <w:rsid w:val="005A43FA"/>
    <w:rsid w:val="005A4F06"/>
    <w:rsid w:val="005A53C7"/>
    <w:rsid w:val="005A5A2C"/>
    <w:rsid w:val="005A62B4"/>
    <w:rsid w:val="005A6D4A"/>
    <w:rsid w:val="005A74A7"/>
    <w:rsid w:val="005A7C5B"/>
    <w:rsid w:val="005B02E5"/>
    <w:rsid w:val="005B0BE4"/>
    <w:rsid w:val="005B13CA"/>
    <w:rsid w:val="005B15EB"/>
    <w:rsid w:val="005B1C5A"/>
    <w:rsid w:val="005B347F"/>
    <w:rsid w:val="005B3522"/>
    <w:rsid w:val="005B40D8"/>
    <w:rsid w:val="005B43B9"/>
    <w:rsid w:val="005B5775"/>
    <w:rsid w:val="005B5901"/>
    <w:rsid w:val="005B60A7"/>
    <w:rsid w:val="005B624A"/>
    <w:rsid w:val="005C03A2"/>
    <w:rsid w:val="005C0DC7"/>
    <w:rsid w:val="005C1553"/>
    <w:rsid w:val="005C27C2"/>
    <w:rsid w:val="005C2ED9"/>
    <w:rsid w:val="005C326C"/>
    <w:rsid w:val="005C3350"/>
    <w:rsid w:val="005C3466"/>
    <w:rsid w:val="005C4668"/>
    <w:rsid w:val="005C48ED"/>
    <w:rsid w:val="005C4BC7"/>
    <w:rsid w:val="005C51C2"/>
    <w:rsid w:val="005C5E4A"/>
    <w:rsid w:val="005C6146"/>
    <w:rsid w:val="005C629F"/>
    <w:rsid w:val="005C68A3"/>
    <w:rsid w:val="005C6A75"/>
    <w:rsid w:val="005C6E97"/>
    <w:rsid w:val="005C7E7A"/>
    <w:rsid w:val="005D0EC6"/>
    <w:rsid w:val="005D1386"/>
    <w:rsid w:val="005D168D"/>
    <w:rsid w:val="005D175A"/>
    <w:rsid w:val="005D2225"/>
    <w:rsid w:val="005D2346"/>
    <w:rsid w:val="005D4A75"/>
    <w:rsid w:val="005D57D6"/>
    <w:rsid w:val="005D5C0F"/>
    <w:rsid w:val="005D63C4"/>
    <w:rsid w:val="005D666D"/>
    <w:rsid w:val="005D6C7B"/>
    <w:rsid w:val="005D780E"/>
    <w:rsid w:val="005D78AD"/>
    <w:rsid w:val="005D7B63"/>
    <w:rsid w:val="005E02AD"/>
    <w:rsid w:val="005E0495"/>
    <w:rsid w:val="005E05BA"/>
    <w:rsid w:val="005E06FD"/>
    <w:rsid w:val="005E1C7D"/>
    <w:rsid w:val="005E1DEA"/>
    <w:rsid w:val="005E241D"/>
    <w:rsid w:val="005E27E5"/>
    <w:rsid w:val="005E57EA"/>
    <w:rsid w:val="005E58B0"/>
    <w:rsid w:val="005E7008"/>
    <w:rsid w:val="005E730C"/>
    <w:rsid w:val="005E7E17"/>
    <w:rsid w:val="005F1553"/>
    <w:rsid w:val="005F17E2"/>
    <w:rsid w:val="005F2EF3"/>
    <w:rsid w:val="005F43DB"/>
    <w:rsid w:val="005F535F"/>
    <w:rsid w:val="005F6AF5"/>
    <w:rsid w:val="005F74AF"/>
    <w:rsid w:val="00600475"/>
    <w:rsid w:val="006006F3"/>
    <w:rsid w:val="00601157"/>
    <w:rsid w:val="006027A0"/>
    <w:rsid w:val="00602A95"/>
    <w:rsid w:val="00603628"/>
    <w:rsid w:val="00603DD0"/>
    <w:rsid w:val="00603F5C"/>
    <w:rsid w:val="0060404F"/>
    <w:rsid w:val="00604400"/>
    <w:rsid w:val="0060441E"/>
    <w:rsid w:val="00604644"/>
    <w:rsid w:val="00604697"/>
    <w:rsid w:val="00606021"/>
    <w:rsid w:val="006065FA"/>
    <w:rsid w:val="00606DC3"/>
    <w:rsid w:val="00607232"/>
    <w:rsid w:val="006078CD"/>
    <w:rsid w:val="00607DC6"/>
    <w:rsid w:val="00610028"/>
    <w:rsid w:val="00612A5A"/>
    <w:rsid w:val="006149FD"/>
    <w:rsid w:val="00614D17"/>
    <w:rsid w:val="0061578E"/>
    <w:rsid w:val="0061660F"/>
    <w:rsid w:val="00617A87"/>
    <w:rsid w:val="00620D9B"/>
    <w:rsid w:val="00621021"/>
    <w:rsid w:val="00621F1C"/>
    <w:rsid w:val="006233FB"/>
    <w:rsid w:val="00624410"/>
    <w:rsid w:val="00624776"/>
    <w:rsid w:val="006247DA"/>
    <w:rsid w:val="00624834"/>
    <w:rsid w:val="006250C1"/>
    <w:rsid w:val="00625D46"/>
    <w:rsid w:val="006272AC"/>
    <w:rsid w:val="00627998"/>
    <w:rsid w:val="00630487"/>
    <w:rsid w:val="00631378"/>
    <w:rsid w:val="006313E4"/>
    <w:rsid w:val="00632103"/>
    <w:rsid w:val="00632838"/>
    <w:rsid w:val="00632BC8"/>
    <w:rsid w:val="006333FB"/>
    <w:rsid w:val="00633FCC"/>
    <w:rsid w:val="006341AB"/>
    <w:rsid w:val="0063486D"/>
    <w:rsid w:val="006352A6"/>
    <w:rsid w:val="00635B32"/>
    <w:rsid w:val="00637036"/>
    <w:rsid w:val="00641413"/>
    <w:rsid w:val="00641EDF"/>
    <w:rsid w:val="006430CA"/>
    <w:rsid w:val="006432B3"/>
    <w:rsid w:val="0064391E"/>
    <w:rsid w:val="00643D08"/>
    <w:rsid w:val="00644425"/>
    <w:rsid w:val="0064529F"/>
    <w:rsid w:val="00645714"/>
    <w:rsid w:val="006459BD"/>
    <w:rsid w:val="00645BBC"/>
    <w:rsid w:val="0064670F"/>
    <w:rsid w:val="00646B96"/>
    <w:rsid w:val="006520C2"/>
    <w:rsid w:val="006522E7"/>
    <w:rsid w:val="00652394"/>
    <w:rsid w:val="006530AB"/>
    <w:rsid w:val="00653CAB"/>
    <w:rsid w:val="0065433B"/>
    <w:rsid w:val="0065470C"/>
    <w:rsid w:val="00656699"/>
    <w:rsid w:val="006567BB"/>
    <w:rsid w:val="00657803"/>
    <w:rsid w:val="006606BC"/>
    <w:rsid w:val="00663DA9"/>
    <w:rsid w:val="006641AA"/>
    <w:rsid w:val="00664D7A"/>
    <w:rsid w:val="0066556A"/>
    <w:rsid w:val="006658CD"/>
    <w:rsid w:val="00665AF2"/>
    <w:rsid w:val="006661AD"/>
    <w:rsid w:val="0066643F"/>
    <w:rsid w:val="006664F6"/>
    <w:rsid w:val="006672CA"/>
    <w:rsid w:val="00667F03"/>
    <w:rsid w:val="0067085A"/>
    <w:rsid w:val="00670B64"/>
    <w:rsid w:val="006716C6"/>
    <w:rsid w:val="00671D99"/>
    <w:rsid w:val="00672298"/>
    <w:rsid w:val="0067258D"/>
    <w:rsid w:val="00672A62"/>
    <w:rsid w:val="00672D63"/>
    <w:rsid w:val="00673CAC"/>
    <w:rsid w:val="00674FCD"/>
    <w:rsid w:val="00675718"/>
    <w:rsid w:val="0067720B"/>
    <w:rsid w:val="0068021E"/>
    <w:rsid w:val="0068394D"/>
    <w:rsid w:val="00683960"/>
    <w:rsid w:val="00684B68"/>
    <w:rsid w:val="0068567A"/>
    <w:rsid w:val="0068599F"/>
    <w:rsid w:val="00685C90"/>
    <w:rsid w:val="00685F7A"/>
    <w:rsid w:val="00685FD5"/>
    <w:rsid w:val="006866F2"/>
    <w:rsid w:val="006871C1"/>
    <w:rsid w:val="00687A1A"/>
    <w:rsid w:val="0069000A"/>
    <w:rsid w:val="0069017C"/>
    <w:rsid w:val="00690EFF"/>
    <w:rsid w:val="006913FB"/>
    <w:rsid w:val="00691AC5"/>
    <w:rsid w:val="00691DF3"/>
    <w:rsid w:val="00692A3F"/>
    <w:rsid w:val="00693925"/>
    <w:rsid w:val="0069475B"/>
    <w:rsid w:val="0069508D"/>
    <w:rsid w:val="00695990"/>
    <w:rsid w:val="00696CB6"/>
    <w:rsid w:val="006973C1"/>
    <w:rsid w:val="006979B9"/>
    <w:rsid w:val="006A0CB4"/>
    <w:rsid w:val="006A1FFA"/>
    <w:rsid w:val="006A21EA"/>
    <w:rsid w:val="006A2430"/>
    <w:rsid w:val="006A2CE1"/>
    <w:rsid w:val="006A4FA8"/>
    <w:rsid w:val="006A5913"/>
    <w:rsid w:val="006A69CE"/>
    <w:rsid w:val="006A7095"/>
    <w:rsid w:val="006A7CCD"/>
    <w:rsid w:val="006B103A"/>
    <w:rsid w:val="006B104C"/>
    <w:rsid w:val="006B1EEC"/>
    <w:rsid w:val="006B1FE2"/>
    <w:rsid w:val="006B27AD"/>
    <w:rsid w:val="006B3F83"/>
    <w:rsid w:val="006B5992"/>
    <w:rsid w:val="006B69F8"/>
    <w:rsid w:val="006B6D7D"/>
    <w:rsid w:val="006B6DD6"/>
    <w:rsid w:val="006B70F7"/>
    <w:rsid w:val="006B76D3"/>
    <w:rsid w:val="006C0971"/>
    <w:rsid w:val="006C0AE1"/>
    <w:rsid w:val="006C2286"/>
    <w:rsid w:val="006C26D2"/>
    <w:rsid w:val="006C2FA4"/>
    <w:rsid w:val="006C3279"/>
    <w:rsid w:val="006C3485"/>
    <w:rsid w:val="006C351E"/>
    <w:rsid w:val="006C6899"/>
    <w:rsid w:val="006C7A75"/>
    <w:rsid w:val="006D0278"/>
    <w:rsid w:val="006D032E"/>
    <w:rsid w:val="006D0C62"/>
    <w:rsid w:val="006D133E"/>
    <w:rsid w:val="006D2DAD"/>
    <w:rsid w:val="006D3A22"/>
    <w:rsid w:val="006D3A8D"/>
    <w:rsid w:val="006D4A3F"/>
    <w:rsid w:val="006D4C4A"/>
    <w:rsid w:val="006D4C59"/>
    <w:rsid w:val="006D5407"/>
    <w:rsid w:val="006D67E8"/>
    <w:rsid w:val="006D74EC"/>
    <w:rsid w:val="006E007F"/>
    <w:rsid w:val="006E0081"/>
    <w:rsid w:val="006E184E"/>
    <w:rsid w:val="006E1CE9"/>
    <w:rsid w:val="006E2610"/>
    <w:rsid w:val="006E29E1"/>
    <w:rsid w:val="006E2E49"/>
    <w:rsid w:val="006E4E29"/>
    <w:rsid w:val="006E56D6"/>
    <w:rsid w:val="006E6770"/>
    <w:rsid w:val="006E77FD"/>
    <w:rsid w:val="006F02AA"/>
    <w:rsid w:val="006F169D"/>
    <w:rsid w:val="006F2146"/>
    <w:rsid w:val="006F2B83"/>
    <w:rsid w:val="006F3565"/>
    <w:rsid w:val="006F41B4"/>
    <w:rsid w:val="006F5135"/>
    <w:rsid w:val="006F5C58"/>
    <w:rsid w:val="006F641D"/>
    <w:rsid w:val="006F74A5"/>
    <w:rsid w:val="006F75CF"/>
    <w:rsid w:val="0070007D"/>
    <w:rsid w:val="0070067C"/>
    <w:rsid w:val="00701541"/>
    <w:rsid w:val="00702B07"/>
    <w:rsid w:val="0070345A"/>
    <w:rsid w:val="00704FBE"/>
    <w:rsid w:val="0070531E"/>
    <w:rsid w:val="0070532A"/>
    <w:rsid w:val="007058F9"/>
    <w:rsid w:val="00705B85"/>
    <w:rsid w:val="00706812"/>
    <w:rsid w:val="007077DE"/>
    <w:rsid w:val="007102B0"/>
    <w:rsid w:val="00710E31"/>
    <w:rsid w:val="007110A1"/>
    <w:rsid w:val="007112BC"/>
    <w:rsid w:val="00711B73"/>
    <w:rsid w:val="00711E67"/>
    <w:rsid w:val="0071250A"/>
    <w:rsid w:val="00713625"/>
    <w:rsid w:val="00714F5C"/>
    <w:rsid w:val="00715943"/>
    <w:rsid w:val="00716647"/>
    <w:rsid w:val="007167F8"/>
    <w:rsid w:val="00716E73"/>
    <w:rsid w:val="00717BB4"/>
    <w:rsid w:val="0072041D"/>
    <w:rsid w:val="0072072F"/>
    <w:rsid w:val="007228C4"/>
    <w:rsid w:val="00723027"/>
    <w:rsid w:val="007235ED"/>
    <w:rsid w:val="00723D61"/>
    <w:rsid w:val="00723FBE"/>
    <w:rsid w:val="0072445D"/>
    <w:rsid w:val="0072461C"/>
    <w:rsid w:val="00725004"/>
    <w:rsid w:val="0072562B"/>
    <w:rsid w:val="007258C8"/>
    <w:rsid w:val="007262ED"/>
    <w:rsid w:val="007279CA"/>
    <w:rsid w:val="007322A1"/>
    <w:rsid w:val="0073263C"/>
    <w:rsid w:val="007326AC"/>
    <w:rsid w:val="00733392"/>
    <w:rsid w:val="00733830"/>
    <w:rsid w:val="00734622"/>
    <w:rsid w:val="00734F26"/>
    <w:rsid w:val="00736E48"/>
    <w:rsid w:val="0073724C"/>
    <w:rsid w:val="00737B75"/>
    <w:rsid w:val="00741670"/>
    <w:rsid w:val="007416B2"/>
    <w:rsid w:val="00741DB2"/>
    <w:rsid w:val="007425C0"/>
    <w:rsid w:val="00742E4E"/>
    <w:rsid w:val="007439E8"/>
    <w:rsid w:val="007439ED"/>
    <w:rsid w:val="00744BB8"/>
    <w:rsid w:val="00744F17"/>
    <w:rsid w:val="00745383"/>
    <w:rsid w:val="00745FDB"/>
    <w:rsid w:val="00746AE7"/>
    <w:rsid w:val="00746E94"/>
    <w:rsid w:val="00746F2B"/>
    <w:rsid w:val="00747679"/>
    <w:rsid w:val="00747926"/>
    <w:rsid w:val="007504FA"/>
    <w:rsid w:val="00750654"/>
    <w:rsid w:val="00752478"/>
    <w:rsid w:val="00752D22"/>
    <w:rsid w:val="00754264"/>
    <w:rsid w:val="007545DF"/>
    <w:rsid w:val="00755A57"/>
    <w:rsid w:val="00755A79"/>
    <w:rsid w:val="00755EAB"/>
    <w:rsid w:val="00755F12"/>
    <w:rsid w:val="00756271"/>
    <w:rsid w:val="00756C18"/>
    <w:rsid w:val="00756FC2"/>
    <w:rsid w:val="0075728E"/>
    <w:rsid w:val="0075737E"/>
    <w:rsid w:val="007574EF"/>
    <w:rsid w:val="00757F2A"/>
    <w:rsid w:val="00760E89"/>
    <w:rsid w:val="00761A15"/>
    <w:rsid w:val="00762029"/>
    <w:rsid w:val="007626C4"/>
    <w:rsid w:val="007639A0"/>
    <w:rsid w:val="00764D2A"/>
    <w:rsid w:val="00765A4F"/>
    <w:rsid w:val="00765CBB"/>
    <w:rsid w:val="00765F97"/>
    <w:rsid w:val="007666E6"/>
    <w:rsid w:val="00766910"/>
    <w:rsid w:val="0076746D"/>
    <w:rsid w:val="00767D6B"/>
    <w:rsid w:val="0077037C"/>
    <w:rsid w:val="007735E5"/>
    <w:rsid w:val="00773815"/>
    <w:rsid w:val="0077398B"/>
    <w:rsid w:val="007750BC"/>
    <w:rsid w:val="007771BF"/>
    <w:rsid w:val="007773F9"/>
    <w:rsid w:val="00777AAB"/>
    <w:rsid w:val="00777B35"/>
    <w:rsid w:val="007802E2"/>
    <w:rsid w:val="00780EB4"/>
    <w:rsid w:val="00782176"/>
    <w:rsid w:val="0078223E"/>
    <w:rsid w:val="00782E40"/>
    <w:rsid w:val="00784088"/>
    <w:rsid w:val="00784C65"/>
    <w:rsid w:val="00785203"/>
    <w:rsid w:val="007857E2"/>
    <w:rsid w:val="007873F9"/>
    <w:rsid w:val="00790BC8"/>
    <w:rsid w:val="00790FCA"/>
    <w:rsid w:val="00791BBF"/>
    <w:rsid w:val="00791F15"/>
    <w:rsid w:val="007924B7"/>
    <w:rsid w:val="007939A2"/>
    <w:rsid w:val="0079523B"/>
    <w:rsid w:val="007954DB"/>
    <w:rsid w:val="00795926"/>
    <w:rsid w:val="007A054D"/>
    <w:rsid w:val="007A15E3"/>
    <w:rsid w:val="007A1EF5"/>
    <w:rsid w:val="007A2A1E"/>
    <w:rsid w:val="007A32F1"/>
    <w:rsid w:val="007A5EF5"/>
    <w:rsid w:val="007A6207"/>
    <w:rsid w:val="007A64D6"/>
    <w:rsid w:val="007A67A8"/>
    <w:rsid w:val="007A7EBC"/>
    <w:rsid w:val="007B05BC"/>
    <w:rsid w:val="007B21C3"/>
    <w:rsid w:val="007B228A"/>
    <w:rsid w:val="007B3687"/>
    <w:rsid w:val="007B5885"/>
    <w:rsid w:val="007B6205"/>
    <w:rsid w:val="007B68BC"/>
    <w:rsid w:val="007B70FD"/>
    <w:rsid w:val="007B72C1"/>
    <w:rsid w:val="007B7C20"/>
    <w:rsid w:val="007C1CB1"/>
    <w:rsid w:val="007C1EAB"/>
    <w:rsid w:val="007C2166"/>
    <w:rsid w:val="007C35E1"/>
    <w:rsid w:val="007C3643"/>
    <w:rsid w:val="007C368C"/>
    <w:rsid w:val="007C377F"/>
    <w:rsid w:val="007C3BDA"/>
    <w:rsid w:val="007C419D"/>
    <w:rsid w:val="007C4304"/>
    <w:rsid w:val="007C4386"/>
    <w:rsid w:val="007C4865"/>
    <w:rsid w:val="007C510C"/>
    <w:rsid w:val="007D023A"/>
    <w:rsid w:val="007D09C7"/>
    <w:rsid w:val="007D0E43"/>
    <w:rsid w:val="007D15C1"/>
    <w:rsid w:val="007D1770"/>
    <w:rsid w:val="007D2F95"/>
    <w:rsid w:val="007D3834"/>
    <w:rsid w:val="007D46E9"/>
    <w:rsid w:val="007D4917"/>
    <w:rsid w:val="007D5035"/>
    <w:rsid w:val="007D6085"/>
    <w:rsid w:val="007D62E9"/>
    <w:rsid w:val="007D6B19"/>
    <w:rsid w:val="007D780F"/>
    <w:rsid w:val="007E1977"/>
    <w:rsid w:val="007E2A54"/>
    <w:rsid w:val="007E3371"/>
    <w:rsid w:val="007E3738"/>
    <w:rsid w:val="007E389E"/>
    <w:rsid w:val="007E593E"/>
    <w:rsid w:val="007E64EF"/>
    <w:rsid w:val="007E6985"/>
    <w:rsid w:val="007E6F40"/>
    <w:rsid w:val="007E7C39"/>
    <w:rsid w:val="007F03E2"/>
    <w:rsid w:val="007F0CDE"/>
    <w:rsid w:val="007F289A"/>
    <w:rsid w:val="007F2E43"/>
    <w:rsid w:val="007F334C"/>
    <w:rsid w:val="007F3BE5"/>
    <w:rsid w:val="007F49E1"/>
    <w:rsid w:val="007F4D08"/>
    <w:rsid w:val="007F4E98"/>
    <w:rsid w:val="007F50BE"/>
    <w:rsid w:val="007F54ED"/>
    <w:rsid w:val="007F76BE"/>
    <w:rsid w:val="007F787B"/>
    <w:rsid w:val="0080168A"/>
    <w:rsid w:val="008016A1"/>
    <w:rsid w:val="00801DB9"/>
    <w:rsid w:val="008022CB"/>
    <w:rsid w:val="0080269B"/>
    <w:rsid w:val="00803052"/>
    <w:rsid w:val="00804365"/>
    <w:rsid w:val="00804577"/>
    <w:rsid w:val="008051AC"/>
    <w:rsid w:val="00805AD0"/>
    <w:rsid w:val="00805B71"/>
    <w:rsid w:val="008064FF"/>
    <w:rsid w:val="0081110A"/>
    <w:rsid w:val="00811DE5"/>
    <w:rsid w:val="00812356"/>
    <w:rsid w:val="00812C1F"/>
    <w:rsid w:val="00813857"/>
    <w:rsid w:val="00813FE6"/>
    <w:rsid w:val="00814BAB"/>
    <w:rsid w:val="00814CBE"/>
    <w:rsid w:val="00814D53"/>
    <w:rsid w:val="00815598"/>
    <w:rsid w:val="00815B71"/>
    <w:rsid w:val="00815EC5"/>
    <w:rsid w:val="00816A39"/>
    <w:rsid w:val="00816DCD"/>
    <w:rsid w:val="0082099E"/>
    <w:rsid w:val="00821C73"/>
    <w:rsid w:val="00822860"/>
    <w:rsid w:val="008240AF"/>
    <w:rsid w:val="008242FC"/>
    <w:rsid w:val="00824522"/>
    <w:rsid w:val="008249B3"/>
    <w:rsid w:val="00824E1C"/>
    <w:rsid w:val="00826AE9"/>
    <w:rsid w:val="00827126"/>
    <w:rsid w:val="008271BF"/>
    <w:rsid w:val="00827A66"/>
    <w:rsid w:val="00827C89"/>
    <w:rsid w:val="00830A71"/>
    <w:rsid w:val="00830B96"/>
    <w:rsid w:val="00831B6E"/>
    <w:rsid w:val="008323D0"/>
    <w:rsid w:val="00832415"/>
    <w:rsid w:val="00832901"/>
    <w:rsid w:val="008329A4"/>
    <w:rsid w:val="00832D67"/>
    <w:rsid w:val="00833C03"/>
    <w:rsid w:val="00834ACC"/>
    <w:rsid w:val="00834B13"/>
    <w:rsid w:val="00835A6B"/>
    <w:rsid w:val="00836013"/>
    <w:rsid w:val="008368C4"/>
    <w:rsid w:val="00836BDF"/>
    <w:rsid w:val="00837636"/>
    <w:rsid w:val="008415E2"/>
    <w:rsid w:val="0084373E"/>
    <w:rsid w:val="00843BE5"/>
    <w:rsid w:val="00844297"/>
    <w:rsid w:val="00844CE5"/>
    <w:rsid w:val="00844FA1"/>
    <w:rsid w:val="00845C04"/>
    <w:rsid w:val="00845C2C"/>
    <w:rsid w:val="00845FBA"/>
    <w:rsid w:val="00847704"/>
    <w:rsid w:val="00847B76"/>
    <w:rsid w:val="00847F1D"/>
    <w:rsid w:val="00847F33"/>
    <w:rsid w:val="008502CF"/>
    <w:rsid w:val="00850FD7"/>
    <w:rsid w:val="00851B58"/>
    <w:rsid w:val="00851C9E"/>
    <w:rsid w:val="00852753"/>
    <w:rsid w:val="0085292B"/>
    <w:rsid w:val="00852A4A"/>
    <w:rsid w:val="008565C8"/>
    <w:rsid w:val="00856D8C"/>
    <w:rsid w:val="00856F61"/>
    <w:rsid w:val="00857080"/>
    <w:rsid w:val="00860354"/>
    <w:rsid w:val="0086056C"/>
    <w:rsid w:val="008609E4"/>
    <w:rsid w:val="0086103A"/>
    <w:rsid w:val="008615B0"/>
    <w:rsid w:val="00862D48"/>
    <w:rsid w:val="00862DEA"/>
    <w:rsid w:val="008632B3"/>
    <w:rsid w:val="008638FB"/>
    <w:rsid w:val="00863978"/>
    <w:rsid w:val="00864197"/>
    <w:rsid w:val="0086509D"/>
    <w:rsid w:val="00865CAC"/>
    <w:rsid w:val="00866039"/>
    <w:rsid w:val="0086670B"/>
    <w:rsid w:val="008671D8"/>
    <w:rsid w:val="00867EEB"/>
    <w:rsid w:val="008714C2"/>
    <w:rsid w:val="0087186D"/>
    <w:rsid w:val="00872317"/>
    <w:rsid w:val="008725EE"/>
    <w:rsid w:val="0087267D"/>
    <w:rsid w:val="0087451F"/>
    <w:rsid w:val="00874F3D"/>
    <w:rsid w:val="008759EE"/>
    <w:rsid w:val="00875C75"/>
    <w:rsid w:val="0087640A"/>
    <w:rsid w:val="00876728"/>
    <w:rsid w:val="00877E22"/>
    <w:rsid w:val="00880CFA"/>
    <w:rsid w:val="00880D07"/>
    <w:rsid w:val="00881B91"/>
    <w:rsid w:val="0088327A"/>
    <w:rsid w:val="0088400B"/>
    <w:rsid w:val="008845DB"/>
    <w:rsid w:val="00885CD1"/>
    <w:rsid w:val="008867A7"/>
    <w:rsid w:val="008869FA"/>
    <w:rsid w:val="00886C99"/>
    <w:rsid w:val="008870BD"/>
    <w:rsid w:val="00890629"/>
    <w:rsid w:val="00890955"/>
    <w:rsid w:val="00890BEE"/>
    <w:rsid w:val="0089225F"/>
    <w:rsid w:val="008924F8"/>
    <w:rsid w:val="00892677"/>
    <w:rsid w:val="00893079"/>
    <w:rsid w:val="00893A7E"/>
    <w:rsid w:val="00893CD4"/>
    <w:rsid w:val="00894658"/>
    <w:rsid w:val="008952E7"/>
    <w:rsid w:val="00895B9F"/>
    <w:rsid w:val="008964EC"/>
    <w:rsid w:val="00896626"/>
    <w:rsid w:val="008971A2"/>
    <w:rsid w:val="00897C01"/>
    <w:rsid w:val="008A0528"/>
    <w:rsid w:val="008A20AA"/>
    <w:rsid w:val="008A218D"/>
    <w:rsid w:val="008A2695"/>
    <w:rsid w:val="008A2AA1"/>
    <w:rsid w:val="008A3D51"/>
    <w:rsid w:val="008A435D"/>
    <w:rsid w:val="008A468D"/>
    <w:rsid w:val="008A4C9D"/>
    <w:rsid w:val="008A4D02"/>
    <w:rsid w:val="008A533C"/>
    <w:rsid w:val="008A562C"/>
    <w:rsid w:val="008A6073"/>
    <w:rsid w:val="008A62E2"/>
    <w:rsid w:val="008A72F2"/>
    <w:rsid w:val="008A783D"/>
    <w:rsid w:val="008B00B8"/>
    <w:rsid w:val="008B015E"/>
    <w:rsid w:val="008B0912"/>
    <w:rsid w:val="008B0A7F"/>
    <w:rsid w:val="008B0D90"/>
    <w:rsid w:val="008B1638"/>
    <w:rsid w:val="008B1AC9"/>
    <w:rsid w:val="008B3690"/>
    <w:rsid w:val="008B457C"/>
    <w:rsid w:val="008B6666"/>
    <w:rsid w:val="008B6F7B"/>
    <w:rsid w:val="008B743F"/>
    <w:rsid w:val="008B7A07"/>
    <w:rsid w:val="008C18EB"/>
    <w:rsid w:val="008C1F7D"/>
    <w:rsid w:val="008C2B99"/>
    <w:rsid w:val="008C30FF"/>
    <w:rsid w:val="008C340C"/>
    <w:rsid w:val="008C375C"/>
    <w:rsid w:val="008C3AB4"/>
    <w:rsid w:val="008C3B2F"/>
    <w:rsid w:val="008C41DC"/>
    <w:rsid w:val="008C4453"/>
    <w:rsid w:val="008C4C6B"/>
    <w:rsid w:val="008C4FA5"/>
    <w:rsid w:val="008C6149"/>
    <w:rsid w:val="008C6C42"/>
    <w:rsid w:val="008C7C75"/>
    <w:rsid w:val="008C7D38"/>
    <w:rsid w:val="008D0DAC"/>
    <w:rsid w:val="008D1008"/>
    <w:rsid w:val="008D1CFD"/>
    <w:rsid w:val="008D2B70"/>
    <w:rsid w:val="008D2CE7"/>
    <w:rsid w:val="008D2DD8"/>
    <w:rsid w:val="008D5985"/>
    <w:rsid w:val="008D6F9C"/>
    <w:rsid w:val="008D718E"/>
    <w:rsid w:val="008E02A3"/>
    <w:rsid w:val="008E15CD"/>
    <w:rsid w:val="008E1BB7"/>
    <w:rsid w:val="008E1C3F"/>
    <w:rsid w:val="008E21C3"/>
    <w:rsid w:val="008E2E51"/>
    <w:rsid w:val="008E2E76"/>
    <w:rsid w:val="008E2E87"/>
    <w:rsid w:val="008E3CB9"/>
    <w:rsid w:val="008E4014"/>
    <w:rsid w:val="008E4483"/>
    <w:rsid w:val="008E4E53"/>
    <w:rsid w:val="008E517C"/>
    <w:rsid w:val="008E5897"/>
    <w:rsid w:val="008E68C3"/>
    <w:rsid w:val="008E6A94"/>
    <w:rsid w:val="008E7351"/>
    <w:rsid w:val="008E7ECB"/>
    <w:rsid w:val="008E7F0A"/>
    <w:rsid w:val="008EBAF1"/>
    <w:rsid w:val="008F03F3"/>
    <w:rsid w:val="008F0458"/>
    <w:rsid w:val="008F0B38"/>
    <w:rsid w:val="008F1B90"/>
    <w:rsid w:val="008F2885"/>
    <w:rsid w:val="008F2B32"/>
    <w:rsid w:val="008F3416"/>
    <w:rsid w:val="008F35C5"/>
    <w:rsid w:val="008F3839"/>
    <w:rsid w:val="008F4085"/>
    <w:rsid w:val="008F5418"/>
    <w:rsid w:val="008F5A27"/>
    <w:rsid w:val="008F6D3D"/>
    <w:rsid w:val="008F7963"/>
    <w:rsid w:val="00900569"/>
    <w:rsid w:val="0090091D"/>
    <w:rsid w:val="00900BB1"/>
    <w:rsid w:val="00901A0A"/>
    <w:rsid w:val="00901F0D"/>
    <w:rsid w:val="009028FD"/>
    <w:rsid w:val="00903045"/>
    <w:rsid w:val="009040A0"/>
    <w:rsid w:val="009040B5"/>
    <w:rsid w:val="00904DEF"/>
    <w:rsid w:val="00905FD4"/>
    <w:rsid w:val="009070D1"/>
    <w:rsid w:val="009074D3"/>
    <w:rsid w:val="0091058F"/>
    <w:rsid w:val="0091090C"/>
    <w:rsid w:val="009112B6"/>
    <w:rsid w:val="0091153B"/>
    <w:rsid w:val="0091162E"/>
    <w:rsid w:val="00912145"/>
    <w:rsid w:val="009124A9"/>
    <w:rsid w:val="00912A00"/>
    <w:rsid w:val="0091656D"/>
    <w:rsid w:val="00917D85"/>
    <w:rsid w:val="009202C4"/>
    <w:rsid w:val="0092035C"/>
    <w:rsid w:val="009215CE"/>
    <w:rsid w:val="009215E1"/>
    <w:rsid w:val="00921660"/>
    <w:rsid w:val="00921E97"/>
    <w:rsid w:val="00922B09"/>
    <w:rsid w:val="00922D14"/>
    <w:rsid w:val="00922E57"/>
    <w:rsid w:val="00922EB5"/>
    <w:rsid w:val="00923633"/>
    <w:rsid w:val="00923C8E"/>
    <w:rsid w:val="00924439"/>
    <w:rsid w:val="009247C2"/>
    <w:rsid w:val="00925035"/>
    <w:rsid w:val="0092538E"/>
    <w:rsid w:val="009259C8"/>
    <w:rsid w:val="00925B83"/>
    <w:rsid w:val="009261DD"/>
    <w:rsid w:val="0092646B"/>
    <w:rsid w:val="009278AE"/>
    <w:rsid w:val="00930342"/>
    <w:rsid w:val="00930E2B"/>
    <w:rsid w:val="00932BD8"/>
    <w:rsid w:val="00933A02"/>
    <w:rsid w:val="0093481C"/>
    <w:rsid w:val="00936F08"/>
    <w:rsid w:val="00937A62"/>
    <w:rsid w:val="00940B62"/>
    <w:rsid w:val="00941B48"/>
    <w:rsid w:val="009420D2"/>
    <w:rsid w:val="00943D67"/>
    <w:rsid w:val="009440EA"/>
    <w:rsid w:val="009447C6"/>
    <w:rsid w:val="009451F7"/>
    <w:rsid w:val="00945773"/>
    <w:rsid w:val="00945CE8"/>
    <w:rsid w:val="00946BFB"/>
    <w:rsid w:val="0094778F"/>
    <w:rsid w:val="00947DEF"/>
    <w:rsid w:val="00950754"/>
    <w:rsid w:val="00950A50"/>
    <w:rsid w:val="00951177"/>
    <w:rsid w:val="00951AAA"/>
    <w:rsid w:val="00953A47"/>
    <w:rsid w:val="00953C41"/>
    <w:rsid w:val="00954649"/>
    <w:rsid w:val="009548C6"/>
    <w:rsid w:val="00954AD0"/>
    <w:rsid w:val="00955D26"/>
    <w:rsid w:val="00955F6B"/>
    <w:rsid w:val="00956593"/>
    <w:rsid w:val="00957630"/>
    <w:rsid w:val="00961B3E"/>
    <w:rsid w:val="009624C2"/>
    <w:rsid w:val="009627B5"/>
    <w:rsid w:val="0096314B"/>
    <w:rsid w:val="00963CEB"/>
    <w:rsid w:val="00964C42"/>
    <w:rsid w:val="00964F82"/>
    <w:rsid w:val="0096523E"/>
    <w:rsid w:val="0096555C"/>
    <w:rsid w:val="00965D2E"/>
    <w:rsid w:val="009665CD"/>
    <w:rsid w:val="00966D31"/>
    <w:rsid w:val="00967E4A"/>
    <w:rsid w:val="009709F9"/>
    <w:rsid w:val="00971BC2"/>
    <w:rsid w:val="00971D15"/>
    <w:rsid w:val="00971E13"/>
    <w:rsid w:val="00972112"/>
    <w:rsid w:val="0097268E"/>
    <w:rsid w:val="00972CAC"/>
    <w:rsid w:val="00973160"/>
    <w:rsid w:val="00974406"/>
    <w:rsid w:val="009749D2"/>
    <w:rsid w:val="009754B7"/>
    <w:rsid w:val="00977849"/>
    <w:rsid w:val="00980548"/>
    <w:rsid w:val="00980754"/>
    <w:rsid w:val="00980BD1"/>
    <w:rsid w:val="00981F3D"/>
    <w:rsid w:val="009836DE"/>
    <w:rsid w:val="009837BB"/>
    <w:rsid w:val="00984AB8"/>
    <w:rsid w:val="00984C35"/>
    <w:rsid w:val="00984C9B"/>
    <w:rsid w:val="00985048"/>
    <w:rsid w:val="009864B2"/>
    <w:rsid w:val="00986808"/>
    <w:rsid w:val="00986EDB"/>
    <w:rsid w:val="00987643"/>
    <w:rsid w:val="00987C64"/>
    <w:rsid w:val="00987DBB"/>
    <w:rsid w:val="00987E22"/>
    <w:rsid w:val="00987E29"/>
    <w:rsid w:val="00987EAF"/>
    <w:rsid w:val="00990AB1"/>
    <w:rsid w:val="00991C50"/>
    <w:rsid w:val="00993BCE"/>
    <w:rsid w:val="00993C70"/>
    <w:rsid w:val="00993EF4"/>
    <w:rsid w:val="00995A35"/>
    <w:rsid w:val="00995A81"/>
    <w:rsid w:val="00995FB3"/>
    <w:rsid w:val="00996245"/>
    <w:rsid w:val="00996958"/>
    <w:rsid w:val="00996DEB"/>
    <w:rsid w:val="00996E00"/>
    <w:rsid w:val="009972B0"/>
    <w:rsid w:val="00997903"/>
    <w:rsid w:val="00997A01"/>
    <w:rsid w:val="00997AD1"/>
    <w:rsid w:val="009A0CA3"/>
    <w:rsid w:val="009A1285"/>
    <w:rsid w:val="009A21F4"/>
    <w:rsid w:val="009A2290"/>
    <w:rsid w:val="009A2CBE"/>
    <w:rsid w:val="009A3430"/>
    <w:rsid w:val="009A3B67"/>
    <w:rsid w:val="009A4344"/>
    <w:rsid w:val="009A4443"/>
    <w:rsid w:val="009A453D"/>
    <w:rsid w:val="009A526E"/>
    <w:rsid w:val="009A7068"/>
    <w:rsid w:val="009A7619"/>
    <w:rsid w:val="009B0905"/>
    <w:rsid w:val="009B19A3"/>
    <w:rsid w:val="009B2003"/>
    <w:rsid w:val="009B336E"/>
    <w:rsid w:val="009B3381"/>
    <w:rsid w:val="009B3BFD"/>
    <w:rsid w:val="009B3F83"/>
    <w:rsid w:val="009B5316"/>
    <w:rsid w:val="009B6677"/>
    <w:rsid w:val="009B6972"/>
    <w:rsid w:val="009B7430"/>
    <w:rsid w:val="009B7623"/>
    <w:rsid w:val="009C029B"/>
    <w:rsid w:val="009C034E"/>
    <w:rsid w:val="009C0F06"/>
    <w:rsid w:val="009C1552"/>
    <w:rsid w:val="009C1820"/>
    <w:rsid w:val="009C1919"/>
    <w:rsid w:val="009C1A62"/>
    <w:rsid w:val="009C2E9D"/>
    <w:rsid w:val="009C378A"/>
    <w:rsid w:val="009C50AC"/>
    <w:rsid w:val="009C5BDD"/>
    <w:rsid w:val="009C5C25"/>
    <w:rsid w:val="009C5EE6"/>
    <w:rsid w:val="009C6ED8"/>
    <w:rsid w:val="009C76C3"/>
    <w:rsid w:val="009D005C"/>
    <w:rsid w:val="009D0737"/>
    <w:rsid w:val="009D12AF"/>
    <w:rsid w:val="009D19C7"/>
    <w:rsid w:val="009D3223"/>
    <w:rsid w:val="009D362E"/>
    <w:rsid w:val="009D3AE0"/>
    <w:rsid w:val="009D3E7C"/>
    <w:rsid w:val="009D44E8"/>
    <w:rsid w:val="009D4931"/>
    <w:rsid w:val="009D4DA5"/>
    <w:rsid w:val="009D501D"/>
    <w:rsid w:val="009D54EC"/>
    <w:rsid w:val="009D5807"/>
    <w:rsid w:val="009D5886"/>
    <w:rsid w:val="009D73E5"/>
    <w:rsid w:val="009E0AB1"/>
    <w:rsid w:val="009E160B"/>
    <w:rsid w:val="009E344C"/>
    <w:rsid w:val="009E4126"/>
    <w:rsid w:val="009E473E"/>
    <w:rsid w:val="009E589B"/>
    <w:rsid w:val="009E68BC"/>
    <w:rsid w:val="009F052F"/>
    <w:rsid w:val="009F0FD9"/>
    <w:rsid w:val="009F1DDF"/>
    <w:rsid w:val="009F2322"/>
    <w:rsid w:val="009F2601"/>
    <w:rsid w:val="009F2779"/>
    <w:rsid w:val="009F339A"/>
    <w:rsid w:val="009F3B8D"/>
    <w:rsid w:val="009F41F2"/>
    <w:rsid w:val="009F42C7"/>
    <w:rsid w:val="009F49BD"/>
    <w:rsid w:val="009F5BEB"/>
    <w:rsid w:val="009F6483"/>
    <w:rsid w:val="009F6DDE"/>
    <w:rsid w:val="009F7466"/>
    <w:rsid w:val="009F7FFD"/>
    <w:rsid w:val="00A012A5"/>
    <w:rsid w:val="00A020FF"/>
    <w:rsid w:val="00A02763"/>
    <w:rsid w:val="00A02841"/>
    <w:rsid w:val="00A03930"/>
    <w:rsid w:val="00A03C0E"/>
    <w:rsid w:val="00A05DB8"/>
    <w:rsid w:val="00A0620B"/>
    <w:rsid w:val="00A0646B"/>
    <w:rsid w:val="00A0788A"/>
    <w:rsid w:val="00A07AB3"/>
    <w:rsid w:val="00A07DD7"/>
    <w:rsid w:val="00A101F9"/>
    <w:rsid w:val="00A10796"/>
    <w:rsid w:val="00A10ED2"/>
    <w:rsid w:val="00A110FC"/>
    <w:rsid w:val="00A11FD7"/>
    <w:rsid w:val="00A12992"/>
    <w:rsid w:val="00A12E13"/>
    <w:rsid w:val="00A15490"/>
    <w:rsid w:val="00A15629"/>
    <w:rsid w:val="00A1569F"/>
    <w:rsid w:val="00A1583D"/>
    <w:rsid w:val="00A15FD4"/>
    <w:rsid w:val="00A16033"/>
    <w:rsid w:val="00A161D7"/>
    <w:rsid w:val="00A161F2"/>
    <w:rsid w:val="00A163B7"/>
    <w:rsid w:val="00A167FC"/>
    <w:rsid w:val="00A16F0E"/>
    <w:rsid w:val="00A20618"/>
    <w:rsid w:val="00A210B2"/>
    <w:rsid w:val="00A214D5"/>
    <w:rsid w:val="00A223C4"/>
    <w:rsid w:val="00A22A60"/>
    <w:rsid w:val="00A22A9A"/>
    <w:rsid w:val="00A22C0D"/>
    <w:rsid w:val="00A23FED"/>
    <w:rsid w:val="00A242A5"/>
    <w:rsid w:val="00A25413"/>
    <w:rsid w:val="00A25686"/>
    <w:rsid w:val="00A2617C"/>
    <w:rsid w:val="00A263DC"/>
    <w:rsid w:val="00A26B10"/>
    <w:rsid w:val="00A304AE"/>
    <w:rsid w:val="00A31AEF"/>
    <w:rsid w:val="00A320CC"/>
    <w:rsid w:val="00A327EA"/>
    <w:rsid w:val="00A336AE"/>
    <w:rsid w:val="00A33E60"/>
    <w:rsid w:val="00A342F1"/>
    <w:rsid w:val="00A34997"/>
    <w:rsid w:val="00A3594E"/>
    <w:rsid w:val="00A35B5A"/>
    <w:rsid w:val="00A367F1"/>
    <w:rsid w:val="00A3749F"/>
    <w:rsid w:val="00A40568"/>
    <w:rsid w:val="00A410A0"/>
    <w:rsid w:val="00A42026"/>
    <w:rsid w:val="00A42123"/>
    <w:rsid w:val="00A42C57"/>
    <w:rsid w:val="00A436ED"/>
    <w:rsid w:val="00A43B8E"/>
    <w:rsid w:val="00A440A9"/>
    <w:rsid w:val="00A444E9"/>
    <w:rsid w:val="00A445FB"/>
    <w:rsid w:val="00A446FD"/>
    <w:rsid w:val="00A45A0C"/>
    <w:rsid w:val="00A470F6"/>
    <w:rsid w:val="00A47B95"/>
    <w:rsid w:val="00A5090F"/>
    <w:rsid w:val="00A50CB5"/>
    <w:rsid w:val="00A5180D"/>
    <w:rsid w:val="00A51B17"/>
    <w:rsid w:val="00A5225F"/>
    <w:rsid w:val="00A527A3"/>
    <w:rsid w:val="00A52E89"/>
    <w:rsid w:val="00A530C0"/>
    <w:rsid w:val="00A534E9"/>
    <w:rsid w:val="00A5390D"/>
    <w:rsid w:val="00A54E7C"/>
    <w:rsid w:val="00A54FE6"/>
    <w:rsid w:val="00A550D0"/>
    <w:rsid w:val="00A56328"/>
    <w:rsid w:val="00A5660B"/>
    <w:rsid w:val="00A56E1B"/>
    <w:rsid w:val="00A57C2F"/>
    <w:rsid w:val="00A60A5A"/>
    <w:rsid w:val="00A61761"/>
    <w:rsid w:val="00A61BCF"/>
    <w:rsid w:val="00A61EF9"/>
    <w:rsid w:val="00A6430C"/>
    <w:rsid w:val="00A643D7"/>
    <w:rsid w:val="00A649EC"/>
    <w:rsid w:val="00A6558A"/>
    <w:rsid w:val="00A659F0"/>
    <w:rsid w:val="00A65E9D"/>
    <w:rsid w:val="00A669AA"/>
    <w:rsid w:val="00A6701C"/>
    <w:rsid w:val="00A70702"/>
    <w:rsid w:val="00A70765"/>
    <w:rsid w:val="00A70BEC"/>
    <w:rsid w:val="00A70E39"/>
    <w:rsid w:val="00A710F7"/>
    <w:rsid w:val="00A7131E"/>
    <w:rsid w:val="00A717FD"/>
    <w:rsid w:val="00A73C3D"/>
    <w:rsid w:val="00A75131"/>
    <w:rsid w:val="00A753B4"/>
    <w:rsid w:val="00A759A3"/>
    <w:rsid w:val="00A7687B"/>
    <w:rsid w:val="00A76BDD"/>
    <w:rsid w:val="00A76DB8"/>
    <w:rsid w:val="00A77130"/>
    <w:rsid w:val="00A7724F"/>
    <w:rsid w:val="00A805BE"/>
    <w:rsid w:val="00A80FE4"/>
    <w:rsid w:val="00A813CE"/>
    <w:rsid w:val="00A8144A"/>
    <w:rsid w:val="00A81DCE"/>
    <w:rsid w:val="00A82787"/>
    <w:rsid w:val="00A8369C"/>
    <w:rsid w:val="00A84260"/>
    <w:rsid w:val="00A84553"/>
    <w:rsid w:val="00A861C2"/>
    <w:rsid w:val="00A865AC"/>
    <w:rsid w:val="00A86C49"/>
    <w:rsid w:val="00A87675"/>
    <w:rsid w:val="00A87AB9"/>
    <w:rsid w:val="00A9013A"/>
    <w:rsid w:val="00A9090C"/>
    <w:rsid w:val="00A9101B"/>
    <w:rsid w:val="00A91287"/>
    <w:rsid w:val="00A916AD"/>
    <w:rsid w:val="00A91AD8"/>
    <w:rsid w:val="00A92529"/>
    <w:rsid w:val="00A92739"/>
    <w:rsid w:val="00A92856"/>
    <w:rsid w:val="00A92C35"/>
    <w:rsid w:val="00A933E1"/>
    <w:rsid w:val="00A9414A"/>
    <w:rsid w:val="00A948F0"/>
    <w:rsid w:val="00A94FA6"/>
    <w:rsid w:val="00A951BE"/>
    <w:rsid w:val="00A956CC"/>
    <w:rsid w:val="00A956F2"/>
    <w:rsid w:val="00A97A4F"/>
    <w:rsid w:val="00A97D05"/>
    <w:rsid w:val="00AA0999"/>
    <w:rsid w:val="00AA17C0"/>
    <w:rsid w:val="00AA2356"/>
    <w:rsid w:val="00AA2481"/>
    <w:rsid w:val="00AA49F4"/>
    <w:rsid w:val="00AA591E"/>
    <w:rsid w:val="00AA5C76"/>
    <w:rsid w:val="00AA68C5"/>
    <w:rsid w:val="00AA703E"/>
    <w:rsid w:val="00AA7E4A"/>
    <w:rsid w:val="00AB0ADD"/>
    <w:rsid w:val="00AB0BB1"/>
    <w:rsid w:val="00AB0BD5"/>
    <w:rsid w:val="00AB1AD3"/>
    <w:rsid w:val="00AB22BD"/>
    <w:rsid w:val="00AB2682"/>
    <w:rsid w:val="00AB4FCD"/>
    <w:rsid w:val="00AB5662"/>
    <w:rsid w:val="00AB5A04"/>
    <w:rsid w:val="00AB5F19"/>
    <w:rsid w:val="00AB5FF5"/>
    <w:rsid w:val="00AB6051"/>
    <w:rsid w:val="00AB6151"/>
    <w:rsid w:val="00AB716F"/>
    <w:rsid w:val="00AB7549"/>
    <w:rsid w:val="00AB75A4"/>
    <w:rsid w:val="00AC170A"/>
    <w:rsid w:val="00AC2630"/>
    <w:rsid w:val="00AC28E5"/>
    <w:rsid w:val="00AC3393"/>
    <w:rsid w:val="00AC3CDB"/>
    <w:rsid w:val="00AC3EC8"/>
    <w:rsid w:val="00AC50D5"/>
    <w:rsid w:val="00AC579A"/>
    <w:rsid w:val="00AC58CF"/>
    <w:rsid w:val="00AC61A6"/>
    <w:rsid w:val="00AC63C9"/>
    <w:rsid w:val="00AC6529"/>
    <w:rsid w:val="00AC678A"/>
    <w:rsid w:val="00AC739A"/>
    <w:rsid w:val="00AC7D03"/>
    <w:rsid w:val="00AD091A"/>
    <w:rsid w:val="00AD0C7E"/>
    <w:rsid w:val="00AD1A4B"/>
    <w:rsid w:val="00AD229A"/>
    <w:rsid w:val="00AD27DE"/>
    <w:rsid w:val="00AD2DA4"/>
    <w:rsid w:val="00AD2F3E"/>
    <w:rsid w:val="00AD3891"/>
    <w:rsid w:val="00AD4812"/>
    <w:rsid w:val="00AD4A33"/>
    <w:rsid w:val="00AD4FFB"/>
    <w:rsid w:val="00AD5591"/>
    <w:rsid w:val="00AD63C3"/>
    <w:rsid w:val="00AD695F"/>
    <w:rsid w:val="00AD7C02"/>
    <w:rsid w:val="00AE0404"/>
    <w:rsid w:val="00AE1707"/>
    <w:rsid w:val="00AE2D47"/>
    <w:rsid w:val="00AE3421"/>
    <w:rsid w:val="00AE36FC"/>
    <w:rsid w:val="00AE37E3"/>
    <w:rsid w:val="00AE4529"/>
    <w:rsid w:val="00AE5B99"/>
    <w:rsid w:val="00AE61C8"/>
    <w:rsid w:val="00AE663C"/>
    <w:rsid w:val="00AE6E70"/>
    <w:rsid w:val="00AE738D"/>
    <w:rsid w:val="00AE77FE"/>
    <w:rsid w:val="00AE7DD4"/>
    <w:rsid w:val="00AF006F"/>
    <w:rsid w:val="00AF1191"/>
    <w:rsid w:val="00AF11BF"/>
    <w:rsid w:val="00AF1A7E"/>
    <w:rsid w:val="00AF21EA"/>
    <w:rsid w:val="00AF33B5"/>
    <w:rsid w:val="00AF3598"/>
    <w:rsid w:val="00AF3EBC"/>
    <w:rsid w:val="00AF49DF"/>
    <w:rsid w:val="00AF4E2A"/>
    <w:rsid w:val="00B00D94"/>
    <w:rsid w:val="00B01B27"/>
    <w:rsid w:val="00B01BA9"/>
    <w:rsid w:val="00B02925"/>
    <w:rsid w:val="00B02A1C"/>
    <w:rsid w:val="00B04BFA"/>
    <w:rsid w:val="00B051BA"/>
    <w:rsid w:val="00B06240"/>
    <w:rsid w:val="00B06BB6"/>
    <w:rsid w:val="00B072AB"/>
    <w:rsid w:val="00B075D7"/>
    <w:rsid w:val="00B07A2B"/>
    <w:rsid w:val="00B10AA1"/>
    <w:rsid w:val="00B10C9D"/>
    <w:rsid w:val="00B10E58"/>
    <w:rsid w:val="00B10F8D"/>
    <w:rsid w:val="00B11F1A"/>
    <w:rsid w:val="00B11F38"/>
    <w:rsid w:val="00B129FF"/>
    <w:rsid w:val="00B12B4A"/>
    <w:rsid w:val="00B12D73"/>
    <w:rsid w:val="00B12E7A"/>
    <w:rsid w:val="00B13EFB"/>
    <w:rsid w:val="00B1487D"/>
    <w:rsid w:val="00B151B9"/>
    <w:rsid w:val="00B15B11"/>
    <w:rsid w:val="00B168E5"/>
    <w:rsid w:val="00B169BF"/>
    <w:rsid w:val="00B16A1F"/>
    <w:rsid w:val="00B17597"/>
    <w:rsid w:val="00B17A49"/>
    <w:rsid w:val="00B2015A"/>
    <w:rsid w:val="00B215D6"/>
    <w:rsid w:val="00B21F1B"/>
    <w:rsid w:val="00B2210A"/>
    <w:rsid w:val="00B22712"/>
    <w:rsid w:val="00B22E63"/>
    <w:rsid w:val="00B23353"/>
    <w:rsid w:val="00B238AF"/>
    <w:rsid w:val="00B2476A"/>
    <w:rsid w:val="00B24C55"/>
    <w:rsid w:val="00B24EE3"/>
    <w:rsid w:val="00B25EC3"/>
    <w:rsid w:val="00B25F90"/>
    <w:rsid w:val="00B26569"/>
    <w:rsid w:val="00B26B67"/>
    <w:rsid w:val="00B30EC6"/>
    <w:rsid w:val="00B31067"/>
    <w:rsid w:val="00B313A7"/>
    <w:rsid w:val="00B3187C"/>
    <w:rsid w:val="00B31DF6"/>
    <w:rsid w:val="00B32AEB"/>
    <w:rsid w:val="00B33C7A"/>
    <w:rsid w:val="00B3442A"/>
    <w:rsid w:val="00B34508"/>
    <w:rsid w:val="00B35928"/>
    <w:rsid w:val="00B35F92"/>
    <w:rsid w:val="00B36DA5"/>
    <w:rsid w:val="00B37092"/>
    <w:rsid w:val="00B40663"/>
    <w:rsid w:val="00B42053"/>
    <w:rsid w:val="00B42ACA"/>
    <w:rsid w:val="00B431F4"/>
    <w:rsid w:val="00B43DAC"/>
    <w:rsid w:val="00B446D7"/>
    <w:rsid w:val="00B449D0"/>
    <w:rsid w:val="00B46464"/>
    <w:rsid w:val="00B4648B"/>
    <w:rsid w:val="00B464EE"/>
    <w:rsid w:val="00B466BA"/>
    <w:rsid w:val="00B46B85"/>
    <w:rsid w:val="00B472DE"/>
    <w:rsid w:val="00B504E8"/>
    <w:rsid w:val="00B506AC"/>
    <w:rsid w:val="00B51645"/>
    <w:rsid w:val="00B523E6"/>
    <w:rsid w:val="00B5265E"/>
    <w:rsid w:val="00B53AE1"/>
    <w:rsid w:val="00B53D47"/>
    <w:rsid w:val="00B5425B"/>
    <w:rsid w:val="00B54569"/>
    <w:rsid w:val="00B54835"/>
    <w:rsid w:val="00B54A97"/>
    <w:rsid w:val="00B56216"/>
    <w:rsid w:val="00B5650B"/>
    <w:rsid w:val="00B56A11"/>
    <w:rsid w:val="00B56B65"/>
    <w:rsid w:val="00B57D37"/>
    <w:rsid w:val="00B609B9"/>
    <w:rsid w:val="00B6138E"/>
    <w:rsid w:val="00B616AF"/>
    <w:rsid w:val="00B61980"/>
    <w:rsid w:val="00B62151"/>
    <w:rsid w:val="00B62853"/>
    <w:rsid w:val="00B6333D"/>
    <w:rsid w:val="00B63C63"/>
    <w:rsid w:val="00B63DFC"/>
    <w:rsid w:val="00B666C7"/>
    <w:rsid w:val="00B66DD6"/>
    <w:rsid w:val="00B6737B"/>
    <w:rsid w:val="00B67954"/>
    <w:rsid w:val="00B67F1D"/>
    <w:rsid w:val="00B72190"/>
    <w:rsid w:val="00B72A11"/>
    <w:rsid w:val="00B72BA9"/>
    <w:rsid w:val="00B72E6C"/>
    <w:rsid w:val="00B730C6"/>
    <w:rsid w:val="00B742D4"/>
    <w:rsid w:val="00B74BDB"/>
    <w:rsid w:val="00B74EAC"/>
    <w:rsid w:val="00B7548A"/>
    <w:rsid w:val="00B75FB9"/>
    <w:rsid w:val="00B766D6"/>
    <w:rsid w:val="00B7671B"/>
    <w:rsid w:val="00B80A88"/>
    <w:rsid w:val="00B80C34"/>
    <w:rsid w:val="00B80CB8"/>
    <w:rsid w:val="00B80EE8"/>
    <w:rsid w:val="00B81033"/>
    <w:rsid w:val="00B82134"/>
    <w:rsid w:val="00B8350D"/>
    <w:rsid w:val="00B83762"/>
    <w:rsid w:val="00B83965"/>
    <w:rsid w:val="00B84193"/>
    <w:rsid w:val="00B84919"/>
    <w:rsid w:val="00B85334"/>
    <w:rsid w:val="00B85ABD"/>
    <w:rsid w:val="00B861C0"/>
    <w:rsid w:val="00B875D0"/>
    <w:rsid w:val="00B8774A"/>
    <w:rsid w:val="00B87D4D"/>
    <w:rsid w:val="00B915DD"/>
    <w:rsid w:val="00B9274F"/>
    <w:rsid w:val="00B93DB8"/>
    <w:rsid w:val="00B94036"/>
    <w:rsid w:val="00B958DA"/>
    <w:rsid w:val="00B96198"/>
    <w:rsid w:val="00B9764A"/>
    <w:rsid w:val="00B976E0"/>
    <w:rsid w:val="00B97C94"/>
    <w:rsid w:val="00BA00B5"/>
    <w:rsid w:val="00BA0986"/>
    <w:rsid w:val="00BA283B"/>
    <w:rsid w:val="00BA3A50"/>
    <w:rsid w:val="00BA41E1"/>
    <w:rsid w:val="00BA4B15"/>
    <w:rsid w:val="00BA4D59"/>
    <w:rsid w:val="00BA4FBE"/>
    <w:rsid w:val="00BA5910"/>
    <w:rsid w:val="00BA5F73"/>
    <w:rsid w:val="00BA669C"/>
    <w:rsid w:val="00BA68A3"/>
    <w:rsid w:val="00BA6C64"/>
    <w:rsid w:val="00BA6D04"/>
    <w:rsid w:val="00BA6E6B"/>
    <w:rsid w:val="00BA7842"/>
    <w:rsid w:val="00BB0FDD"/>
    <w:rsid w:val="00BB12C8"/>
    <w:rsid w:val="00BB1B2D"/>
    <w:rsid w:val="00BB22A5"/>
    <w:rsid w:val="00BB252C"/>
    <w:rsid w:val="00BB2544"/>
    <w:rsid w:val="00BB271C"/>
    <w:rsid w:val="00BB3288"/>
    <w:rsid w:val="00BB3AC8"/>
    <w:rsid w:val="00BB4330"/>
    <w:rsid w:val="00BB6B8A"/>
    <w:rsid w:val="00BC004E"/>
    <w:rsid w:val="00BC01D0"/>
    <w:rsid w:val="00BC11EA"/>
    <w:rsid w:val="00BC1883"/>
    <w:rsid w:val="00BC2123"/>
    <w:rsid w:val="00BC287A"/>
    <w:rsid w:val="00BC3332"/>
    <w:rsid w:val="00BC3CB8"/>
    <w:rsid w:val="00BC45C6"/>
    <w:rsid w:val="00BC472C"/>
    <w:rsid w:val="00BC4C45"/>
    <w:rsid w:val="00BC4CA1"/>
    <w:rsid w:val="00BC61A7"/>
    <w:rsid w:val="00BC6E79"/>
    <w:rsid w:val="00BC6F7D"/>
    <w:rsid w:val="00BC72BB"/>
    <w:rsid w:val="00BC774B"/>
    <w:rsid w:val="00BC7B97"/>
    <w:rsid w:val="00BC7C00"/>
    <w:rsid w:val="00BD0A94"/>
    <w:rsid w:val="00BD0ABB"/>
    <w:rsid w:val="00BD0D3F"/>
    <w:rsid w:val="00BD1836"/>
    <w:rsid w:val="00BD28E3"/>
    <w:rsid w:val="00BD3EF1"/>
    <w:rsid w:val="00BD4530"/>
    <w:rsid w:val="00BD46F7"/>
    <w:rsid w:val="00BD5902"/>
    <w:rsid w:val="00BD6876"/>
    <w:rsid w:val="00BD6E40"/>
    <w:rsid w:val="00BD7A46"/>
    <w:rsid w:val="00BD7CA9"/>
    <w:rsid w:val="00BE0F9E"/>
    <w:rsid w:val="00BE10D6"/>
    <w:rsid w:val="00BE1297"/>
    <w:rsid w:val="00BE1AD8"/>
    <w:rsid w:val="00BE38B4"/>
    <w:rsid w:val="00BE50E6"/>
    <w:rsid w:val="00BE5333"/>
    <w:rsid w:val="00BE58EC"/>
    <w:rsid w:val="00BE6F04"/>
    <w:rsid w:val="00BE7450"/>
    <w:rsid w:val="00BF0456"/>
    <w:rsid w:val="00BF0FE9"/>
    <w:rsid w:val="00BF14AE"/>
    <w:rsid w:val="00BF15BA"/>
    <w:rsid w:val="00BF17E2"/>
    <w:rsid w:val="00BF2E22"/>
    <w:rsid w:val="00BF3297"/>
    <w:rsid w:val="00BF4469"/>
    <w:rsid w:val="00BF5CDF"/>
    <w:rsid w:val="00BF5EE7"/>
    <w:rsid w:val="00BF60E6"/>
    <w:rsid w:val="00BF63AA"/>
    <w:rsid w:val="00BF666B"/>
    <w:rsid w:val="00BF6B18"/>
    <w:rsid w:val="00BF77F1"/>
    <w:rsid w:val="00BF793B"/>
    <w:rsid w:val="00BF7977"/>
    <w:rsid w:val="00BF7B3B"/>
    <w:rsid w:val="00C00B53"/>
    <w:rsid w:val="00C00FD3"/>
    <w:rsid w:val="00C0349F"/>
    <w:rsid w:val="00C049F1"/>
    <w:rsid w:val="00C05D35"/>
    <w:rsid w:val="00C07008"/>
    <w:rsid w:val="00C075F4"/>
    <w:rsid w:val="00C10218"/>
    <w:rsid w:val="00C116F6"/>
    <w:rsid w:val="00C11FE2"/>
    <w:rsid w:val="00C12245"/>
    <w:rsid w:val="00C125F0"/>
    <w:rsid w:val="00C135DA"/>
    <w:rsid w:val="00C143C9"/>
    <w:rsid w:val="00C145A6"/>
    <w:rsid w:val="00C150EC"/>
    <w:rsid w:val="00C1517C"/>
    <w:rsid w:val="00C15E27"/>
    <w:rsid w:val="00C16E39"/>
    <w:rsid w:val="00C203BA"/>
    <w:rsid w:val="00C21177"/>
    <w:rsid w:val="00C217A9"/>
    <w:rsid w:val="00C2181A"/>
    <w:rsid w:val="00C21C61"/>
    <w:rsid w:val="00C2244C"/>
    <w:rsid w:val="00C2411C"/>
    <w:rsid w:val="00C2435F"/>
    <w:rsid w:val="00C243B5"/>
    <w:rsid w:val="00C2463E"/>
    <w:rsid w:val="00C24FA7"/>
    <w:rsid w:val="00C253AA"/>
    <w:rsid w:val="00C25CE5"/>
    <w:rsid w:val="00C30219"/>
    <w:rsid w:val="00C303E5"/>
    <w:rsid w:val="00C30D7B"/>
    <w:rsid w:val="00C31732"/>
    <w:rsid w:val="00C330BE"/>
    <w:rsid w:val="00C3311A"/>
    <w:rsid w:val="00C33787"/>
    <w:rsid w:val="00C33F5B"/>
    <w:rsid w:val="00C34546"/>
    <w:rsid w:val="00C34BCD"/>
    <w:rsid w:val="00C355CE"/>
    <w:rsid w:val="00C35986"/>
    <w:rsid w:val="00C35D19"/>
    <w:rsid w:val="00C40035"/>
    <w:rsid w:val="00C40F40"/>
    <w:rsid w:val="00C42C8E"/>
    <w:rsid w:val="00C44298"/>
    <w:rsid w:val="00C4495F"/>
    <w:rsid w:val="00C44FD8"/>
    <w:rsid w:val="00C45067"/>
    <w:rsid w:val="00C4506B"/>
    <w:rsid w:val="00C45969"/>
    <w:rsid w:val="00C45D9A"/>
    <w:rsid w:val="00C4650C"/>
    <w:rsid w:val="00C46559"/>
    <w:rsid w:val="00C469F9"/>
    <w:rsid w:val="00C522BC"/>
    <w:rsid w:val="00C5254F"/>
    <w:rsid w:val="00C52F53"/>
    <w:rsid w:val="00C5357B"/>
    <w:rsid w:val="00C538A0"/>
    <w:rsid w:val="00C549B8"/>
    <w:rsid w:val="00C54E19"/>
    <w:rsid w:val="00C55CC6"/>
    <w:rsid w:val="00C55F6E"/>
    <w:rsid w:val="00C56234"/>
    <w:rsid w:val="00C568C4"/>
    <w:rsid w:val="00C568E4"/>
    <w:rsid w:val="00C56D4E"/>
    <w:rsid w:val="00C57974"/>
    <w:rsid w:val="00C57D77"/>
    <w:rsid w:val="00C61852"/>
    <w:rsid w:val="00C6227B"/>
    <w:rsid w:val="00C62556"/>
    <w:rsid w:val="00C632EE"/>
    <w:rsid w:val="00C641A2"/>
    <w:rsid w:val="00C642D8"/>
    <w:rsid w:val="00C64EDF"/>
    <w:rsid w:val="00C664E9"/>
    <w:rsid w:val="00C66BF0"/>
    <w:rsid w:val="00C67C08"/>
    <w:rsid w:val="00C67FCA"/>
    <w:rsid w:val="00C7088E"/>
    <w:rsid w:val="00C7114F"/>
    <w:rsid w:val="00C71532"/>
    <w:rsid w:val="00C72C43"/>
    <w:rsid w:val="00C72EFE"/>
    <w:rsid w:val="00C735A9"/>
    <w:rsid w:val="00C742AB"/>
    <w:rsid w:val="00C742C1"/>
    <w:rsid w:val="00C75753"/>
    <w:rsid w:val="00C759F9"/>
    <w:rsid w:val="00C75DCF"/>
    <w:rsid w:val="00C76CC3"/>
    <w:rsid w:val="00C8045D"/>
    <w:rsid w:val="00C806B4"/>
    <w:rsid w:val="00C80CE1"/>
    <w:rsid w:val="00C83587"/>
    <w:rsid w:val="00C84405"/>
    <w:rsid w:val="00C85E24"/>
    <w:rsid w:val="00C86660"/>
    <w:rsid w:val="00C86810"/>
    <w:rsid w:val="00C8768D"/>
    <w:rsid w:val="00C878B7"/>
    <w:rsid w:val="00C90D2E"/>
    <w:rsid w:val="00C90E70"/>
    <w:rsid w:val="00C91BD0"/>
    <w:rsid w:val="00C91EFC"/>
    <w:rsid w:val="00C921BB"/>
    <w:rsid w:val="00C927B8"/>
    <w:rsid w:val="00C93A24"/>
    <w:rsid w:val="00C94277"/>
    <w:rsid w:val="00C94457"/>
    <w:rsid w:val="00C94697"/>
    <w:rsid w:val="00C948AD"/>
    <w:rsid w:val="00C94B21"/>
    <w:rsid w:val="00C95CDD"/>
    <w:rsid w:val="00C96FAB"/>
    <w:rsid w:val="00CA129E"/>
    <w:rsid w:val="00CA28A0"/>
    <w:rsid w:val="00CA33C9"/>
    <w:rsid w:val="00CA36C1"/>
    <w:rsid w:val="00CA3DA6"/>
    <w:rsid w:val="00CA517E"/>
    <w:rsid w:val="00CA51E7"/>
    <w:rsid w:val="00CA650A"/>
    <w:rsid w:val="00CA69E4"/>
    <w:rsid w:val="00CA730B"/>
    <w:rsid w:val="00CA77AC"/>
    <w:rsid w:val="00CA7950"/>
    <w:rsid w:val="00CA7D0D"/>
    <w:rsid w:val="00CB0D2C"/>
    <w:rsid w:val="00CB175F"/>
    <w:rsid w:val="00CB42AB"/>
    <w:rsid w:val="00CB46B8"/>
    <w:rsid w:val="00CB49F7"/>
    <w:rsid w:val="00CB4B64"/>
    <w:rsid w:val="00CB56CC"/>
    <w:rsid w:val="00CB586E"/>
    <w:rsid w:val="00CB6AED"/>
    <w:rsid w:val="00CB7A22"/>
    <w:rsid w:val="00CC0C22"/>
    <w:rsid w:val="00CC17DA"/>
    <w:rsid w:val="00CC24F2"/>
    <w:rsid w:val="00CC4530"/>
    <w:rsid w:val="00CC4909"/>
    <w:rsid w:val="00CC61CB"/>
    <w:rsid w:val="00CD1618"/>
    <w:rsid w:val="00CD2873"/>
    <w:rsid w:val="00CD34FE"/>
    <w:rsid w:val="00CD3E88"/>
    <w:rsid w:val="00CD5F5A"/>
    <w:rsid w:val="00CD66C4"/>
    <w:rsid w:val="00CD75BA"/>
    <w:rsid w:val="00CD786F"/>
    <w:rsid w:val="00CD7EF8"/>
    <w:rsid w:val="00CE01AD"/>
    <w:rsid w:val="00CE0253"/>
    <w:rsid w:val="00CE038D"/>
    <w:rsid w:val="00CE1328"/>
    <w:rsid w:val="00CE2645"/>
    <w:rsid w:val="00CE377E"/>
    <w:rsid w:val="00CE5B14"/>
    <w:rsid w:val="00CE620F"/>
    <w:rsid w:val="00CE65DA"/>
    <w:rsid w:val="00CF0390"/>
    <w:rsid w:val="00CF25AE"/>
    <w:rsid w:val="00CF569F"/>
    <w:rsid w:val="00CF5C00"/>
    <w:rsid w:val="00CF611E"/>
    <w:rsid w:val="00CF6287"/>
    <w:rsid w:val="00CF6761"/>
    <w:rsid w:val="00CF760C"/>
    <w:rsid w:val="00CF7BFB"/>
    <w:rsid w:val="00CF7E0D"/>
    <w:rsid w:val="00CF9999"/>
    <w:rsid w:val="00D00580"/>
    <w:rsid w:val="00D01453"/>
    <w:rsid w:val="00D01B73"/>
    <w:rsid w:val="00D01DEB"/>
    <w:rsid w:val="00D02596"/>
    <w:rsid w:val="00D02A42"/>
    <w:rsid w:val="00D02A63"/>
    <w:rsid w:val="00D03DE9"/>
    <w:rsid w:val="00D03FAA"/>
    <w:rsid w:val="00D04C38"/>
    <w:rsid w:val="00D05144"/>
    <w:rsid w:val="00D05220"/>
    <w:rsid w:val="00D05801"/>
    <w:rsid w:val="00D058DF"/>
    <w:rsid w:val="00D06A48"/>
    <w:rsid w:val="00D0733D"/>
    <w:rsid w:val="00D073DB"/>
    <w:rsid w:val="00D1012E"/>
    <w:rsid w:val="00D104BC"/>
    <w:rsid w:val="00D108BA"/>
    <w:rsid w:val="00D10BEE"/>
    <w:rsid w:val="00D119C4"/>
    <w:rsid w:val="00D11F70"/>
    <w:rsid w:val="00D12B30"/>
    <w:rsid w:val="00D132E1"/>
    <w:rsid w:val="00D14AE7"/>
    <w:rsid w:val="00D15068"/>
    <w:rsid w:val="00D15558"/>
    <w:rsid w:val="00D1557C"/>
    <w:rsid w:val="00D15A7F"/>
    <w:rsid w:val="00D1676D"/>
    <w:rsid w:val="00D168BA"/>
    <w:rsid w:val="00D16BAB"/>
    <w:rsid w:val="00D17638"/>
    <w:rsid w:val="00D17B99"/>
    <w:rsid w:val="00D17DA5"/>
    <w:rsid w:val="00D17DD7"/>
    <w:rsid w:val="00D17FC8"/>
    <w:rsid w:val="00D2044C"/>
    <w:rsid w:val="00D208FC"/>
    <w:rsid w:val="00D2227F"/>
    <w:rsid w:val="00D22D44"/>
    <w:rsid w:val="00D23EDC"/>
    <w:rsid w:val="00D24E5B"/>
    <w:rsid w:val="00D25219"/>
    <w:rsid w:val="00D25749"/>
    <w:rsid w:val="00D26787"/>
    <w:rsid w:val="00D30175"/>
    <w:rsid w:val="00D30C83"/>
    <w:rsid w:val="00D30EF8"/>
    <w:rsid w:val="00D34BE7"/>
    <w:rsid w:val="00D35283"/>
    <w:rsid w:val="00D356F2"/>
    <w:rsid w:val="00D35769"/>
    <w:rsid w:val="00D371A1"/>
    <w:rsid w:val="00D378DA"/>
    <w:rsid w:val="00D37C88"/>
    <w:rsid w:val="00D404C1"/>
    <w:rsid w:val="00D41247"/>
    <w:rsid w:val="00D4161C"/>
    <w:rsid w:val="00D421B7"/>
    <w:rsid w:val="00D422E9"/>
    <w:rsid w:val="00D423B3"/>
    <w:rsid w:val="00D42CAF"/>
    <w:rsid w:val="00D43387"/>
    <w:rsid w:val="00D43B3B"/>
    <w:rsid w:val="00D440AE"/>
    <w:rsid w:val="00D44161"/>
    <w:rsid w:val="00D4488B"/>
    <w:rsid w:val="00D451F6"/>
    <w:rsid w:val="00D45342"/>
    <w:rsid w:val="00D469AE"/>
    <w:rsid w:val="00D47448"/>
    <w:rsid w:val="00D47B10"/>
    <w:rsid w:val="00D507E5"/>
    <w:rsid w:val="00D50F7F"/>
    <w:rsid w:val="00D51452"/>
    <w:rsid w:val="00D51FDC"/>
    <w:rsid w:val="00D5243C"/>
    <w:rsid w:val="00D52CF7"/>
    <w:rsid w:val="00D53AF3"/>
    <w:rsid w:val="00D540FD"/>
    <w:rsid w:val="00D54AB8"/>
    <w:rsid w:val="00D54E6C"/>
    <w:rsid w:val="00D5543E"/>
    <w:rsid w:val="00D5569B"/>
    <w:rsid w:val="00D5660E"/>
    <w:rsid w:val="00D56F35"/>
    <w:rsid w:val="00D578D1"/>
    <w:rsid w:val="00D57C1E"/>
    <w:rsid w:val="00D60290"/>
    <w:rsid w:val="00D604D0"/>
    <w:rsid w:val="00D6129B"/>
    <w:rsid w:val="00D62356"/>
    <w:rsid w:val="00D629C1"/>
    <w:rsid w:val="00D64234"/>
    <w:rsid w:val="00D6466B"/>
    <w:rsid w:val="00D64CCD"/>
    <w:rsid w:val="00D65B8A"/>
    <w:rsid w:val="00D66CC6"/>
    <w:rsid w:val="00D67209"/>
    <w:rsid w:val="00D677B5"/>
    <w:rsid w:val="00D677C3"/>
    <w:rsid w:val="00D67A65"/>
    <w:rsid w:val="00D720DB"/>
    <w:rsid w:val="00D73733"/>
    <w:rsid w:val="00D73EC7"/>
    <w:rsid w:val="00D74083"/>
    <w:rsid w:val="00D75003"/>
    <w:rsid w:val="00D753D1"/>
    <w:rsid w:val="00D75439"/>
    <w:rsid w:val="00D75FFC"/>
    <w:rsid w:val="00D76C10"/>
    <w:rsid w:val="00D7758A"/>
    <w:rsid w:val="00D77924"/>
    <w:rsid w:val="00D80674"/>
    <w:rsid w:val="00D811B0"/>
    <w:rsid w:val="00D818C9"/>
    <w:rsid w:val="00D840BC"/>
    <w:rsid w:val="00D84A76"/>
    <w:rsid w:val="00D84BE1"/>
    <w:rsid w:val="00D84F62"/>
    <w:rsid w:val="00D8562B"/>
    <w:rsid w:val="00D8617D"/>
    <w:rsid w:val="00D86405"/>
    <w:rsid w:val="00D90297"/>
    <w:rsid w:val="00D903CD"/>
    <w:rsid w:val="00D90A3D"/>
    <w:rsid w:val="00D90C39"/>
    <w:rsid w:val="00D90D08"/>
    <w:rsid w:val="00D92686"/>
    <w:rsid w:val="00D929D7"/>
    <w:rsid w:val="00D93432"/>
    <w:rsid w:val="00D9361B"/>
    <w:rsid w:val="00D9381F"/>
    <w:rsid w:val="00D940E5"/>
    <w:rsid w:val="00D94592"/>
    <w:rsid w:val="00D95008"/>
    <w:rsid w:val="00D95900"/>
    <w:rsid w:val="00D95E69"/>
    <w:rsid w:val="00D9625A"/>
    <w:rsid w:val="00D9632D"/>
    <w:rsid w:val="00D9649A"/>
    <w:rsid w:val="00D9747B"/>
    <w:rsid w:val="00D97521"/>
    <w:rsid w:val="00D97550"/>
    <w:rsid w:val="00D97872"/>
    <w:rsid w:val="00D97953"/>
    <w:rsid w:val="00DA043C"/>
    <w:rsid w:val="00DA1983"/>
    <w:rsid w:val="00DA28C7"/>
    <w:rsid w:val="00DA2D3B"/>
    <w:rsid w:val="00DA3B2C"/>
    <w:rsid w:val="00DA4985"/>
    <w:rsid w:val="00DA53AD"/>
    <w:rsid w:val="00DA7341"/>
    <w:rsid w:val="00DB0C89"/>
    <w:rsid w:val="00DB1476"/>
    <w:rsid w:val="00DB1BAC"/>
    <w:rsid w:val="00DB251D"/>
    <w:rsid w:val="00DB273D"/>
    <w:rsid w:val="00DB27A1"/>
    <w:rsid w:val="00DB3479"/>
    <w:rsid w:val="00DB41D2"/>
    <w:rsid w:val="00DB44F4"/>
    <w:rsid w:val="00DB590B"/>
    <w:rsid w:val="00DB6026"/>
    <w:rsid w:val="00DB7207"/>
    <w:rsid w:val="00DB740B"/>
    <w:rsid w:val="00DB7AB1"/>
    <w:rsid w:val="00DC0A43"/>
    <w:rsid w:val="00DC10A7"/>
    <w:rsid w:val="00DC136B"/>
    <w:rsid w:val="00DC16E3"/>
    <w:rsid w:val="00DC16F7"/>
    <w:rsid w:val="00DC18BF"/>
    <w:rsid w:val="00DC1C6E"/>
    <w:rsid w:val="00DC3ADC"/>
    <w:rsid w:val="00DC4C36"/>
    <w:rsid w:val="00DC53C5"/>
    <w:rsid w:val="00DC56BD"/>
    <w:rsid w:val="00DC56FB"/>
    <w:rsid w:val="00DC6D8F"/>
    <w:rsid w:val="00DC700B"/>
    <w:rsid w:val="00DC718F"/>
    <w:rsid w:val="00DC76EB"/>
    <w:rsid w:val="00DD0F1F"/>
    <w:rsid w:val="00DD1A7F"/>
    <w:rsid w:val="00DD2001"/>
    <w:rsid w:val="00DD373C"/>
    <w:rsid w:val="00DD3815"/>
    <w:rsid w:val="00DD4686"/>
    <w:rsid w:val="00DD46D1"/>
    <w:rsid w:val="00DD4DAD"/>
    <w:rsid w:val="00DD5C7A"/>
    <w:rsid w:val="00DD76F2"/>
    <w:rsid w:val="00DE079D"/>
    <w:rsid w:val="00DE07D6"/>
    <w:rsid w:val="00DE0A8B"/>
    <w:rsid w:val="00DE215B"/>
    <w:rsid w:val="00DE2786"/>
    <w:rsid w:val="00DE32F5"/>
    <w:rsid w:val="00DE450F"/>
    <w:rsid w:val="00DE4860"/>
    <w:rsid w:val="00DE48DF"/>
    <w:rsid w:val="00DE493D"/>
    <w:rsid w:val="00DE4CA8"/>
    <w:rsid w:val="00DE5E49"/>
    <w:rsid w:val="00DE5EC4"/>
    <w:rsid w:val="00DE646A"/>
    <w:rsid w:val="00DF04C6"/>
    <w:rsid w:val="00DF0601"/>
    <w:rsid w:val="00DF0CC4"/>
    <w:rsid w:val="00DF2610"/>
    <w:rsid w:val="00DF408F"/>
    <w:rsid w:val="00DF46AA"/>
    <w:rsid w:val="00DF4DF8"/>
    <w:rsid w:val="00DF517C"/>
    <w:rsid w:val="00DF59B3"/>
    <w:rsid w:val="00DF60E5"/>
    <w:rsid w:val="00DF6291"/>
    <w:rsid w:val="00DF635D"/>
    <w:rsid w:val="00DF751F"/>
    <w:rsid w:val="00E00A15"/>
    <w:rsid w:val="00E03748"/>
    <w:rsid w:val="00E04372"/>
    <w:rsid w:val="00E0453C"/>
    <w:rsid w:val="00E05EC7"/>
    <w:rsid w:val="00E061BA"/>
    <w:rsid w:val="00E06650"/>
    <w:rsid w:val="00E07778"/>
    <w:rsid w:val="00E100C1"/>
    <w:rsid w:val="00E100C2"/>
    <w:rsid w:val="00E101CA"/>
    <w:rsid w:val="00E1089B"/>
    <w:rsid w:val="00E10DAA"/>
    <w:rsid w:val="00E11682"/>
    <w:rsid w:val="00E11ADB"/>
    <w:rsid w:val="00E13FFB"/>
    <w:rsid w:val="00E14E84"/>
    <w:rsid w:val="00E15B01"/>
    <w:rsid w:val="00E17189"/>
    <w:rsid w:val="00E177C4"/>
    <w:rsid w:val="00E20447"/>
    <w:rsid w:val="00E212A7"/>
    <w:rsid w:val="00E23247"/>
    <w:rsid w:val="00E234C7"/>
    <w:rsid w:val="00E24D23"/>
    <w:rsid w:val="00E25E6A"/>
    <w:rsid w:val="00E26274"/>
    <w:rsid w:val="00E27C78"/>
    <w:rsid w:val="00E3173C"/>
    <w:rsid w:val="00E31C0B"/>
    <w:rsid w:val="00E31FE7"/>
    <w:rsid w:val="00E328DC"/>
    <w:rsid w:val="00E353FD"/>
    <w:rsid w:val="00E359D9"/>
    <w:rsid w:val="00E35A50"/>
    <w:rsid w:val="00E360EE"/>
    <w:rsid w:val="00E3647A"/>
    <w:rsid w:val="00E36B5D"/>
    <w:rsid w:val="00E36C3B"/>
    <w:rsid w:val="00E37128"/>
    <w:rsid w:val="00E374F1"/>
    <w:rsid w:val="00E40112"/>
    <w:rsid w:val="00E4015C"/>
    <w:rsid w:val="00E40208"/>
    <w:rsid w:val="00E40449"/>
    <w:rsid w:val="00E415FF"/>
    <w:rsid w:val="00E41B6C"/>
    <w:rsid w:val="00E41D2A"/>
    <w:rsid w:val="00E44629"/>
    <w:rsid w:val="00E4465C"/>
    <w:rsid w:val="00E45469"/>
    <w:rsid w:val="00E45DC9"/>
    <w:rsid w:val="00E46A56"/>
    <w:rsid w:val="00E4700A"/>
    <w:rsid w:val="00E47111"/>
    <w:rsid w:val="00E47231"/>
    <w:rsid w:val="00E47256"/>
    <w:rsid w:val="00E5003E"/>
    <w:rsid w:val="00E5026D"/>
    <w:rsid w:val="00E52861"/>
    <w:rsid w:val="00E5304F"/>
    <w:rsid w:val="00E542DA"/>
    <w:rsid w:val="00E54996"/>
    <w:rsid w:val="00E54F6F"/>
    <w:rsid w:val="00E552B5"/>
    <w:rsid w:val="00E5566D"/>
    <w:rsid w:val="00E55AAE"/>
    <w:rsid w:val="00E563C1"/>
    <w:rsid w:val="00E56522"/>
    <w:rsid w:val="00E569D8"/>
    <w:rsid w:val="00E56F78"/>
    <w:rsid w:val="00E5748B"/>
    <w:rsid w:val="00E574D5"/>
    <w:rsid w:val="00E57510"/>
    <w:rsid w:val="00E57CC0"/>
    <w:rsid w:val="00E6050E"/>
    <w:rsid w:val="00E60576"/>
    <w:rsid w:val="00E611AB"/>
    <w:rsid w:val="00E6129D"/>
    <w:rsid w:val="00E614CE"/>
    <w:rsid w:val="00E62360"/>
    <w:rsid w:val="00E6245C"/>
    <w:rsid w:val="00E624E1"/>
    <w:rsid w:val="00E629B6"/>
    <w:rsid w:val="00E6396C"/>
    <w:rsid w:val="00E63A0D"/>
    <w:rsid w:val="00E63CED"/>
    <w:rsid w:val="00E63E33"/>
    <w:rsid w:val="00E6490D"/>
    <w:rsid w:val="00E6539B"/>
    <w:rsid w:val="00E66059"/>
    <w:rsid w:val="00E66157"/>
    <w:rsid w:val="00E6628C"/>
    <w:rsid w:val="00E6658C"/>
    <w:rsid w:val="00E671C7"/>
    <w:rsid w:val="00E67638"/>
    <w:rsid w:val="00E67B6D"/>
    <w:rsid w:val="00E70023"/>
    <w:rsid w:val="00E7179C"/>
    <w:rsid w:val="00E747DB"/>
    <w:rsid w:val="00E768AF"/>
    <w:rsid w:val="00E769B6"/>
    <w:rsid w:val="00E76BC0"/>
    <w:rsid w:val="00E77F7A"/>
    <w:rsid w:val="00E82B20"/>
    <w:rsid w:val="00E850EA"/>
    <w:rsid w:val="00E85518"/>
    <w:rsid w:val="00E864FA"/>
    <w:rsid w:val="00E8677F"/>
    <w:rsid w:val="00E86E4F"/>
    <w:rsid w:val="00E8723E"/>
    <w:rsid w:val="00E90153"/>
    <w:rsid w:val="00E9053D"/>
    <w:rsid w:val="00E90F93"/>
    <w:rsid w:val="00E91353"/>
    <w:rsid w:val="00E916F1"/>
    <w:rsid w:val="00E92706"/>
    <w:rsid w:val="00E949F9"/>
    <w:rsid w:val="00E951A8"/>
    <w:rsid w:val="00E95D6C"/>
    <w:rsid w:val="00E96119"/>
    <w:rsid w:val="00E9710C"/>
    <w:rsid w:val="00E97190"/>
    <w:rsid w:val="00E97462"/>
    <w:rsid w:val="00EA0691"/>
    <w:rsid w:val="00EA0C8D"/>
    <w:rsid w:val="00EA11B0"/>
    <w:rsid w:val="00EA161B"/>
    <w:rsid w:val="00EA256B"/>
    <w:rsid w:val="00EA2933"/>
    <w:rsid w:val="00EA3180"/>
    <w:rsid w:val="00EA5DF3"/>
    <w:rsid w:val="00EA67CA"/>
    <w:rsid w:val="00EA6B84"/>
    <w:rsid w:val="00EA7063"/>
    <w:rsid w:val="00EA7247"/>
    <w:rsid w:val="00EA73E3"/>
    <w:rsid w:val="00EB108D"/>
    <w:rsid w:val="00EB1654"/>
    <w:rsid w:val="00EB1B08"/>
    <w:rsid w:val="00EB2282"/>
    <w:rsid w:val="00EB23A5"/>
    <w:rsid w:val="00EB3478"/>
    <w:rsid w:val="00EB34EE"/>
    <w:rsid w:val="00EB3879"/>
    <w:rsid w:val="00EB3AF1"/>
    <w:rsid w:val="00EB4944"/>
    <w:rsid w:val="00EB4BAB"/>
    <w:rsid w:val="00EB5F03"/>
    <w:rsid w:val="00EC0901"/>
    <w:rsid w:val="00EC0A54"/>
    <w:rsid w:val="00EC2B9D"/>
    <w:rsid w:val="00EC4FD1"/>
    <w:rsid w:val="00EC67D0"/>
    <w:rsid w:val="00EC6A27"/>
    <w:rsid w:val="00EC762D"/>
    <w:rsid w:val="00EC78F2"/>
    <w:rsid w:val="00EC79D1"/>
    <w:rsid w:val="00EC7AE2"/>
    <w:rsid w:val="00ED0175"/>
    <w:rsid w:val="00ED07DF"/>
    <w:rsid w:val="00ED1C28"/>
    <w:rsid w:val="00ED1CA9"/>
    <w:rsid w:val="00ED232C"/>
    <w:rsid w:val="00ED2B50"/>
    <w:rsid w:val="00ED31FF"/>
    <w:rsid w:val="00ED38CC"/>
    <w:rsid w:val="00ED396D"/>
    <w:rsid w:val="00ED5337"/>
    <w:rsid w:val="00ED5B84"/>
    <w:rsid w:val="00ED7273"/>
    <w:rsid w:val="00ED762E"/>
    <w:rsid w:val="00EE04DF"/>
    <w:rsid w:val="00EE0AE8"/>
    <w:rsid w:val="00EE15E5"/>
    <w:rsid w:val="00EE1C00"/>
    <w:rsid w:val="00EE2574"/>
    <w:rsid w:val="00EE2CC4"/>
    <w:rsid w:val="00EE5178"/>
    <w:rsid w:val="00EE588A"/>
    <w:rsid w:val="00EE635D"/>
    <w:rsid w:val="00EE6D61"/>
    <w:rsid w:val="00EE70B4"/>
    <w:rsid w:val="00EE756D"/>
    <w:rsid w:val="00EF1362"/>
    <w:rsid w:val="00EF4573"/>
    <w:rsid w:val="00EF6718"/>
    <w:rsid w:val="00EF7AA6"/>
    <w:rsid w:val="00F00700"/>
    <w:rsid w:val="00F01688"/>
    <w:rsid w:val="00F02637"/>
    <w:rsid w:val="00F0287E"/>
    <w:rsid w:val="00F045C2"/>
    <w:rsid w:val="00F07720"/>
    <w:rsid w:val="00F07F3B"/>
    <w:rsid w:val="00F11274"/>
    <w:rsid w:val="00F11385"/>
    <w:rsid w:val="00F114C5"/>
    <w:rsid w:val="00F11E16"/>
    <w:rsid w:val="00F12543"/>
    <w:rsid w:val="00F12FC5"/>
    <w:rsid w:val="00F146A0"/>
    <w:rsid w:val="00F15151"/>
    <w:rsid w:val="00F15264"/>
    <w:rsid w:val="00F15792"/>
    <w:rsid w:val="00F17C38"/>
    <w:rsid w:val="00F17E9C"/>
    <w:rsid w:val="00F200F8"/>
    <w:rsid w:val="00F20CFD"/>
    <w:rsid w:val="00F211FF"/>
    <w:rsid w:val="00F222CC"/>
    <w:rsid w:val="00F23D2A"/>
    <w:rsid w:val="00F23F8F"/>
    <w:rsid w:val="00F24B46"/>
    <w:rsid w:val="00F24C7E"/>
    <w:rsid w:val="00F251A4"/>
    <w:rsid w:val="00F255C2"/>
    <w:rsid w:val="00F26244"/>
    <w:rsid w:val="00F2672A"/>
    <w:rsid w:val="00F2685F"/>
    <w:rsid w:val="00F26964"/>
    <w:rsid w:val="00F273FD"/>
    <w:rsid w:val="00F30557"/>
    <w:rsid w:val="00F3156C"/>
    <w:rsid w:val="00F316C7"/>
    <w:rsid w:val="00F318F1"/>
    <w:rsid w:val="00F31D0F"/>
    <w:rsid w:val="00F32194"/>
    <w:rsid w:val="00F326EA"/>
    <w:rsid w:val="00F32952"/>
    <w:rsid w:val="00F33423"/>
    <w:rsid w:val="00F3391F"/>
    <w:rsid w:val="00F33D24"/>
    <w:rsid w:val="00F3445A"/>
    <w:rsid w:val="00F347B5"/>
    <w:rsid w:val="00F34B66"/>
    <w:rsid w:val="00F35254"/>
    <w:rsid w:val="00F3540C"/>
    <w:rsid w:val="00F35754"/>
    <w:rsid w:val="00F3656C"/>
    <w:rsid w:val="00F3719B"/>
    <w:rsid w:val="00F37AAA"/>
    <w:rsid w:val="00F42292"/>
    <w:rsid w:val="00F428B5"/>
    <w:rsid w:val="00F43A3F"/>
    <w:rsid w:val="00F43B5E"/>
    <w:rsid w:val="00F44805"/>
    <w:rsid w:val="00F4501E"/>
    <w:rsid w:val="00F454E1"/>
    <w:rsid w:val="00F4605D"/>
    <w:rsid w:val="00F477A3"/>
    <w:rsid w:val="00F47A92"/>
    <w:rsid w:val="00F50295"/>
    <w:rsid w:val="00F50692"/>
    <w:rsid w:val="00F50CED"/>
    <w:rsid w:val="00F5261F"/>
    <w:rsid w:val="00F534CA"/>
    <w:rsid w:val="00F53F6F"/>
    <w:rsid w:val="00F53FD5"/>
    <w:rsid w:val="00F54CF6"/>
    <w:rsid w:val="00F54DFF"/>
    <w:rsid w:val="00F54E0E"/>
    <w:rsid w:val="00F55E0F"/>
    <w:rsid w:val="00F56BC5"/>
    <w:rsid w:val="00F6068C"/>
    <w:rsid w:val="00F61186"/>
    <w:rsid w:val="00F6229B"/>
    <w:rsid w:val="00F6258B"/>
    <w:rsid w:val="00F6280D"/>
    <w:rsid w:val="00F62CB3"/>
    <w:rsid w:val="00F63EE0"/>
    <w:rsid w:val="00F64A01"/>
    <w:rsid w:val="00F65949"/>
    <w:rsid w:val="00F66927"/>
    <w:rsid w:val="00F66CED"/>
    <w:rsid w:val="00F67B69"/>
    <w:rsid w:val="00F7054F"/>
    <w:rsid w:val="00F7064A"/>
    <w:rsid w:val="00F709E7"/>
    <w:rsid w:val="00F71E9B"/>
    <w:rsid w:val="00F73646"/>
    <w:rsid w:val="00F73AE2"/>
    <w:rsid w:val="00F73C68"/>
    <w:rsid w:val="00F74653"/>
    <w:rsid w:val="00F754DB"/>
    <w:rsid w:val="00F75828"/>
    <w:rsid w:val="00F76F1D"/>
    <w:rsid w:val="00F7728A"/>
    <w:rsid w:val="00F775FB"/>
    <w:rsid w:val="00F77855"/>
    <w:rsid w:val="00F77E6A"/>
    <w:rsid w:val="00F804B0"/>
    <w:rsid w:val="00F81CB5"/>
    <w:rsid w:val="00F83A88"/>
    <w:rsid w:val="00F84001"/>
    <w:rsid w:val="00F84164"/>
    <w:rsid w:val="00F84B8D"/>
    <w:rsid w:val="00F84E13"/>
    <w:rsid w:val="00F853A5"/>
    <w:rsid w:val="00F8589B"/>
    <w:rsid w:val="00F866CD"/>
    <w:rsid w:val="00F91823"/>
    <w:rsid w:val="00F918CC"/>
    <w:rsid w:val="00F91AC5"/>
    <w:rsid w:val="00F91B59"/>
    <w:rsid w:val="00F9215E"/>
    <w:rsid w:val="00F93AEB"/>
    <w:rsid w:val="00F9416A"/>
    <w:rsid w:val="00F945FD"/>
    <w:rsid w:val="00F94E28"/>
    <w:rsid w:val="00F95BC7"/>
    <w:rsid w:val="00F95BEF"/>
    <w:rsid w:val="00F95C15"/>
    <w:rsid w:val="00F97A19"/>
    <w:rsid w:val="00F97CFF"/>
    <w:rsid w:val="00F97E27"/>
    <w:rsid w:val="00FA0271"/>
    <w:rsid w:val="00FA0802"/>
    <w:rsid w:val="00FA09FA"/>
    <w:rsid w:val="00FA1BE7"/>
    <w:rsid w:val="00FA20FF"/>
    <w:rsid w:val="00FA2E15"/>
    <w:rsid w:val="00FA417E"/>
    <w:rsid w:val="00FA5AC5"/>
    <w:rsid w:val="00FA5EAC"/>
    <w:rsid w:val="00FA6435"/>
    <w:rsid w:val="00FA7703"/>
    <w:rsid w:val="00FB0EA3"/>
    <w:rsid w:val="00FB1F53"/>
    <w:rsid w:val="00FB2295"/>
    <w:rsid w:val="00FB30C8"/>
    <w:rsid w:val="00FB342A"/>
    <w:rsid w:val="00FB3975"/>
    <w:rsid w:val="00FB5034"/>
    <w:rsid w:val="00FB50BD"/>
    <w:rsid w:val="00FB59E4"/>
    <w:rsid w:val="00FB5DE9"/>
    <w:rsid w:val="00FB5EAD"/>
    <w:rsid w:val="00FB7B65"/>
    <w:rsid w:val="00FC01C0"/>
    <w:rsid w:val="00FC0430"/>
    <w:rsid w:val="00FC1DC0"/>
    <w:rsid w:val="00FC3534"/>
    <w:rsid w:val="00FC4ED9"/>
    <w:rsid w:val="00FC556F"/>
    <w:rsid w:val="00FC591D"/>
    <w:rsid w:val="00FC5ECF"/>
    <w:rsid w:val="00FC63FC"/>
    <w:rsid w:val="00FC6424"/>
    <w:rsid w:val="00FC7554"/>
    <w:rsid w:val="00FD0C7B"/>
    <w:rsid w:val="00FD0F81"/>
    <w:rsid w:val="00FD240A"/>
    <w:rsid w:val="00FD27BC"/>
    <w:rsid w:val="00FD3552"/>
    <w:rsid w:val="00FD3957"/>
    <w:rsid w:val="00FD4516"/>
    <w:rsid w:val="00FD495A"/>
    <w:rsid w:val="00FD5F5A"/>
    <w:rsid w:val="00FD67B5"/>
    <w:rsid w:val="00FD6E81"/>
    <w:rsid w:val="00FD7A81"/>
    <w:rsid w:val="00FE03B6"/>
    <w:rsid w:val="00FE0F6F"/>
    <w:rsid w:val="00FE1122"/>
    <w:rsid w:val="00FE16AE"/>
    <w:rsid w:val="00FE1A66"/>
    <w:rsid w:val="00FE1CC1"/>
    <w:rsid w:val="00FE3572"/>
    <w:rsid w:val="00FE38B9"/>
    <w:rsid w:val="00FE3BB1"/>
    <w:rsid w:val="00FE3E72"/>
    <w:rsid w:val="00FE42CC"/>
    <w:rsid w:val="00FE515B"/>
    <w:rsid w:val="00FE59CB"/>
    <w:rsid w:val="00FE68B1"/>
    <w:rsid w:val="00FE74E9"/>
    <w:rsid w:val="00FF0C6D"/>
    <w:rsid w:val="00FF198E"/>
    <w:rsid w:val="00FF1A5C"/>
    <w:rsid w:val="00FF1F57"/>
    <w:rsid w:val="00FF2704"/>
    <w:rsid w:val="00FF2F31"/>
    <w:rsid w:val="00FF3198"/>
    <w:rsid w:val="00FF4B43"/>
    <w:rsid w:val="00FF5E2F"/>
    <w:rsid w:val="00FF6833"/>
    <w:rsid w:val="00FF6F3A"/>
    <w:rsid w:val="030047ED"/>
    <w:rsid w:val="038DD9BB"/>
    <w:rsid w:val="04AE8B90"/>
    <w:rsid w:val="04CBCCE7"/>
    <w:rsid w:val="061AD905"/>
    <w:rsid w:val="06993045"/>
    <w:rsid w:val="09D94B8F"/>
    <w:rsid w:val="0F4A199E"/>
    <w:rsid w:val="1291ECC3"/>
    <w:rsid w:val="13BCF39B"/>
    <w:rsid w:val="1402B71D"/>
    <w:rsid w:val="1433E91D"/>
    <w:rsid w:val="1494F7CE"/>
    <w:rsid w:val="1543F41B"/>
    <w:rsid w:val="15B35B3C"/>
    <w:rsid w:val="15E13C3A"/>
    <w:rsid w:val="16E497E7"/>
    <w:rsid w:val="17032C27"/>
    <w:rsid w:val="17119961"/>
    <w:rsid w:val="1911477B"/>
    <w:rsid w:val="1A49F03E"/>
    <w:rsid w:val="1BE082FE"/>
    <w:rsid w:val="1D80189D"/>
    <w:rsid w:val="1F034726"/>
    <w:rsid w:val="1F3F6826"/>
    <w:rsid w:val="1F6BEF29"/>
    <w:rsid w:val="1FC1B236"/>
    <w:rsid w:val="205301F7"/>
    <w:rsid w:val="20542B80"/>
    <w:rsid w:val="2056AB70"/>
    <w:rsid w:val="20B62DD9"/>
    <w:rsid w:val="2260F9A5"/>
    <w:rsid w:val="25AF483A"/>
    <w:rsid w:val="25C636A2"/>
    <w:rsid w:val="264F5248"/>
    <w:rsid w:val="26BCB26E"/>
    <w:rsid w:val="28282820"/>
    <w:rsid w:val="28D816CF"/>
    <w:rsid w:val="29D8B3E7"/>
    <w:rsid w:val="2A85A982"/>
    <w:rsid w:val="2D3EF4D9"/>
    <w:rsid w:val="2E3B28E4"/>
    <w:rsid w:val="3001DDCB"/>
    <w:rsid w:val="30ABF4AC"/>
    <w:rsid w:val="362B2548"/>
    <w:rsid w:val="37EEAFDE"/>
    <w:rsid w:val="38737E55"/>
    <w:rsid w:val="396C9D99"/>
    <w:rsid w:val="39D07766"/>
    <w:rsid w:val="3A0827E6"/>
    <w:rsid w:val="3C313698"/>
    <w:rsid w:val="3C33364A"/>
    <w:rsid w:val="3D2468C9"/>
    <w:rsid w:val="3FCC16F7"/>
    <w:rsid w:val="3FE876A0"/>
    <w:rsid w:val="414C4051"/>
    <w:rsid w:val="424DE218"/>
    <w:rsid w:val="43E505DD"/>
    <w:rsid w:val="44447832"/>
    <w:rsid w:val="449B3642"/>
    <w:rsid w:val="455BDCC1"/>
    <w:rsid w:val="46B47BB4"/>
    <w:rsid w:val="487B71C6"/>
    <w:rsid w:val="494430CE"/>
    <w:rsid w:val="4A7FC4B9"/>
    <w:rsid w:val="4AC3B5A4"/>
    <w:rsid w:val="4BD9B8CF"/>
    <w:rsid w:val="50350C47"/>
    <w:rsid w:val="549EC40F"/>
    <w:rsid w:val="562747A3"/>
    <w:rsid w:val="56997242"/>
    <w:rsid w:val="58273A23"/>
    <w:rsid w:val="583D0854"/>
    <w:rsid w:val="59C7A204"/>
    <w:rsid w:val="5A994E5A"/>
    <w:rsid w:val="5AC03464"/>
    <w:rsid w:val="5B8CC86B"/>
    <w:rsid w:val="5B9BA224"/>
    <w:rsid w:val="5BB82D64"/>
    <w:rsid w:val="5D16FAB4"/>
    <w:rsid w:val="5D976F5A"/>
    <w:rsid w:val="5E00306C"/>
    <w:rsid w:val="5E1212BF"/>
    <w:rsid w:val="5F28B57B"/>
    <w:rsid w:val="601464C8"/>
    <w:rsid w:val="60B5D5FF"/>
    <w:rsid w:val="60D9500E"/>
    <w:rsid w:val="6148421E"/>
    <w:rsid w:val="633AC037"/>
    <w:rsid w:val="64E0C98F"/>
    <w:rsid w:val="66C9F8A0"/>
    <w:rsid w:val="671A436A"/>
    <w:rsid w:val="6782D129"/>
    <w:rsid w:val="67833319"/>
    <w:rsid w:val="688B4CC8"/>
    <w:rsid w:val="69B625A1"/>
    <w:rsid w:val="6A3965B7"/>
    <w:rsid w:val="6DC36E3B"/>
    <w:rsid w:val="6E119031"/>
    <w:rsid w:val="6E967680"/>
    <w:rsid w:val="6ECACA9D"/>
    <w:rsid w:val="70332F04"/>
    <w:rsid w:val="73B56ADB"/>
    <w:rsid w:val="756FB3C8"/>
    <w:rsid w:val="75C93AE4"/>
    <w:rsid w:val="7B347AEF"/>
    <w:rsid w:val="7DABBC85"/>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CD141"/>
  <w15:docId w15:val="{3296D95A-CC32-49AF-8956-B328CFF98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C74"/>
    <w:pPr>
      <w:widowControl w:val="0"/>
      <w:jc w:val="both"/>
    </w:pPr>
    <w:rPr>
      <w:rFonts w:ascii="Cambria" w:eastAsia="Cambria" w:hAnsi="Cambria" w:cs="Cambria"/>
      <w:w w:val="105"/>
      <w:lang w:val="en-GB"/>
    </w:rPr>
  </w:style>
  <w:style w:type="paragraph" w:styleId="Heading1">
    <w:name w:val="heading 1"/>
    <w:basedOn w:val="Normal"/>
    <w:uiPriority w:val="9"/>
    <w:qFormat/>
    <w:rsid w:val="00616FFA"/>
    <w:pPr>
      <w:spacing w:after="80"/>
      <w:outlineLvl w:val="0"/>
    </w:pPr>
    <w:rPr>
      <w:rFonts w:ascii="Arial" w:eastAsia="Arial" w:hAnsi="Arial" w:cs="Arial"/>
      <w:b/>
      <w:bCs/>
      <w:color w:val="004494"/>
      <w:sz w:val="28"/>
      <w:szCs w:val="28"/>
    </w:rPr>
  </w:style>
  <w:style w:type="paragraph" w:styleId="Heading2">
    <w:name w:val="heading 2"/>
    <w:basedOn w:val="Normal"/>
    <w:uiPriority w:val="9"/>
    <w:unhideWhenUsed/>
    <w:qFormat/>
    <w:rsid w:val="0012622F"/>
    <w:pPr>
      <w:ind w:left="100"/>
      <w:outlineLvl w:val="1"/>
    </w:pPr>
    <w:rPr>
      <w:rFonts w:ascii="Arial" w:eastAsia="Arial" w:hAnsi="Arial" w:cs="Arial"/>
      <w:b/>
      <w:sz w:val="18"/>
      <w:szCs w:val="21"/>
    </w:rPr>
  </w:style>
  <w:style w:type="paragraph" w:styleId="Heading3">
    <w:name w:val="heading 3"/>
    <w:basedOn w:val="Normal"/>
    <w:next w:val="Normal"/>
    <w:link w:val="Heading3Char"/>
    <w:uiPriority w:val="9"/>
    <w:unhideWhenUsed/>
    <w:qFormat/>
    <w:rsid w:val="00B81C5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uiPriority w:val="1"/>
    <w:qFormat/>
    <w:rsid w:val="008D5E2B"/>
    <w:rPr>
      <w:rFonts w:ascii="Cambria" w:eastAsia="Cambria" w:hAnsi="Cambria" w:cs="Cambria"/>
      <w:sz w:val="19"/>
      <w:szCs w:val="19"/>
    </w:rPr>
  </w:style>
  <w:style w:type="character" w:styleId="Hyperlink">
    <w:name w:val="Hyperlink"/>
    <w:basedOn w:val="DefaultParagraphFont"/>
    <w:uiPriority w:val="99"/>
    <w:unhideWhenUsed/>
    <w:rsid w:val="00C801F8"/>
    <w:rPr>
      <w:color w:val="0000FF" w:themeColor="hyperlink"/>
      <w:u w:val="single"/>
    </w:rPr>
  </w:style>
  <w:style w:type="character" w:customStyle="1" w:styleId="HeaderChar">
    <w:name w:val="Header Char"/>
    <w:basedOn w:val="DefaultParagraphFont"/>
    <w:link w:val="Header"/>
    <w:uiPriority w:val="99"/>
    <w:qFormat/>
    <w:rsid w:val="00D13F09"/>
    <w:rPr>
      <w:rFonts w:ascii="Cambria" w:eastAsia="Cambria" w:hAnsi="Cambria" w:cs="Cambria"/>
    </w:rPr>
  </w:style>
  <w:style w:type="character" w:customStyle="1" w:styleId="FooterChar">
    <w:name w:val="Footer Char"/>
    <w:basedOn w:val="DefaultParagraphFont"/>
    <w:link w:val="Footer"/>
    <w:uiPriority w:val="99"/>
    <w:qFormat/>
    <w:rsid w:val="00D13F09"/>
    <w:rPr>
      <w:rFonts w:ascii="Cambria" w:eastAsia="Cambria" w:hAnsi="Cambria" w:cs="Cambria"/>
    </w:rPr>
  </w:style>
  <w:style w:type="character" w:styleId="UnresolvedMention">
    <w:name w:val="Unresolved Mention"/>
    <w:basedOn w:val="DefaultParagraphFont"/>
    <w:uiPriority w:val="99"/>
    <w:semiHidden/>
    <w:unhideWhenUsed/>
    <w:qFormat/>
    <w:rsid w:val="008B7B6C"/>
    <w:rPr>
      <w:color w:val="605E5C"/>
      <w:shd w:val="clear" w:color="auto" w:fill="E1DFDD"/>
    </w:rPr>
  </w:style>
  <w:style w:type="character" w:styleId="FollowedHyperlink">
    <w:name w:val="FollowedHyperlink"/>
    <w:basedOn w:val="DefaultParagraphFont"/>
    <w:uiPriority w:val="99"/>
    <w:semiHidden/>
    <w:unhideWhenUsed/>
    <w:rsid w:val="00952539"/>
    <w:rPr>
      <w:color w:val="800080" w:themeColor="followedHyperlink"/>
      <w:u w:val="single"/>
    </w:rPr>
  </w:style>
  <w:style w:type="character" w:customStyle="1" w:styleId="FootnoteTextChar">
    <w:name w:val="Footnote Text Char"/>
    <w:basedOn w:val="DefaultParagraphFont"/>
    <w:link w:val="FootnoteText"/>
    <w:uiPriority w:val="99"/>
    <w:semiHidden/>
    <w:qFormat/>
    <w:rsid w:val="000162D5"/>
    <w:rPr>
      <w:rFonts w:ascii="Cambria" w:eastAsia="Cambria" w:hAnsi="Cambria" w:cs="Cambria"/>
      <w:sz w:val="20"/>
      <w:szCs w:val="20"/>
    </w:rPr>
  </w:style>
  <w:style w:type="character" w:customStyle="1" w:styleId="FootnoteCharacters">
    <w:name w:val="Footnote Characters"/>
    <w:basedOn w:val="DefaultParagraphFont"/>
    <w:uiPriority w:val="99"/>
    <w:semiHidden/>
    <w:unhideWhenUsed/>
    <w:qFormat/>
    <w:rsid w:val="000162D5"/>
    <w:rPr>
      <w:vertAlign w:val="superscript"/>
    </w:rPr>
  </w:style>
  <w:style w:type="character" w:customStyle="1" w:styleId="FootnoteAnchor">
    <w:name w:val="Footnote Anchor"/>
    <w:rPr>
      <w:vertAlign w:val="superscript"/>
    </w:rPr>
  </w:style>
  <w:style w:type="character" w:customStyle="1" w:styleId="EndnoteTextChar">
    <w:name w:val="Endnote Text Char"/>
    <w:basedOn w:val="DefaultParagraphFont"/>
    <w:link w:val="EndnoteText"/>
    <w:uiPriority w:val="99"/>
    <w:semiHidden/>
    <w:qFormat/>
    <w:rsid w:val="000A163B"/>
    <w:rPr>
      <w:rFonts w:ascii="Cambria" w:eastAsia="Cambria" w:hAnsi="Cambria" w:cs="Cambria"/>
      <w:sz w:val="20"/>
      <w:szCs w:val="20"/>
    </w:rPr>
  </w:style>
  <w:style w:type="character" w:customStyle="1" w:styleId="EndnoteCharacters">
    <w:name w:val="Endnote Characters"/>
    <w:basedOn w:val="DefaultParagraphFont"/>
    <w:uiPriority w:val="99"/>
    <w:semiHidden/>
    <w:unhideWhenUsed/>
    <w:qFormat/>
    <w:rsid w:val="000A163B"/>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2D7F8C"/>
    <w:rPr>
      <w:color w:val="666666"/>
    </w:rPr>
  </w:style>
  <w:style w:type="character" w:customStyle="1" w:styleId="Heading3Char">
    <w:name w:val="Heading 3 Char"/>
    <w:basedOn w:val="DefaultParagraphFont"/>
    <w:link w:val="Heading3"/>
    <w:uiPriority w:val="9"/>
    <w:qFormat/>
    <w:rsid w:val="00B81C51"/>
    <w:rPr>
      <w:rFonts w:asciiTheme="majorHAnsi" w:eastAsiaTheme="majorEastAsia" w:hAnsiTheme="majorHAnsi" w:cstheme="majorBidi"/>
      <w:color w:val="243F60" w:themeColor="accent1" w:themeShade="7F"/>
      <w:w w:val="105"/>
      <w:sz w:val="24"/>
      <w:szCs w:val="24"/>
      <w:lang w:val="en-GB"/>
    </w:rPr>
  </w:style>
  <w:style w:type="character" w:styleId="CommentReference">
    <w:name w:val="annotation reference"/>
    <w:basedOn w:val="DefaultParagraphFont"/>
    <w:uiPriority w:val="99"/>
    <w:semiHidden/>
    <w:unhideWhenUsed/>
    <w:qFormat/>
    <w:rsid w:val="006C6A69"/>
    <w:rPr>
      <w:sz w:val="16"/>
      <w:szCs w:val="16"/>
    </w:rPr>
  </w:style>
  <w:style w:type="character" w:customStyle="1" w:styleId="CommentTextChar">
    <w:name w:val="Comment Text Char"/>
    <w:basedOn w:val="DefaultParagraphFont"/>
    <w:link w:val="CommentText"/>
    <w:uiPriority w:val="99"/>
    <w:qFormat/>
    <w:rsid w:val="006C6A69"/>
    <w:rPr>
      <w:rFonts w:ascii="Cambria" w:eastAsia="Cambria" w:hAnsi="Cambria" w:cs="Cambria"/>
      <w:w w:val="105"/>
      <w:sz w:val="20"/>
      <w:szCs w:val="20"/>
      <w:lang w:val="en-GB"/>
    </w:rPr>
  </w:style>
  <w:style w:type="character" w:customStyle="1" w:styleId="CommentSubjectChar">
    <w:name w:val="Comment Subject Char"/>
    <w:basedOn w:val="CommentTextChar"/>
    <w:link w:val="CommentSubject"/>
    <w:uiPriority w:val="99"/>
    <w:semiHidden/>
    <w:qFormat/>
    <w:rsid w:val="006C6A69"/>
    <w:rPr>
      <w:rFonts w:ascii="Cambria" w:eastAsia="Cambria" w:hAnsi="Cambria" w:cs="Cambria"/>
      <w:b/>
      <w:bCs/>
      <w:w w:val="105"/>
      <w:sz w:val="20"/>
      <w:szCs w:val="20"/>
      <w:lang w:val="en-GB"/>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pPr>
      <w:spacing w:before="14"/>
    </w:pPr>
    <w:rPr>
      <w:sz w:val="19"/>
      <w:szCs w:val="19"/>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106"/>
      <w:ind w:left="100"/>
    </w:pPr>
    <w:rPr>
      <w:rFonts w:ascii="Arial" w:eastAsia="Arial" w:hAnsi="Arial" w:cs="Arial"/>
      <w:b/>
      <w:bCs/>
      <w:sz w:val="35"/>
      <w:szCs w:val="35"/>
    </w:rPr>
  </w:style>
  <w:style w:type="paragraph" w:styleId="ListParagraph">
    <w:name w:val="List Paragraph"/>
    <w:basedOn w:val="Normal"/>
    <w:uiPriority w:val="1"/>
    <w:qFormat/>
    <w:pPr>
      <w:spacing w:before="96"/>
      <w:ind w:left="598" w:right="98" w:hanging="213"/>
    </w:pPr>
  </w:style>
  <w:style w:type="paragraph" w:customStyle="1" w:styleId="TableParagraph">
    <w:name w:val="Table Paragraph"/>
    <w:basedOn w:val="Normal"/>
    <w:uiPriority w:val="1"/>
    <w:qFormat/>
    <w:pPr>
      <w:spacing w:before="3"/>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13F09"/>
    <w:pPr>
      <w:tabs>
        <w:tab w:val="center" w:pos="4513"/>
        <w:tab w:val="right" w:pos="9026"/>
      </w:tabs>
    </w:pPr>
  </w:style>
  <w:style w:type="paragraph" w:styleId="Footer">
    <w:name w:val="footer"/>
    <w:basedOn w:val="Normal"/>
    <w:link w:val="FooterChar"/>
    <w:uiPriority w:val="99"/>
    <w:unhideWhenUsed/>
    <w:rsid w:val="00D13F09"/>
    <w:pPr>
      <w:tabs>
        <w:tab w:val="center" w:pos="4513"/>
        <w:tab w:val="right" w:pos="9026"/>
      </w:tabs>
    </w:pPr>
  </w:style>
  <w:style w:type="paragraph" w:styleId="FootnoteText">
    <w:name w:val="footnote text"/>
    <w:basedOn w:val="Normal"/>
    <w:link w:val="FootnoteTextChar"/>
    <w:uiPriority w:val="99"/>
    <w:semiHidden/>
    <w:unhideWhenUsed/>
    <w:rsid w:val="000162D5"/>
    <w:rPr>
      <w:sz w:val="20"/>
      <w:szCs w:val="20"/>
    </w:rPr>
  </w:style>
  <w:style w:type="paragraph" w:styleId="Bibliography">
    <w:name w:val="Bibliography"/>
    <w:basedOn w:val="Normal"/>
    <w:next w:val="Normal"/>
    <w:uiPriority w:val="37"/>
    <w:unhideWhenUsed/>
    <w:qFormat/>
    <w:rsid w:val="00E85845"/>
    <w:pPr>
      <w:tabs>
        <w:tab w:val="left" w:pos="384"/>
      </w:tabs>
      <w:spacing w:after="240"/>
      <w:ind w:left="384" w:hanging="384"/>
    </w:pPr>
  </w:style>
  <w:style w:type="paragraph" w:styleId="EndnoteText">
    <w:name w:val="endnote text"/>
    <w:basedOn w:val="Normal"/>
    <w:link w:val="EndnoteTextChar"/>
    <w:uiPriority w:val="99"/>
    <w:semiHidden/>
    <w:unhideWhenUsed/>
    <w:rsid w:val="000A163B"/>
    <w:rPr>
      <w:sz w:val="20"/>
      <w:szCs w:val="20"/>
    </w:rPr>
  </w:style>
  <w:style w:type="paragraph" w:styleId="CommentText">
    <w:name w:val="annotation text"/>
    <w:basedOn w:val="Normal"/>
    <w:link w:val="CommentTextChar"/>
    <w:uiPriority w:val="99"/>
    <w:unhideWhenUsed/>
    <w:qFormat/>
    <w:rsid w:val="006C6A69"/>
    <w:rPr>
      <w:sz w:val="20"/>
      <w:szCs w:val="20"/>
    </w:rPr>
  </w:style>
  <w:style w:type="paragraph" w:styleId="CommentSubject">
    <w:name w:val="annotation subject"/>
    <w:basedOn w:val="CommentText"/>
    <w:next w:val="CommentText"/>
    <w:link w:val="CommentSubjectChar"/>
    <w:uiPriority w:val="99"/>
    <w:semiHidden/>
    <w:unhideWhenUsed/>
    <w:qFormat/>
    <w:rsid w:val="006C6A69"/>
    <w:rPr>
      <w:b/>
      <w:bCs/>
    </w:rPr>
  </w:style>
  <w:style w:type="paragraph" w:styleId="NormalWeb">
    <w:name w:val="Normal (Web)"/>
    <w:basedOn w:val="Normal"/>
    <w:uiPriority w:val="99"/>
    <w:semiHidden/>
    <w:unhideWhenUsed/>
    <w:qFormat/>
    <w:rsid w:val="00FD5774"/>
    <w:rPr>
      <w:rFonts w:ascii="Times New Roman" w:hAnsi="Times New Roman" w:cs="Times New Roman"/>
      <w:sz w:val="24"/>
      <w:szCs w:val="24"/>
    </w:rPr>
  </w:style>
  <w:style w:type="paragraph" w:customStyle="1" w:styleId="FrameContents">
    <w:name w:val="Frame Contents"/>
    <w:basedOn w:val="Normal"/>
    <w:qFormat/>
  </w:style>
  <w:style w:type="table" w:styleId="PlainTable1">
    <w:name w:val="Plain Table 1"/>
    <w:basedOn w:val="TableNormal"/>
    <w:uiPriority w:val="41"/>
    <w:rsid w:val="008B7B6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9D11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41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193"/>
    <w:rPr>
      <w:rFonts w:ascii="Segoe UI" w:eastAsia="Cambria" w:hAnsi="Segoe UI" w:cs="Segoe UI"/>
      <w:w w:val="105"/>
      <w:sz w:val="18"/>
      <w:szCs w:val="18"/>
      <w:lang w:val="en-GB"/>
    </w:rPr>
  </w:style>
  <w:style w:type="paragraph" w:styleId="Revision">
    <w:name w:val="Revision"/>
    <w:hidden/>
    <w:uiPriority w:val="99"/>
    <w:semiHidden/>
    <w:rsid w:val="009749D2"/>
    <w:pPr>
      <w:suppressAutoHyphens w:val="0"/>
    </w:pPr>
    <w:rPr>
      <w:rFonts w:ascii="Cambria" w:eastAsia="Cambria" w:hAnsi="Cambria" w:cs="Cambria"/>
      <w:w w:val="105"/>
      <w:lang w:val="en-GB"/>
    </w:rPr>
  </w:style>
  <w:style w:type="paragraph" w:customStyle="1" w:styleId="footnote">
    <w:name w:val="footnote"/>
    <w:basedOn w:val="Normal"/>
    <w:rsid w:val="00F35254"/>
    <w:pPr>
      <w:widowControl/>
      <w:suppressAutoHyphens w:val="0"/>
      <w:spacing w:before="100" w:beforeAutospacing="1" w:after="100" w:afterAutospacing="1"/>
      <w:jc w:val="left"/>
    </w:pPr>
    <w:rPr>
      <w:rFonts w:ascii="Times New Roman" w:eastAsiaTheme="minorEastAsia" w:hAnsi="Times New Roman" w:cs="Times New Roman"/>
      <w:w w:val="100"/>
      <w:sz w:val="24"/>
      <w:szCs w:val="24"/>
      <w:lang w:eastAsia="en-GB"/>
    </w:rPr>
  </w:style>
  <w:style w:type="character" w:customStyle="1" w:styleId="metadata-group">
    <w:name w:val="metadata-group"/>
    <w:basedOn w:val="DefaultParagraphFont"/>
    <w:rsid w:val="00F35254"/>
  </w:style>
  <w:style w:type="character" w:customStyle="1" w:styleId="metadata-entry">
    <w:name w:val="metadata-entry"/>
    <w:basedOn w:val="DefaultParagraphFont"/>
    <w:rsid w:val="00F35254"/>
  </w:style>
  <w:style w:type="paragraph" w:customStyle="1" w:styleId="metadata-entry1">
    <w:name w:val="metadata-entry1"/>
    <w:basedOn w:val="Normal"/>
    <w:rsid w:val="00F35254"/>
    <w:pPr>
      <w:widowControl/>
      <w:suppressAutoHyphens w:val="0"/>
      <w:spacing w:before="100" w:beforeAutospacing="1" w:after="100" w:afterAutospacing="1"/>
      <w:jc w:val="left"/>
    </w:pPr>
    <w:rPr>
      <w:rFonts w:ascii="Times New Roman" w:eastAsiaTheme="minorEastAsia" w:hAnsi="Times New Roman" w:cs="Times New Roman"/>
      <w:w w:val="100"/>
      <w:sz w:val="24"/>
      <w:szCs w:val="24"/>
      <w:lang w:eastAsia="en-GB"/>
    </w:rPr>
  </w:style>
  <w:style w:type="character" w:customStyle="1" w:styleId="generated">
    <w:name w:val="generated"/>
    <w:basedOn w:val="DefaultParagraphFont"/>
    <w:rsid w:val="00F35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61629">
      <w:bodyDiv w:val="1"/>
      <w:marLeft w:val="0"/>
      <w:marRight w:val="0"/>
      <w:marTop w:val="0"/>
      <w:marBottom w:val="0"/>
      <w:divBdr>
        <w:top w:val="none" w:sz="0" w:space="0" w:color="auto"/>
        <w:left w:val="none" w:sz="0" w:space="0" w:color="auto"/>
        <w:bottom w:val="none" w:sz="0" w:space="0" w:color="auto"/>
        <w:right w:val="none" w:sz="0" w:space="0" w:color="auto"/>
      </w:divBdr>
    </w:div>
    <w:div w:id="57481354">
      <w:bodyDiv w:val="1"/>
      <w:marLeft w:val="0"/>
      <w:marRight w:val="0"/>
      <w:marTop w:val="0"/>
      <w:marBottom w:val="0"/>
      <w:divBdr>
        <w:top w:val="none" w:sz="0" w:space="0" w:color="auto"/>
        <w:left w:val="none" w:sz="0" w:space="0" w:color="auto"/>
        <w:bottom w:val="none" w:sz="0" w:space="0" w:color="auto"/>
        <w:right w:val="none" w:sz="0" w:space="0" w:color="auto"/>
      </w:divBdr>
      <w:divsChild>
        <w:div w:id="2019653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74368">
      <w:bodyDiv w:val="1"/>
      <w:marLeft w:val="0"/>
      <w:marRight w:val="0"/>
      <w:marTop w:val="0"/>
      <w:marBottom w:val="0"/>
      <w:divBdr>
        <w:top w:val="none" w:sz="0" w:space="0" w:color="auto"/>
        <w:left w:val="none" w:sz="0" w:space="0" w:color="auto"/>
        <w:bottom w:val="none" w:sz="0" w:space="0" w:color="auto"/>
        <w:right w:val="none" w:sz="0" w:space="0" w:color="auto"/>
      </w:divBdr>
    </w:div>
    <w:div w:id="85656914">
      <w:bodyDiv w:val="1"/>
      <w:marLeft w:val="0"/>
      <w:marRight w:val="0"/>
      <w:marTop w:val="0"/>
      <w:marBottom w:val="0"/>
      <w:divBdr>
        <w:top w:val="none" w:sz="0" w:space="0" w:color="auto"/>
        <w:left w:val="none" w:sz="0" w:space="0" w:color="auto"/>
        <w:bottom w:val="none" w:sz="0" w:space="0" w:color="auto"/>
        <w:right w:val="none" w:sz="0" w:space="0" w:color="auto"/>
      </w:divBdr>
    </w:div>
    <w:div w:id="89350589">
      <w:bodyDiv w:val="1"/>
      <w:marLeft w:val="0"/>
      <w:marRight w:val="0"/>
      <w:marTop w:val="0"/>
      <w:marBottom w:val="0"/>
      <w:divBdr>
        <w:top w:val="none" w:sz="0" w:space="0" w:color="auto"/>
        <w:left w:val="none" w:sz="0" w:space="0" w:color="auto"/>
        <w:bottom w:val="none" w:sz="0" w:space="0" w:color="auto"/>
        <w:right w:val="none" w:sz="0" w:space="0" w:color="auto"/>
      </w:divBdr>
    </w:div>
    <w:div w:id="122963063">
      <w:bodyDiv w:val="1"/>
      <w:marLeft w:val="0"/>
      <w:marRight w:val="0"/>
      <w:marTop w:val="0"/>
      <w:marBottom w:val="0"/>
      <w:divBdr>
        <w:top w:val="none" w:sz="0" w:space="0" w:color="auto"/>
        <w:left w:val="none" w:sz="0" w:space="0" w:color="auto"/>
        <w:bottom w:val="none" w:sz="0" w:space="0" w:color="auto"/>
        <w:right w:val="none" w:sz="0" w:space="0" w:color="auto"/>
      </w:divBdr>
    </w:div>
    <w:div w:id="197815018">
      <w:bodyDiv w:val="1"/>
      <w:marLeft w:val="0"/>
      <w:marRight w:val="0"/>
      <w:marTop w:val="0"/>
      <w:marBottom w:val="0"/>
      <w:divBdr>
        <w:top w:val="none" w:sz="0" w:space="0" w:color="auto"/>
        <w:left w:val="none" w:sz="0" w:space="0" w:color="auto"/>
        <w:bottom w:val="none" w:sz="0" w:space="0" w:color="auto"/>
        <w:right w:val="none" w:sz="0" w:space="0" w:color="auto"/>
      </w:divBdr>
      <w:divsChild>
        <w:div w:id="704252115">
          <w:marLeft w:val="0"/>
          <w:marRight w:val="0"/>
          <w:marTop w:val="0"/>
          <w:marBottom w:val="0"/>
          <w:divBdr>
            <w:top w:val="none" w:sz="0" w:space="0" w:color="auto"/>
            <w:left w:val="none" w:sz="0" w:space="0" w:color="auto"/>
            <w:bottom w:val="none" w:sz="0" w:space="0" w:color="auto"/>
            <w:right w:val="none" w:sz="0" w:space="0" w:color="auto"/>
          </w:divBdr>
          <w:divsChild>
            <w:div w:id="503666932">
              <w:marLeft w:val="0"/>
              <w:marRight w:val="0"/>
              <w:marTop w:val="0"/>
              <w:marBottom w:val="0"/>
              <w:divBdr>
                <w:top w:val="none" w:sz="0" w:space="0" w:color="auto"/>
                <w:left w:val="none" w:sz="0" w:space="0" w:color="auto"/>
                <w:bottom w:val="none" w:sz="0" w:space="0" w:color="auto"/>
                <w:right w:val="none" w:sz="0" w:space="0" w:color="auto"/>
              </w:divBdr>
              <w:divsChild>
                <w:div w:id="99886150">
                  <w:marLeft w:val="0"/>
                  <w:marRight w:val="0"/>
                  <w:marTop w:val="0"/>
                  <w:marBottom w:val="0"/>
                  <w:divBdr>
                    <w:top w:val="none" w:sz="0" w:space="0" w:color="auto"/>
                    <w:left w:val="none" w:sz="0" w:space="0" w:color="auto"/>
                    <w:bottom w:val="none" w:sz="0" w:space="0" w:color="auto"/>
                    <w:right w:val="none" w:sz="0" w:space="0" w:color="auto"/>
                  </w:divBdr>
                  <w:divsChild>
                    <w:div w:id="7963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76335">
      <w:bodyDiv w:val="1"/>
      <w:marLeft w:val="0"/>
      <w:marRight w:val="0"/>
      <w:marTop w:val="0"/>
      <w:marBottom w:val="0"/>
      <w:divBdr>
        <w:top w:val="none" w:sz="0" w:space="0" w:color="auto"/>
        <w:left w:val="none" w:sz="0" w:space="0" w:color="auto"/>
        <w:bottom w:val="none" w:sz="0" w:space="0" w:color="auto"/>
        <w:right w:val="none" w:sz="0" w:space="0" w:color="auto"/>
      </w:divBdr>
      <w:divsChild>
        <w:div w:id="1856263625">
          <w:marLeft w:val="0"/>
          <w:marRight w:val="0"/>
          <w:marTop w:val="0"/>
          <w:marBottom w:val="0"/>
          <w:divBdr>
            <w:top w:val="none" w:sz="0" w:space="0" w:color="auto"/>
            <w:left w:val="none" w:sz="0" w:space="0" w:color="auto"/>
            <w:bottom w:val="none" w:sz="0" w:space="0" w:color="auto"/>
            <w:right w:val="none" w:sz="0" w:space="0" w:color="auto"/>
          </w:divBdr>
          <w:divsChild>
            <w:div w:id="710108043">
              <w:marLeft w:val="0"/>
              <w:marRight w:val="0"/>
              <w:marTop w:val="0"/>
              <w:marBottom w:val="0"/>
              <w:divBdr>
                <w:top w:val="none" w:sz="0" w:space="0" w:color="auto"/>
                <w:left w:val="none" w:sz="0" w:space="0" w:color="auto"/>
                <w:bottom w:val="none" w:sz="0" w:space="0" w:color="auto"/>
                <w:right w:val="none" w:sz="0" w:space="0" w:color="auto"/>
              </w:divBdr>
              <w:divsChild>
                <w:div w:id="1212309982">
                  <w:marLeft w:val="0"/>
                  <w:marRight w:val="0"/>
                  <w:marTop w:val="0"/>
                  <w:marBottom w:val="0"/>
                  <w:divBdr>
                    <w:top w:val="none" w:sz="0" w:space="0" w:color="auto"/>
                    <w:left w:val="none" w:sz="0" w:space="0" w:color="auto"/>
                    <w:bottom w:val="none" w:sz="0" w:space="0" w:color="auto"/>
                    <w:right w:val="none" w:sz="0" w:space="0" w:color="auto"/>
                  </w:divBdr>
                  <w:divsChild>
                    <w:div w:id="15722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88770">
      <w:bodyDiv w:val="1"/>
      <w:marLeft w:val="0"/>
      <w:marRight w:val="0"/>
      <w:marTop w:val="0"/>
      <w:marBottom w:val="0"/>
      <w:divBdr>
        <w:top w:val="none" w:sz="0" w:space="0" w:color="auto"/>
        <w:left w:val="none" w:sz="0" w:space="0" w:color="auto"/>
        <w:bottom w:val="none" w:sz="0" w:space="0" w:color="auto"/>
        <w:right w:val="none" w:sz="0" w:space="0" w:color="auto"/>
      </w:divBdr>
    </w:div>
    <w:div w:id="460878592">
      <w:bodyDiv w:val="1"/>
      <w:marLeft w:val="0"/>
      <w:marRight w:val="0"/>
      <w:marTop w:val="0"/>
      <w:marBottom w:val="0"/>
      <w:divBdr>
        <w:top w:val="none" w:sz="0" w:space="0" w:color="auto"/>
        <w:left w:val="none" w:sz="0" w:space="0" w:color="auto"/>
        <w:bottom w:val="none" w:sz="0" w:space="0" w:color="auto"/>
        <w:right w:val="none" w:sz="0" w:space="0" w:color="auto"/>
      </w:divBdr>
    </w:div>
    <w:div w:id="477844700">
      <w:bodyDiv w:val="1"/>
      <w:marLeft w:val="0"/>
      <w:marRight w:val="0"/>
      <w:marTop w:val="0"/>
      <w:marBottom w:val="0"/>
      <w:divBdr>
        <w:top w:val="none" w:sz="0" w:space="0" w:color="auto"/>
        <w:left w:val="none" w:sz="0" w:space="0" w:color="auto"/>
        <w:bottom w:val="none" w:sz="0" w:space="0" w:color="auto"/>
        <w:right w:val="none" w:sz="0" w:space="0" w:color="auto"/>
      </w:divBdr>
    </w:div>
    <w:div w:id="485586249">
      <w:bodyDiv w:val="1"/>
      <w:marLeft w:val="0"/>
      <w:marRight w:val="0"/>
      <w:marTop w:val="0"/>
      <w:marBottom w:val="0"/>
      <w:divBdr>
        <w:top w:val="none" w:sz="0" w:space="0" w:color="auto"/>
        <w:left w:val="none" w:sz="0" w:space="0" w:color="auto"/>
        <w:bottom w:val="none" w:sz="0" w:space="0" w:color="auto"/>
        <w:right w:val="none" w:sz="0" w:space="0" w:color="auto"/>
      </w:divBdr>
    </w:div>
    <w:div w:id="487523700">
      <w:bodyDiv w:val="1"/>
      <w:marLeft w:val="0"/>
      <w:marRight w:val="0"/>
      <w:marTop w:val="0"/>
      <w:marBottom w:val="0"/>
      <w:divBdr>
        <w:top w:val="none" w:sz="0" w:space="0" w:color="auto"/>
        <w:left w:val="none" w:sz="0" w:space="0" w:color="auto"/>
        <w:bottom w:val="none" w:sz="0" w:space="0" w:color="auto"/>
        <w:right w:val="none" w:sz="0" w:space="0" w:color="auto"/>
      </w:divBdr>
    </w:div>
    <w:div w:id="500044794">
      <w:bodyDiv w:val="1"/>
      <w:marLeft w:val="0"/>
      <w:marRight w:val="0"/>
      <w:marTop w:val="0"/>
      <w:marBottom w:val="0"/>
      <w:divBdr>
        <w:top w:val="none" w:sz="0" w:space="0" w:color="auto"/>
        <w:left w:val="none" w:sz="0" w:space="0" w:color="auto"/>
        <w:bottom w:val="none" w:sz="0" w:space="0" w:color="auto"/>
        <w:right w:val="none" w:sz="0" w:space="0" w:color="auto"/>
      </w:divBdr>
    </w:div>
    <w:div w:id="504439973">
      <w:bodyDiv w:val="1"/>
      <w:marLeft w:val="0"/>
      <w:marRight w:val="0"/>
      <w:marTop w:val="0"/>
      <w:marBottom w:val="0"/>
      <w:divBdr>
        <w:top w:val="none" w:sz="0" w:space="0" w:color="auto"/>
        <w:left w:val="none" w:sz="0" w:space="0" w:color="auto"/>
        <w:bottom w:val="none" w:sz="0" w:space="0" w:color="auto"/>
        <w:right w:val="none" w:sz="0" w:space="0" w:color="auto"/>
      </w:divBdr>
    </w:div>
    <w:div w:id="506943291">
      <w:bodyDiv w:val="1"/>
      <w:marLeft w:val="0"/>
      <w:marRight w:val="0"/>
      <w:marTop w:val="0"/>
      <w:marBottom w:val="0"/>
      <w:divBdr>
        <w:top w:val="none" w:sz="0" w:space="0" w:color="auto"/>
        <w:left w:val="none" w:sz="0" w:space="0" w:color="auto"/>
        <w:bottom w:val="none" w:sz="0" w:space="0" w:color="auto"/>
        <w:right w:val="none" w:sz="0" w:space="0" w:color="auto"/>
      </w:divBdr>
    </w:div>
    <w:div w:id="508562504">
      <w:bodyDiv w:val="1"/>
      <w:marLeft w:val="0"/>
      <w:marRight w:val="0"/>
      <w:marTop w:val="0"/>
      <w:marBottom w:val="0"/>
      <w:divBdr>
        <w:top w:val="none" w:sz="0" w:space="0" w:color="auto"/>
        <w:left w:val="none" w:sz="0" w:space="0" w:color="auto"/>
        <w:bottom w:val="none" w:sz="0" w:space="0" w:color="auto"/>
        <w:right w:val="none" w:sz="0" w:space="0" w:color="auto"/>
      </w:divBdr>
    </w:div>
    <w:div w:id="517813186">
      <w:bodyDiv w:val="1"/>
      <w:marLeft w:val="0"/>
      <w:marRight w:val="0"/>
      <w:marTop w:val="0"/>
      <w:marBottom w:val="0"/>
      <w:divBdr>
        <w:top w:val="none" w:sz="0" w:space="0" w:color="auto"/>
        <w:left w:val="none" w:sz="0" w:space="0" w:color="auto"/>
        <w:bottom w:val="none" w:sz="0" w:space="0" w:color="auto"/>
        <w:right w:val="none" w:sz="0" w:space="0" w:color="auto"/>
      </w:divBdr>
    </w:div>
    <w:div w:id="524907093">
      <w:bodyDiv w:val="1"/>
      <w:marLeft w:val="0"/>
      <w:marRight w:val="0"/>
      <w:marTop w:val="0"/>
      <w:marBottom w:val="0"/>
      <w:divBdr>
        <w:top w:val="none" w:sz="0" w:space="0" w:color="auto"/>
        <w:left w:val="none" w:sz="0" w:space="0" w:color="auto"/>
        <w:bottom w:val="none" w:sz="0" w:space="0" w:color="auto"/>
        <w:right w:val="none" w:sz="0" w:space="0" w:color="auto"/>
      </w:divBdr>
    </w:div>
    <w:div w:id="538471868">
      <w:bodyDiv w:val="1"/>
      <w:marLeft w:val="0"/>
      <w:marRight w:val="0"/>
      <w:marTop w:val="0"/>
      <w:marBottom w:val="0"/>
      <w:divBdr>
        <w:top w:val="none" w:sz="0" w:space="0" w:color="auto"/>
        <w:left w:val="none" w:sz="0" w:space="0" w:color="auto"/>
        <w:bottom w:val="none" w:sz="0" w:space="0" w:color="auto"/>
        <w:right w:val="none" w:sz="0" w:space="0" w:color="auto"/>
      </w:divBdr>
    </w:div>
    <w:div w:id="539821512">
      <w:bodyDiv w:val="1"/>
      <w:marLeft w:val="0"/>
      <w:marRight w:val="0"/>
      <w:marTop w:val="0"/>
      <w:marBottom w:val="0"/>
      <w:divBdr>
        <w:top w:val="none" w:sz="0" w:space="0" w:color="auto"/>
        <w:left w:val="none" w:sz="0" w:space="0" w:color="auto"/>
        <w:bottom w:val="none" w:sz="0" w:space="0" w:color="auto"/>
        <w:right w:val="none" w:sz="0" w:space="0" w:color="auto"/>
      </w:divBdr>
    </w:div>
    <w:div w:id="545139916">
      <w:bodyDiv w:val="1"/>
      <w:marLeft w:val="0"/>
      <w:marRight w:val="0"/>
      <w:marTop w:val="0"/>
      <w:marBottom w:val="0"/>
      <w:divBdr>
        <w:top w:val="none" w:sz="0" w:space="0" w:color="auto"/>
        <w:left w:val="none" w:sz="0" w:space="0" w:color="auto"/>
        <w:bottom w:val="none" w:sz="0" w:space="0" w:color="auto"/>
        <w:right w:val="none" w:sz="0" w:space="0" w:color="auto"/>
      </w:divBdr>
    </w:div>
    <w:div w:id="564493251">
      <w:bodyDiv w:val="1"/>
      <w:marLeft w:val="0"/>
      <w:marRight w:val="0"/>
      <w:marTop w:val="0"/>
      <w:marBottom w:val="0"/>
      <w:divBdr>
        <w:top w:val="none" w:sz="0" w:space="0" w:color="auto"/>
        <w:left w:val="none" w:sz="0" w:space="0" w:color="auto"/>
        <w:bottom w:val="none" w:sz="0" w:space="0" w:color="auto"/>
        <w:right w:val="none" w:sz="0" w:space="0" w:color="auto"/>
      </w:divBdr>
    </w:div>
    <w:div w:id="583029060">
      <w:bodyDiv w:val="1"/>
      <w:marLeft w:val="0"/>
      <w:marRight w:val="0"/>
      <w:marTop w:val="0"/>
      <w:marBottom w:val="0"/>
      <w:divBdr>
        <w:top w:val="none" w:sz="0" w:space="0" w:color="auto"/>
        <w:left w:val="none" w:sz="0" w:space="0" w:color="auto"/>
        <w:bottom w:val="none" w:sz="0" w:space="0" w:color="auto"/>
        <w:right w:val="none" w:sz="0" w:space="0" w:color="auto"/>
      </w:divBdr>
    </w:div>
    <w:div w:id="622006489">
      <w:bodyDiv w:val="1"/>
      <w:marLeft w:val="0"/>
      <w:marRight w:val="0"/>
      <w:marTop w:val="0"/>
      <w:marBottom w:val="0"/>
      <w:divBdr>
        <w:top w:val="none" w:sz="0" w:space="0" w:color="auto"/>
        <w:left w:val="none" w:sz="0" w:space="0" w:color="auto"/>
        <w:bottom w:val="none" w:sz="0" w:space="0" w:color="auto"/>
        <w:right w:val="none" w:sz="0" w:space="0" w:color="auto"/>
      </w:divBdr>
    </w:div>
    <w:div w:id="673144307">
      <w:bodyDiv w:val="1"/>
      <w:marLeft w:val="0"/>
      <w:marRight w:val="0"/>
      <w:marTop w:val="0"/>
      <w:marBottom w:val="0"/>
      <w:divBdr>
        <w:top w:val="none" w:sz="0" w:space="0" w:color="auto"/>
        <w:left w:val="none" w:sz="0" w:space="0" w:color="auto"/>
        <w:bottom w:val="none" w:sz="0" w:space="0" w:color="auto"/>
        <w:right w:val="none" w:sz="0" w:space="0" w:color="auto"/>
      </w:divBdr>
    </w:div>
    <w:div w:id="707217580">
      <w:bodyDiv w:val="1"/>
      <w:marLeft w:val="0"/>
      <w:marRight w:val="0"/>
      <w:marTop w:val="0"/>
      <w:marBottom w:val="0"/>
      <w:divBdr>
        <w:top w:val="none" w:sz="0" w:space="0" w:color="auto"/>
        <w:left w:val="none" w:sz="0" w:space="0" w:color="auto"/>
        <w:bottom w:val="none" w:sz="0" w:space="0" w:color="auto"/>
        <w:right w:val="none" w:sz="0" w:space="0" w:color="auto"/>
      </w:divBdr>
    </w:div>
    <w:div w:id="734857952">
      <w:bodyDiv w:val="1"/>
      <w:marLeft w:val="0"/>
      <w:marRight w:val="0"/>
      <w:marTop w:val="0"/>
      <w:marBottom w:val="0"/>
      <w:divBdr>
        <w:top w:val="none" w:sz="0" w:space="0" w:color="auto"/>
        <w:left w:val="none" w:sz="0" w:space="0" w:color="auto"/>
        <w:bottom w:val="none" w:sz="0" w:space="0" w:color="auto"/>
        <w:right w:val="none" w:sz="0" w:space="0" w:color="auto"/>
      </w:divBdr>
    </w:div>
    <w:div w:id="739644676">
      <w:bodyDiv w:val="1"/>
      <w:marLeft w:val="0"/>
      <w:marRight w:val="0"/>
      <w:marTop w:val="0"/>
      <w:marBottom w:val="0"/>
      <w:divBdr>
        <w:top w:val="none" w:sz="0" w:space="0" w:color="auto"/>
        <w:left w:val="none" w:sz="0" w:space="0" w:color="auto"/>
        <w:bottom w:val="none" w:sz="0" w:space="0" w:color="auto"/>
        <w:right w:val="none" w:sz="0" w:space="0" w:color="auto"/>
      </w:divBdr>
    </w:div>
    <w:div w:id="747727039">
      <w:bodyDiv w:val="1"/>
      <w:marLeft w:val="0"/>
      <w:marRight w:val="0"/>
      <w:marTop w:val="0"/>
      <w:marBottom w:val="0"/>
      <w:divBdr>
        <w:top w:val="none" w:sz="0" w:space="0" w:color="auto"/>
        <w:left w:val="none" w:sz="0" w:space="0" w:color="auto"/>
        <w:bottom w:val="none" w:sz="0" w:space="0" w:color="auto"/>
        <w:right w:val="none" w:sz="0" w:space="0" w:color="auto"/>
      </w:divBdr>
    </w:div>
    <w:div w:id="803160862">
      <w:bodyDiv w:val="1"/>
      <w:marLeft w:val="0"/>
      <w:marRight w:val="0"/>
      <w:marTop w:val="0"/>
      <w:marBottom w:val="0"/>
      <w:divBdr>
        <w:top w:val="none" w:sz="0" w:space="0" w:color="auto"/>
        <w:left w:val="none" w:sz="0" w:space="0" w:color="auto"/>
        <w:bottom w:val="none" w:sz="0" w:space="0" w:color="auto"/>
        <w:right w:val="none" w:sz="0" w:space="0" w:color="auto"/>
      </w:divBdr>
    </w:div>
    <w:div w:id="828324951">
      <w:bodyDiv w:val="1"/>
      <w:marLeft w:val="0"/>
      <w:marRight w:val="0"/>
      <w:marTop w:val="0"/>
      <w:marBottom w:val="0"/>
      <w:divBdr>
        <w:top w:val="none" w:sz="0" w:space="0" w:color="auto"/>
        <w:left w:val="none" w:sz="0" w:space="0" w:color="auto"/>
        <w:bottom w:val="none" w:sz="0" w:space="0" w:color="auto"/>
        <w:right w:val="none" w:sz="0" w:space="0" w:color="auto"/>
      </w:divBdr>
    </w:div>
    <w:div w:id="833647939">
      <w:bodyDiv w:val="1"/>
      <w:marLeft w:val="0"/>
      <w:marRight w:val="0"/>
      <w:marTop w:val="0"/>
      <w:marBottom w:val="0"/>
      <w:divBdr>
        <w:top w:val="none" w:sz="0" w:space="0" w:color="auto"/>
        <w:left w:val="none" w:sz="0" w:space="0" w:color="auto"/>
        <w:bottom w:val="none" w:sz="0" w:space="0" w:color="auto"/>
        <w:right w:val="none" w:sz="0" w:space="0" w:color="auto"/>
      </w:divBdr>
    </w:div>
    <w:div w:id="854423640">
      <w:bodyDiv w:val="1"/>
      <w:marLeft w:val="0"/>
      <w:marRight w:val="0"/>
      <w:marTop w:val="0"/>
      <w:marBottom w:val="0"/>
      <w:divBdr>
        <w:top w:val="none" w:sz="0" w:space="0" w:color="auto"/>
        <w:left w:val="none" w:sz="0" w:space="0" w:color="auto"/>
        <w:bottom w:val="none" w:sz="0" w:space="0" w:color="auto"/>
        <w:right w:val="none" w:sz="0" w:space="0" w:color="auto"/>
      </w:divBdr>
    </w:div>
    <w:div w:id="901604133">
      <w:bodyDiv w:val="1"/>
      <w:marLeft w:val="0"/>
      <w:marRight w:val="0"/>
      <w:marTop w:val="0"/>
      <w:marBottom w:val="0"/>
      <w:divBdr>
        <w:top w:val="none" w:sz="0" w:space="0" w:color="auto"/>
        <w:left w:val="none" w:sz="0" w:space="0" w:color="auto"/>
        <w:bottom w:val="none" w:sz="0" w:space="0" w:color="auto"/>
        <w:right w:val="none" w:sz="0" w:space="0" w:color="auto"/>
      </w:divBdr>
    </w:div>
    <w:div w:id="910047464">
      <w:bodyDiv w:val="1"/>
      <w:marLeft w:val="0"/>
      <w:marRight w:val="0"/>
      <w:marTop w:val="0"/>
      <w:marBottom w:val="0"/>
      <w:divBdr>
        <w:top w:val="none" w:sz="0" w:space="0" w:color="auto"/>
        <w:left w:val="none" w:sz="0" w:space="0" w:color="auto"/>
        <w:bottom w:val="none" w:sz="0" w:space="0" w:color="auto"/>
        <w:right w:val="none" w:sz="0" w:space="0" w:color="auto"/>
      </w:divBdr>
      <w:divsChild>
        <w:div w:id="2143620121">
          <w:marLeft w:val="0"/>
          <w:marRight w:val="0"/>
          <w:marTop w:val="0"/>
          <w:marBottom w:val="0"/>
          <w:divBdr>
            <w:top w:val="none" w:sz="0" w:space="0" w:color="auto"/>
            <w:left w:val="none" w:sz="0" w:space="0" w:color="auto"/>
            <w:bottom w:val="none" w:sz="0" w:space="0" w:color="auto"/>
            <w:right w:val="none" w:sz="0" w:space="0" w:color="auto"/>
          </w:divBdr>
          <w:divsChild>
            <w:div w:id="1898665032">
              <w:marLeft w:val="0"/>
              <w:marRight w:val="0"/>
              <w:marTop w:val="0"/>
              <w:marBottom w:val="0"/>
              <w:divBdr>
                <w:top w:val="none" w:sz="0" w:space="0" w:color="auto"/>
                <w:left w:val="none" w:sz="0" w:space="0" w:color="auto"/>
                <w:bottom w:val="none" w:sz="0" w:space="0" w:color="auto"/>
                <w:right w:val="none" w:sz="0" w:space="0" w:color="auto"/>
              </w:divBdr>
              <w:divsChild>
                <w:div w:id="1958367848">
                  <w:marLeft w:val="0"/>
                  <w:marRight w:val="0"/>
                  <w:marTop w:val="0"/>
                  <w:marBottom w:val="0"/>
                  <w:divBdr>
                    <w:top w:val="none" w:sz="0" w:space="0" w:color="auto"/>
                    <w:left w:val="none" w:sz="0" w:space="0" w:color="auto"/>
                    <w:bottom w:val="none" w:sz="0" w:space="0" w:color="auto"/>
                    <w:right w:val="none" w:sz="0" w:space="0" w:color="auto"/>
                  </w:divBdr>
                  <w:divsChild>
                    <w:div w:id="18742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5922">
      <w:bodyDiv w:val="1"/>
      <w:marLeft w:val="0"/>
      <w:marRight w:val="0"/>
      <w:marTop w:val="0"/>
      <w:marBottom w:val="0"/>
      <w:divBdr>
        <w:top w:val="none" w:sz="0" w:space="0" w:color="auto"/>
        <w:left w:val="none" w:sz="0" w:space="0" w:color="auto"/>
        <w:bottom w:val="none" w:sz="0" w:space="0" w:color="auto"/>
        <w:right w:val="none" w:sz="0" w:space="0" w:color="auto"/>
      </w:divBdr>
    </w:div>
    <w:div w:id="949313004">
      <w:bodyDiv w:val="1"/>
      <w:marLeft w:val="0"/>
      <w:marRight w:val="0"/>
      <w:marTop w:val="0"/>
      <w:marBottom w:val="0"/>
      <w:divBdr>
        <w:top w:val="none" w:sz="0" w:space="0" w:color="auto"/>
        <w:left w:val="none" w:sz="0" w:space="0" w:color="auto"/>
        <w:bottom w:val="none" w:sz="0" w:space="0" w:color="auto"/>
        <w:right w:val="none" w:sz="0" w:space="0" w:color="auto"/>
      </w:divBdr>
      <w:divsChild>
        <w:div w:id="926498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621042">
      <w:bodyDiv w:val="1"/>
      <w:marLeft w:val="0"/>
      <w:marRight w:val="0"/>
      <w:marTop w:val="0"/>
      <w:marBottom w:val="0"/>
      <w:divBdr>
        <w:top w:val="none" w:sz="0" w:space="0" w:color="auto"/>
        <w:left w:val="none" w:sz="0" w:space="0" w:color="auto"/>
        <w:bottom w:val="none" w:sz="0" w:space="0" w:color="auto"/>
        <w:right w:val="none" w:sz="0" w:space="0" w:color="auto"/>
      </w:divBdr>
    </w:div>
    <w:div w:id="1068721584">
      <w:bodyDiv w:val="1"/>
      <w:marLeft w:val="0"/>
      <w:marRight w:val="0"/>
      <w:marTop w:val="0"/>
      <w:marBottom w:val="0"/>
      <w:divBdr>
        <w:top w:val="none" w:sz="0" w:space="0" w:color="auto"/>
        <w:left w:val="none" w:sz="0" w:space="0" w:color="auto"/>
        <w:bottom w:val="none" w:sz="0" w:space="0" w:color="auto"/>
        <w:right w:val="none" w:sz="0" w:space="0" w:color="auto"/>
      </w:divBdr>
    </w:div>
    <w:div w:id="1108163032">
      <w:bodyDiv w:val="1"/>
      <w:marLeft w:val="0"/>
      <w:marRight w:val="0"/>
      <w:marTop w:val="0"/>
      <w:marBottom w:val="0"/>
      <w:divBdr>
        <w:top w:val="none" w:sz="0" w:space="0" w:color="auto"/>
        <w:left w:val="none" w:sz="0" w:space="0" w:color="auto"/>
        <w:bottom w:val="none" w:sz="0" w:space="0" w:color="auto"/>
        <w:right w:val="none" w:sz="0" w:space="0" w:color="auto"/>
      </w:divBdr>
    </w:div>
    <w:div w:id="1156263996">
      <w:bodyDiv w:val="1"/>
      <w:marLeft w:val="0"/>
      <w:marRight w:val="0"/>
      <w:marTop w:val="0"/>
      <w:marBottom w:val="0"/>
      <w:divBdr>
        <w:top w:val="none" w:sz="0" w:space="0" w:color="auto"/>
        <w:left w:val="none" w:sz="0" w:space="0" w:color="auto"/>
        <w:bottom w:val="none" w:sz="0" w:space="0" w:color="auto"/>
        <w:right w:val="none" w:sz="0" w:space="0" w:color="auto"/>
      </w:divBdr>
    </w:div>
    <w:div w:id="1158224957">
      <w:bodyDiv w:val="1"/>
      <w:marLeft w:val="0"/>
      <w:marRight w:val="0"/>
      <w:marTop w:val="0"/>
      <w:marBottom w:val="0"/>
      <w:divBdr>
        <w:top w:val="none" w:sz="0" w:space="0" w:color="auto"/>
        <w:left w:val="none" w:sz="0" w:space="0" w:color="auto"/>
        <w:bottom w:val="none" w:sz="0" w:space="0" w:color="auto"/>
        <w:right w:val="none" w:sz="0" w:space="0" w:color="auto"/>
      </w:divBdr>
      <w:divsChild>
        <w:div w:id="101656364">
          <w:marLeft w:val="0"/>
          <w:marRight w:val="0"/>
          <w:marTop w:val="0"/>
          <w:marBottom w:val="0"/>
          <w:divBdr>
            <w:top w:val="none" w:sz="0" w:space="0" w:color="auto"/>
            <w:left w:val="none" w:sz="0" w:space="0" w:color="auto"/>
            <w:bottom w:val="none" w:sz="0" w:space="0" w:color="auto"/>
            <w:right w:val="none" w:sz="0" w:space="0" w:color="auto"/>
          </w:divBdr>
          <w:divsChild>
            <w:div w:id="861089989">
              <w:marLeft w:val="0"/>
              <w:marRight w:val="0"/>
              <w:marTop w:val="0"/>
              <w:marBottom w:val="0"/>
              <w:divBdr>
                <w:top w:val="none" w:sz="0" w:space="0" w:color="auto"/>
                <w:left w:val="none" w:sz="0" w:space="0" w:color="auto"/>
                <w:bottom w:val="none" w:sz="0" w:space="0" w:color="auto"/>
                <w:right w:val="none" w:sz="0" w:space="0" w:color="auto"/>
              </w:divBdr>
              <w:divsChild>
                <w:div w:id="1801996878">
                  <w:marLeft w:val="0"/>
                  <w:marRight w:val="0"/>
                  <w:marTop w:val="0"/>
                  <w:marBottom w:val="0"/>
                  <w:divBdr>
                    <w:top w:val="none" w:sz="0" w:space="0" w:color="auto"/>
                    <w:left w:val="none" w:sz="0" w:space="0" w:color="auto"/>
                    <w:bottom w:val="none" w:sz="0" w:space="0" w:color="auto"/>
                    <w:right w:val="none" w:sz="0" w:space="0" w:color="auto"/>
                  </w:divBdr>
                  <w:divsChild>
                    <w:div w:id="6117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690765">
      <w:bodyDiv w:val="1"/>
      <w:marLeft w:val="0"/>
      <w:marRight w:val="0"/>
      <w:marTop w:val="0"/>
      <w:marBottom w:val="0"/>
      <w:divBdr>
        <w:top w:val="none" w:sz="0" w:space="0" w:color="auto"/>
        <w:left w:val="none" w:sz="0" w:space="0" w:color="auto"/>
        <w:bottom w:val="none" w:sz="0" w:space="0" w:color="auto"/>
        <w:right w:val="none" w:sz="0" w:space="0" w:color="auto"/>
      </w:divBdr>
    </w:div>
    <w:div w:id="1194029927">
      <w:bodyDiv w:val="1"/>
      <w:marLeft w:val="0"/>
      <w:marRight w:val="0"/>
      <w:marTop w:val="0"/>
      <w:marBottom w:val="0"/>
      <w:divBdr>
        <w:top w:val="none" w:sz="0" w:space="0" w:color="auto"/>
        <w:left w:val="none" w:sz="0" w:space="0" w:color="auto"/>
        <w:bottom w:val="none" w:sz="0" w:space="0" w:color="auto"/>
        <w:right w:val="none" w:sz="0" w:space="0" w:color="auto"/>
      </w:divBdr>
      <w:divsChild>
        <w:div w:id="42954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750299">
      <w:bodyDiv w:val="1"/>
      <w:marLeft w:val="0"/>
      <w:marRight w:val="0"/>
      <w:marTop w:val="0"/>
      <w:marBottom w:val="0"/>
      <w:divBdr>
        <w:top w:val="none" w:sz="0" w:space="0" w:color="auto"/>
        <w:left w:val="none" w:sz="0" w:space="0" w:color="auto"/>
        <w:bottom w:val="none" w:sz="0" w:space="0" w:color="auto"/>
        <w:right w:val="none" w:sz="0" w:space="0" w:color="auto"/>
      </w:divBdr>
    </w:div>
    <w:div w:id="1226641936">
      <w:bodyDiv w:val="1"/>
      <w:marLeft w:val="0"/>
      <w:marRight w:val="0"/>
      <w:marTop w:val="0"/>
      <w:marBottom w:val="0"/>
      <w:divBdr>
        <w:top w:val="none" w:sz="0" w:space="0" w:color="auto"/>
        <w:left w:val="none" w:sz="0" w:space="0" w:color="auto"/>
        <w:bottom w:val="none" w:sz="0" w:space="0" w:color="auto"/>
        <w:right w:val="none" w:sz="0" w:space="0" w:color="auto"/>
      </w:divBdr>
    </w:div>
    <w:div w:id="1299453795">
      <w:bodyDiv w:val="1"/>
      <w:marLeft w:val="0"/>
      <w:marRight w:val="0"/>
      <w:marTop w:val="0"/>
      <w:marBottom w:val="0"/>
      <w:divBdr>
        <w:top w:val="none" w:sz="0" w:space="0" w:color="auto"/>
        <w:left w:val="none" w:sz="0" w:space="0" w:color="auto"/>
        <w:bottom w:val="none" w:sz="0" w:space="0" w:color="auto"/>
        <w:right w:val="none" w:sz="0" w:space="0" w:color="auto"/>
      </w:divBdr>
    </w:div>
    <w:div w:id="1310938555">
      <w:bodyDiv w:val="1"/>
      <w:marLeft w:val="0"/>
      <w:marRight w:val="0"/>
      <w:marTop w:val="0"/>
      <w:marBottom w:val="0"/>
      <w:divBdr>
        <w:top w:val="none" w:sz="0" w:space="0" w:color="auto"/>
        <w:left w:val="none" w:sz="0" w:space="0" w:color="auto"/>
        <w:bottom w:val="none" w:sz="0" w:space="0" w:color="auto"/>
        <w:right w:val="none" w:sz="0" w:space="0" w:color="auto"/>
      </w:divBdr>
    </w:div>
    <w:div w:id="1336155826">
      <w:bodyDiv w:val="1"/>
      <w:marLeft w:val="0"/>
      <w:marRight w:val="0"/>
      <w:marTop w:val="0"/>
      <w:marBottom w:val="0"/>
      <w:divBdr>
        <w:top w:val="none" w:sz="0" w:space="0" w:color="auto"/>
        <w:left w:val="none" w:sz="0" w:space="0" w:color="auto"/>
        <w:bottom w:val="none" w:sz="0" w:space="0" w:color="auto"/>
        <w:right w:val="none" w:sz="0" w:space="0" w:color="auto"/>
      </w:divBdr>
    </w:div>
    <w:div w:id="1340616032">
      <w:bodyDiv w:val="1"/>
      <w:marLeft w:val="0"/>
      <w:marRight w:val="0"/>
      <w:marTop w:val="0"/>
      <w:marBottom w:val="0"/>
      <w:divBdr>
        <w:top w:val="none" w:sz="0" w:space="0" w:color="auto"/>
        <w:left w:val="none" w:sz="0" w:space="0" w:color="auto"/>
        <w:bottom w:val="none" w:sz="0" w:space="0" w:color="auto"/>
        <w:right w:val="none" w:sz="0" w:space="0" w:color="auto"/>
      </w:divBdr>
    </w:div>
    <w:div w:id="1360156346">
      <w:bodyDiv w:val="1"/>
      <w:marLeft w:val="0"/>
      <w:marRight w:val="0"/>
      <w:marTop w:val="0"/>
      <w:marBottom w:val="0"/>
      <w:divBdr>
        <w:top w:val="none" w:sz="0" w:space="0" w:color="auto"/>
        <w:left w:val="none" w:sz="0" w:space="0" w:color="auto"/>
        <w:bottom w:val="none" w:sz="0" w:space="0" w:color="auto"/>
        <w:right w:val="none" w:sz="0" w:space="0" w:color="auto"/>
      </w:divBdr>
    </w:div>
    <w:div w:id="1384014070">
      <w:bodyDiv w:val="1"/>
      <w:marLeft w:val="0"/>
      <w:marRight w:val="0"/>
      <w:marTop w:val="0"/>
      <w:marBottom w:val="0"/>
      <w:divBdr>
        <w:top w:val="none" w:sz="0" w:space="0" w:color="auto"/>
        <w:left w:val="none" w:sz="0" w:space="0" w:color="auto"/>
        <w:bottom w:val="none" w:sz="0" w:space="0" w:color="auto"/>
        <w:right w:val="none" w:sz="0" w:space="0" w:color="auto"/>
      </w:divBdr>
    </w:div>
    <w:div w:id="1385329381">
      <w:bodyDiv w:val="1"/>
      <w:marLeft w:val="0"/>
      <w:marRight w:val="0"/>
      <w:marTop w:val="0"/>
      <w:marBottom w:val="0"/>
      <w:divBdr>
        <w:top w:val="none" w:sz="0" w:space="0" w:color="auto"/>
        <w:left w:val="none" w:sz="0" w:space="0" w:color="auto"/>
        <w:bottom w:val="none" w:sz="0" w:space="0" w:color="auto"/>
        <w:right w:val="none" w:sz="0" w:space="0" w:color="auto"/>
      </w:divBdr>
    </w:div>
    <w:div w:id="1408921101">
      <w:bodyDiv w:val="1"/>
      <w:marLeft w:val="0"/>
      <w:marRight w:val="0"/>
      <w:marTop w:val="0"/>
      <w:marBottom w:val="0"/>
      <w:divBdr>
        <w:top w:val="none" w:sz="0" w:space="0" w:color="auto"/>
        <w:left w:val="none" w:sz="0" w:space="0" w:color="auto"/>
        <w:bottom w:val="none" w:sz="0" w:space="0" w:color="auto"/>
        <w:right w:val="none" w:sz="0" w:space="0" w:color="auto"/>
      </w:divBdr>
    </w:div>
    <w:div w:id="1410232104">
      <w:bodyDiv w:val="1"/>
      <w:marLeft w:val="0"/>
      <w:marRight w:val="0"/>
      <w:marTop w:val="0"/>
      <w:marBottom w:val="0"/>
      <w:divBdr>
        <w:top w:val="none" w:sz="0" w:space="0" w:color="auto"/>
        <w:left w:val="none" w:sz="0" w:space="0" w:color="auto"/>
        <w:bottom w:val="none" w:sz="0" w:space="0" w:color="auto"/>
        <w:right w:val="none" w:sz="0" w:space="0" w:color="auto"/>
      </w:divBdr>
    </w:div>
    <w:div w:id="1410612339">
      <w:bodyDiv w:val="1"/>
      <w:marLeft w:val="0"/>
      <w:marRight w:val="0"/>
      <w:marTop w:val="0"/>
      <w:marBottom w:val="0"/>
      <w:divBdr>
        <w:top w:val="none" w:sz="0" w:space="0" w:color="auto"/>
        <w:left w:val="none" w:sz="0" w:space="0" w:color="auto"/>
        <w:bottom w:val="none" w:sz="0" w:space="0" w:color="auto"/>
        <w:right w:val="none" w:sz="0" w:space="0" w:color="auto"/>
      </w:divBdr>
      <w:divsChild>
        <w:div w:id="1764646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802101">
      <w:bodyDiv w:val="1"/>
      <w:marLeft w:val="0"/>
      <w:marRight w:val="0"/>
      <w:marTop w:val="0"/>
      <w:marBottom w:val="0"/>
      <w:divBdr>
        <w:top w:val="none" w:sz="0" w:space="0" w:color="auto"/>
        <w:left w:val="none" w:sz="0" w:space="0" w:color="auto"/>
        <w:bottom w:val="none" w:sz="0" w:space="0" w:color="auto"/>
        <w:right w:val="none" w:sz="0" w:space="0" w:color="auto"/>
      </w:divBdr>
    </w:div>
    <w:div w:id="1457407065">
      <w:bodyDiv w:val="1"/>
      <w:marLeft w:val="0"/>
      <w:marRight w:val="0"/>
      <w:marTop w:val="0"/>
      <w:marBottom w:val="0"/>
      <w:divBdr>
        <w:top w:val="none" w:sz="0" w:space="0" w:color="auto"/>
        <w:left w:val="none" w:sz="0" w:space="0" w:color="auto"/>
        <w:bottom w:val="none" w:sz="0" w:space="0" w:color="auto"/>
        <w:right w:val="none" w:sz="0" w:space="0" w:color="auto"/>
      </w:divBdr>
    </w:div>
    <w:div w:id="1566600839">
      <w:bodyDiv w:val="1"/>
      <w:marLeft w:val="0"/>
      <w:marRight w:val="0"/>
      <w:marTop w:val="0"/>
      <w:marBottom w:val="0"/>
      <w:divBdr>
        <w:top w:val="none" w:sz="0" w:space="0" w:color="auto"/>
        <w:left w:val="none" w:sz="0" w:space="0" w:color="auto"/>
        <w:bottom w:val="none" w:sz="0" w:space="0" w:color="auto"/>
        <w:right w:val="none" w:sz="0" w:space="0" w:color="auto"/>
      </w:divBdr>
    </w:div>
    <w:div w:id="1568298512">
      <w:bodyDiv w:val="1"/>
      <w:marLeft w:val="0"/>
      <w:marRight w:val="0"/>
      <w:marTop w:val="0"/>
      <w:marBottom w:val="0"/>
      <w:divBdr>
        <w:top w:val="none" w:sz="0" w:space="0" w:color="auto"/>
        <w:left w:val="none" w:sz="0" w:space="0" w:color="auto"/>
        <w:bottom w:val="none" w:sz="0" w:space="0" w:color="auto"/>
        <w:right w:val="none" w:sz="0" w:space="0" w:color="auto"/>
      </w:divBdr>
    </w:div>
    <w:div w:id="1573349775">
      <w:bodyDiv w:val="1"/>
      <w:marLeft w:val="0"/>
      <w:marRight w:val="0"/>
      <w:marTop w:val="0"/>
      <w:marBottom w:val="0"/>
      <w:divBdr>
        <w:top w:val="none" w:sz="0" w:space="0" w:color="auto"/>
        <w:left w:val="none" w:sz="0" w:space="0" w:color="auto"/>
        <w:bottom w:val="none" w:sz="0" w:space="0" w:color="auto"/>
        <w:right w:val="none" w:sz="0" w:space="0" w:color="auto"/>
      </w:divBdr>
    </w:div>
    <w:div w:id="1581940265">
      <w:bodyDiv w:val="1"/>
      <w:marLeft w:val="0"/>
      <w:marRight w:val="0"/>
      <w:marTop w:val="0"/>
      <w:marBottom w:val="0"/>
      <w:divBdr>
        <w:top w:val="none" w:sz="0" w:space="0" w:color="auto"/>
        <w:left w:val="none" w:sz="0" w:space="0" w:color="auto"/>
        <w:bottom w:val="none" w:sz="0" w:space="0" w:color="auto"/>
        <w:right w:val="none" w:sz="0" w:space="0" w:color="auto"/>
      </w:divBdr>
      <w:divsChild>
        <w:div w:id="479922819">
          <w:marLeft w:val="0"/>
          <w:marRight w:val="0"/>
          <w:marTop w:val="0"/>
          <w:marBottom w:val="0"/>
          <w:divBdr>
            <w:top w:val="none" w:sz="0" w:space="0" w:color="auto"/>
            <w:left w:val="none" w:sz="0" w:space="0" w:color="auto"/>
            <w:bottom w:val="none" w:sz="0" w:space="0" w:color="auto"/>
            <w:right w:val="none" w:sz="0" w:space="0" w:color="auto"/>
          </w:divBdr>
          <w:divsChild>
            <w:div w:id="351684287">
              <w:marLeft w:val="0"/>
              <w:marRight w:val="0"/>
              <w:marTop w:val="0"/>
              <w:marBottom w:val="0"/>
              <w:divBdr>
                <w:top w:val="none" w:sz="0" w:space="0" w:color="auto"/>
                <w:left w:val="none" w:sz="0" w:space="0" w:color="auto"/>
                <w:bottom w:val="none" w:sz="0" w:space="0" w:color="auto"/>
                <w:right w:val="none" w:sz="0" w:space="0" w:color="auto"/>
              </w:divBdr>
              <w:divsChild>
                <w:div w:id="1315064881">
                  <w:marLeft w:val="0"/>
                  <w:marRight w:val="0"/>
                  <w:marTop w:val="0"/>
                  <w:marBottom w:val="0"/>
                  <w:divBdr>
                    <w:top w:val="none" w:sz="0" w:space="0" w:color="auto"/>
                    <w:left w:val="none" w:sz="0" w:space="0" w:color="auto"/>
                    <w:bottom w:val="none" w:sz="0" w:space="0" w:color="auto"/>
                    <w:right w:val="none" w:sz="0" w:space="0" w:color="auto"/>
                  </w:divBdr>
                  <w:divsChild>
                    <w:div w:id="18660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824313">
      <w:bodyDiv w:val="1"/>
      <w:marLeft w:val="0"/>
      <w:marRight w:val="0"/>
      <w:marTop w:val="0"/>
      <w:marBottom w:val="0"/>
      <w:divBdr>
        <w:top w:val="none" w:sz="0" w:space="0" w:color="auto"/>
        <w:left w:val="none" w:sz="0" w:space="0" w:color="auto"/>
        <w:bottom w:val="none" w:sz="0" w:space="0" w:color="auto"/>
        <w:right w:val="none" w:sz="0" w:space="0" w:color="auto"/>
      </w:divBdr>
      <w:divsChild>
        <w:div w:id="29545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137315">
      <w:bodyDiv w:val="1"/>
      <w:marLeft w:val="0"/>
      <w:marRight w:val="0"/>
      <w:marTop w:val="0"/>
      <w:marBottom w:val="0"/>
      <w:divBdr>
        <w:top w:val="none" w:sz="0" w:space="0" w:color="auto"/>
        <w:left w:val="none" w:sz="0" w:space="0" w:color="auto"/>
        <w:bottom w:val="none" w:sz="0" w:space="0" w:color="auto"/>
        <w:right w:val="none" w:sz="0" w:space="0" w:color="auto"/>
      </w:divBdr>
    </w:div>
    <w:div w:id="1639147661">
      <w:bodyDiv w:val="1"/>
      <w:marLeft w:val="0"/>
      <w:marRight w:val="0"/>
      <w:marTop w:val="0"/>
      <w:marBottom w:val="0"/>
      <w:divBdr>
        <w:top w:val="none" w:sz="0" w:space="0" w:color="auto"/>
        <w:left w:val="none" w:sz="0" w:space="0" w:color="auto"/>
        <w:bottom w:val="none" w:sz="0" w:space="0" w:color="auto"/>
        <w:right w:val="none" w:sz="0" w:space="0" w:color="auto"/>
      </w:divBdr>
    </w:div>
    <w:div w:id="1648626935">
      <w:bodyDiv w:val="1"/>
      <w:marLeft w:val="0"/>
      <w:marRight w:val="0"/>
      <w:marTop w:val="0"/>
      <w:marBottom w:val="0"/>
      <w:divBdr>
        <w:top w:val="none" w:sz="0" w:space="0" w:color="auto"/>
        <w:left w:val="none" w:sz="0" w:space="0" w:color="auto"/>
        <w:bottom w:val="none" w:sz="0" w:space="0" w:color="auto"/>
        <w:right w:val="none" w:sz="0" w:space="0" w:color="auto"/>
      </w:divBdr>
    </w:div>
    <w:div w:id="1735202322">
      <w:bodyDiv w:val="1"/>
      <w:marLeft w:val="0"/>
      <w:marRight w:val="0"/>
      <w:marTop w:val="0"/>
      <w:marBottom w:val="0"/>
      <w:divBdr>
        <w:top w:val="none" w:sz="0" w:space="0" w:color="auto"/>
        <w:left w:val="none" w:sz="0" w:space="0" w:color="auto"/>
        <w:bottom w:val="none" w:sz="0" w:space="0" w:color="auto"/>
        <w:right w:val="none" w:sz="0" w:space="0" w:color="auto"/>
      </w:divBdr>
    </w:div>
    <w:div w:id="1743597542">
      <w:bodyDiv w:val="1"/>
      <w:marLeft w:val="0"/>
      <w:marRight w:val="0"/>
      <w:marTop w:val="0"/>
      <w:marBottom w:val="0"/>
      <w:divBdr>
        <w:top w:val="none" w:sz="0" w:space="0" w:color="auto"/>
        <w:left w:val="none" w:sz="0" w:space="0" w:color="auto"/>
        <w:bottom w:val="none" w:sz="0" w:space="0" w:color="auto"/>
        <w:right w:val="none" w:sz="0" w:space="0" w:color="auto"/>
      </w:divBdr>
    </w:div>
    <w:div w:id="1823543130">
      <w:bodyDiv w:val="1"/>
      <w:marLeft w:val="0"/>
      <w:marRight w:val="0"/>
      <w:marTop w:val="0"/>
      <w:marBottom w:val="0"/>
      <w:divBdr>
        <w:top w:val="none" w:sz="0" w:space="0" w:color="auto"/>
        <w:left w:val="none" w:sz="0" w:space="0" w:color="auto"/>
        <w:bottom w:val="none" w:sz="0" w:space="0" w:color="auto"/>
        <w:right w:val="none" w:sz="0" w:space="0" w:color="auto"/>
      </w:divBdr>
    </w:div>
    <w:div w:id="1861818336">
      <w:bodyDiv w:val="1"/>
      <w:marLeft w:val="0"/>
      <w:marRight w:val="0"/>
      <w:marTop w:val="0"/>
      <w:marBottom w:val="0"/>
      <w:divBdr>
        <w:top w:val="none" w:sz="0" w:space="0" w:color="auto"/>
        <w:left w:val="none" w:sz="0" w:space="0" w:color="auto"/>
        <w:bottom w:val="none" w:sz="0" w:space="0" w:color="auto"/>
        <w:right w:val="none" w:sz="0" w:space="0" w:color="auto"/>
      </w:divBdr>
    </w:div>
    <w:div w:id="1878539109">
      <w:bodyDiv w:val="1"/>
      <w:marLeft w:val="0"/>
      <w:marRight w:val="0"/>
      <w:marTop w:val="0"/>
      <w:marBottom w:val="0"/>
      <w:divBdr>
        <w:top w:val="none" w:sz="0" w:space="0" w:color="auto"/>
        <w:left w:val="none" w:sz="0" w:space="0" w:color="auto"/>
        <w:bottom w:val="none" w:sz="0" w:space="0" w:color="auto"/>
        <w:right w:val="none" w:sz="0" w:space="0" w:color="auto"/>
      </w:divBdr>
    </w:div>
    <w:div w:id="1900438602">
      <w:bodyDiv w:val="1"/>
      <w:marLeft w:val="0"/>
      <w:marRight w:val="0"/>
      <w:marTop w:val="0"/>
      <w:marBottom w:val="0"/>
      <w:divBdr>
        <w:top w:val="none" w:sz="0" w:space="0" w:color="auto"/>
        <w:left w:val="none" w:sz="0" w:space="0" w:color="auto"/>
        <w:bottom w:val="none" w:sz="0" w:space="0" w:color="auto"/>
        <w:right w:val="none" w:sz="0" w:space="0" w:color="auto"/>
      </w:divBdr>
    </w:div>
    <w:div w:id="1946494683">
      <w:bodyDiv w:val="1"/>
      <w:marLeft w:val="0"/>
      <w:marRight w:val="0"/>
      <w:marTop w:val="0"/>
      <w:marBottom w:val="0"/>
      <w:divBdr>
        <w:top w:val="none" w:sz="0" w:space="0" w:color="auto"/>
        <w:left w:val="none" w:sz="0" w:space="0" w:color="auto"/>
        <w:bottom w:val="none" w:sz="0" w:space="0" w:color="auto"/>
        <w:right w:val="none" w:sz="0" w:space="0" w:color="auto"/>
      </w:divBdr>
    </w:div>
    <w:div w:id="1998336729">
      <w:bodyDiv w:val="1"/>
      <w:marLeft w:val="0"/>
      <w:marRight w:val="0"/>
      <w:marTop w:val="0"/>
      <w:marBottom w:val="0"/>
      <w:divBdr>
        <w:top w:val="none" w:sz="0" w:space="0" w:color="auto"/>
        <w:left w:val="none" w:sz="0" w:space="0" w:color="auto"/>
        <w:bottom w:val="none" w:sz="0" w:space="0" w:color="auto"/>
        <w:right w:val="none" w:sz="0" w:space="0" w:color="auto"/>
      </w:divBdr>
    </w:div>
    <w:div w:id="2011518634">
      <w:bodyDiv w:val="1"/>
      <w:marLeft w:val="0"/>
      <w:marRight w:val="0"/>
      <w:marTop w:val="0"/>
      <w:marBottom w:val="0"/>
      <w:divBdr>
        <w:top w:val="none" w:sz="0" w:space="0" w:color="auto"/>
        <w:left w:val="none" w:sz="0" w:space="0" w:color="auto"/>
        <w:bottom w:val="none" w:sz="0" w:space="0" w:color="auto"/>
        <w:right w:val="none" w:sz="0" w:space="0" w:color="auto"/>
      </w:divBdr>
      <w:divsChild>
        <w:div w:id="1926835837">
          <w:marLeft w:val="0"/>
          <w:marRight w:val="0"/>
          <w:marTop w:val="0"/>
          <w:marBottom w:val="0"/>
          <w:divBdr>
            <w:top w:val="none" w:sz="0" w:space="0" w:color="auto"/>
            <w:left w:val="none" w:sz="0" w:space="0" w:color="auto"/>
            <w:bottom w:val="none" w:sz="0" w:space="0" w:color="auto"/>
            <w:right w:val="none" w:sz="0" w:space="0" w:color="auto"/>
          </w:divBdr>
          <w:divsChild>
            <w:div w:id="1375235806">
              <w:marLeft w:val="0"/>
              <w:marRight w:val="0"/>
              <w:marTop w:val="0"/>
              <w:marBottom w:val="0"/>
              <w:divBdr>
                <w:top w:val="none" w:sz="0" w:space="0" w:color="auto"/>
                <w:left w:val="none" w:sz="0" w:space="0" w:color="auto"/>
                <w:bottom w:val="none" w:sz="0" w:space="0" w:color="auto"/>
                <w:right w:val="none" w:sz="0" w:space="0" w:color="auto"/>
              </w:divBdr>
              <w:divsChild>
                <w:div w:id="705637805">
                  <w:marLeft w:val="0"/>
                  <w:marRight w:val="0"/>
                  <w:marTop w:val="0"/>
                  <w:marBottom w:val="0"/>
                  <w:divBdr>
                    <w:top w:val="none" w:sz="0" w:space="0" w:color="auto"/>
                    <w:left w:val="none" w:sz="0" w:space="0" w:color="auto"/>
                    <w:bottom w:val="none" w:sz="0" w:space="0" w:color="auto"/>
                    <w:right w:val="none" w:sz="0" w:space="0" w:color="auto"/>
                  </w:divBdr>
                  <w:divsChild>
                    <w:div w:id="2515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645917">
      <w:bodyDiv w:val="1"/>
      <w:marLeft w:val="0"/>
      <w:marRight w:val="0"/>
      <w:marTop w:val="0"/>
      <w:marBottom w:val="0"/>
      <w:divBdr>
        <w:top w:val="none" w:sz="0" w:space="0" w:color="auto"/>
        <w:left w:val="none" w:sz="0" w:space="0" w:color="auto"/>
        <w:bottom w:val="none" w:sz="0" w:space="0" w:color="auto"/>
        <w:right w:val="none" w:sz="0" w:space="0" w:color="auto"/>
      </w:divBdr>
      <w:divsChild>
        <w:div w:id="629558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80720">
      <w:bodyDiv w:val="1"/>
      <w:marLeft w:val="0"/>
      <w:marRight w:val="0"/>
      <w:marTop w:val="0"/>
      <w:marBottom w:val="0"/>
      <w:divBdr>
        <w:top w:val="none" w:sz="0" w:space="0" w:color="auto"/>
        <w:left w:val="none" w:sz="0" w:space="0" w:color="auto"/>
        <w:bottom w:val="none" w:sz="0" w:space="0" w:color="auto"/>
        <w:right w:val="none" w:sz="0" w:space="0" w:color="auto"/>
      </w:divBdr>
    </w:div>
    <w:div w:id="2060081632">
      <w:bodyDiv w:val="1"/>
      <w:marLeft w:val="0"/>
      <w:marRight w:val="0"/>
      <w:marTop w:val="0"/>
      <w:marBottom w:val="0"/>
      <w:divBdr>
        <w:top w:val="none" w:sz="0" w:space="0" w:color="auto"/>
        <w:left w:val="none" w:sz="0" w:space="0" w:color="auto"/>
        <w:bottom w:val="none" w:sz="0" w:space="0" w:color="auto"/>
        <w:right w:val="none" w:sz="0" w:space="0" w:color="auto"/>
      </w:divBdr>
    </w:div>
    <w:div w:id="2106530876">
      <w:bodyDiv w:val="1"/>
      <w:marLeft w:val="0"/>
      <w:marRight w:val="0"/>
      <w:marTop w:val="0"/>
      <w:marBottom w:val="0"/>
      <w:divBdr>
        <w:top w:val="none" w:sz="0" w:space="0" w:color="auto"/>
        <w:left w:val="none" w:sz="0" w:space="0" w:color="auto"/>
        <w:bottom w:val="none" w:sz="0" w:space="0" w:color="auto"/>
        <w:right w:val="none" w:sz="0" w:space="0" w:color="auto"/>
      </w:divBdr>
    </w:div>
    <w:div w:id="2113237426">
      <w:bodyDiv w:val="1"/>
      <w:marLeft w:val="0"/>
      <w:marRight w:val="0"/>
      <w:marTop w:val="0"/>
      <w:marBottom w:val="0"/>
      <w:divBdr>
        <w:top w:val="none" w:sz="0" w:space="0" w:color="auto"/>
        <w:left w:val="none" w:sz="0" w:space="0" w:color="auto"/>
        <w:bottom w:val="none" w:sz="0" w:space="0" w:color="auto"/>
        <w:right w:val="none" w:sz="0" w:space="0" w:color="auto"/>
      </w:divBdr>
    </w:div>
    <w:div w:id="214257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maury.Laridon@vub.be" TargetMode="External"/><Relationship Id="rId18" Type="http://schemas.openxmlformats.org/officeDocument/2006/relationships/image" Target="media/image5.png"/><Relationship Id="rId26" Type="http://schemas.openxmlformats.org/officeDocument/2006/relationships/hyperlink" Target="https://doi.org/10.5281/zenodo.17372071"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orcid.org/0000-0002-5183-6145" TargetMode="External"/><Relationship Id="rId17" Type="http://schemas.openxmlformats.org/officeDocument/2006/relationships/image" Target="media/image4.png"/><Relationship Id="rId25" Type="http://schemas.openxmlformats.org/officeDocument/2006/relationships/hyperlink" Target="https://doi.org/10.5281/zenodo.14979157"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9-0009-6559-9249" TargetMode="External"/><Relationship Id="rId24" Type="http://schemas.openxmlformats.org/officeDocument/2006/relationships/hyperlink" Target="https://doi.org/10.5281/zenodo.14944240"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5281/zenodo.13377225"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doi.org/10.5281/zenodo.17372071"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open-research-europe.ec.europa.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AD1F67BA524F43B2102CC5F4EDA5E8" ma:contentTypeVersion="10" ma:contentTypeDescription="Een nieuw document maken." ma:contentTypeScope="" ma:versionID="da1e200f42333522ca3931bdddecd22a">
  <xsd:schema xmlns:xsd="http://www.w3.org/2001/XMLSchema" xmlns:xs="http://www.w3.org/2001/XMLSchema" xmlns:p="http://schemas.microsoft.com/office/2006/metadata/properties" xmlns:ns3="f5414a59-a7c5-49af-8d8e-8dedf6574652" targetNamespace="http://schemas.microsoft.com/office/2006/metadata/properties" ma:root="true" ma:fieldsID="0d6cf7812c37a45dbb5ce959fc85a09b" ns3:_="">
    <xsd:import namespace="f5414a59-a7c5-49af-8d8e-8dedf657465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414a59-a7c5-49af-8d8e-8dedf657465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5414a59-a7c5-49af-8d8e-8dedf657465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F02D4C-AF56-4969-B0B4-0A717E72C7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414a59-a7c5-49af-8d8e-8dedf65746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F990B2-4E99-4107-9C6D-F127EEB655DE}">
  <ds:schemaRefs>
    <ds:schemaRef ds:uri="http://schemas.microsoft.com/office/2006/metadata/properties"/>
    <ds:schemaRef ds:uri="http://schemas.microsoft.com/office/infopath/2007/PartnerControls"/>
    <ds:schemaRef ds:uri="f5414a59-a7c5-49af-8d8e-8dedf6574652"/>
  </ds:schemaRefs>
</ds:datastoreItem>
</file>

<file path=customXml/itemProps3.xml><?xml version="1.0" encoding="utf-8"?>
<ds:datastoreItem xmlns:ds="http://schemas.openxmlformats.org/officeDocument/2006/customXml" ds:itemID="{F0864928-8F33-4755-90E0-959504E3AB5E}">
  <ds:schemaRefs>
    <ds:schemaRef ds:uri="http://schemas.openxmlformats.org/officeDocument/2006/bibliography"/>
  </ds:schemaRefs>
</ds:datastoreItem>
</file>

<file path=customXml/itemProps4.xml><?xml version="1.0" encoding="utf-8"?>
<ds:datastoreItem xmlns:ds="http://schemas.openxmlformats.org/officeDocument/2006/customXml" ds:itemID="{572C9B32-DDE2-4499-9C50-7BCC80A9A6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54067</Words>
  <Characters>297370</Characters>
  <Application>Microsoft Office Word</Application>
  <DocSecurity>0</DocSecurity>
  <Lines>2478</Lines>
  <Paragraphs>701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Dignon, Ros</dc:creator>
  <cp:keywords/>
  <dc:description/>
  <cp:lastModifiedBy>Amaury Laridon</cp:lastModifiedBy>
  <cp:revision>1728</cp:revision>
  <cp:lastPrinted>2025-10-17T13:18:00Z</cp:lastPrinted>
  <dcterms:created xsi:type="dcterms:W3CDTF">2025-03-04T11:16:00Z</dcterms:created>
  <dcterms:modified xsi:type="dcterms:W3CDTF">2025-10-17T13:18:00Z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0x010100C7AD1F67BA524F43B2102CC5F4EDA5E8</vt:lpwstr>
  </property>
  <property fmtid="{D5CDD505-2E9C-101B-9397-08002B2CF9AE}" pid="4" name="Created">
    <vt:filetime>2021-09-28T00:00:00Z</vt:filetime>
  </property>
  <property fmtid="{D5CDD505-2E9C-101B-9397-08002B2CF9AE}" pid="5" name="Creator">
    <vt:lpwstr>LaTeX with hyperref</vt:lpwstr>
  </property>
  <property fmtid="{D5CDD505-2E9C-101B-9397-08002B2CF9AE}" pid="6" name="LastSaved">
    <vt:filetime>2021-09-28T00:00:00Z</vt:filetime>
  </property>
  <property fmtid="{D5CDD505-2E9C-101B-9397-08002B2CF9AE}" pid="7" name="MSIP_Label_2bbab825-a111-45e4-86a1-18cee0005896_ActionId">
    <vt:lpwstr>d16f9c6f-6432-4cf9-8aae-1a8795393325</vt:lpwstr>
  </property>
  <property fmtid="{D5CDD505-2E9C-101B-9397-08002B2CF9AE}" pid="8" name="MSIP_Label_2bbab825-a111-45e4-86a1-18cee0005896_ContentBits">
    <vt:lpwstr>2</vt:lpwstr>
  </property>
  <property fmtid="{D5CDD505-2E9C-101B-9397-08002B2CF9AE}" pid="9" name="MSIP_Label_2bbab825-a111-45e4-86a1-18cee0005896_Enabled">
    <vt:lpwstr>true</vt:lpwstr>
  </property>
  <property fmtid="{D5CDD505-2E9C-101B-9397-08002B2CF9AE}" pid="10" name="MSIP_Label_2bbab825-a111-45e4-86a1-18cee0005896_Method">
    <vt:lpwstr>Standard</vt:lpwstr>
  </property>
  <property fmtid="{D5CDD505-2E9C-101B-9397-08002B2CF9AE}" pid="11" name="MSIP_Label_2bbab825-a111-45e4-86a1-18cee0005896_Name">
    <vt:lpwstr>2bbab825-a111-45e4-86a1-18cee0005896</vt:lpwstr>
  </property>
  <property fmtid="{D5CDD505-2E9C-101B-9397-08002B2CF9AE}" pid="12" name="MSIP_Label_2bbab825-a111-45e4-86a1-18cee0005896_SetDate">
    <vt:lpwstr>2023-01-04T13:02:33Z</vt:lpwstr>
  </property>
  <property fmtid="{D5CDD505-2E9C-101B-9397-08002B2CF9AE}" pid="13" name="MSIP_Label_2bbab825-a111-45e4-86a1-18cee0005896_SiteId">
    <vt:lpwstr>2567d566-604c-408a-8a60-55d0dc9d9d6b</vt:lpwstr>
  </property>
  <property fmtid="{D5CDD505-2E9C-101B-9397-08002B2CF9AE}" pid="14" name="MediaServiceImageTags">
    <vt:lpwstr/>
  </property>
  <property fmtid="{D5CDD505-2E9C-101B-9397-08002B2CF9AE}" pid="15" name="TriggerFlowInfo">
    <vt:lpwstr/>
  </property>
  <property fmtid="{D5CDD505-2E9C-101B-9397-08002B2CF9AE}" pid="16" name="ZOTERO_PREF_1">
    <vt:lpwstr>&lt;data data-version="3" zotero-version="7.0.24"&gt;&lt;session id="YXi9sT6M"/&gt;&lt;style id="http://www.zotero.org/styles/vancouver" locale="en-GB" hasBibliography="1" bibliographyStyleHasBeenSet="1"/&gt;&lt;prefs&gt;&lt;pref name="fieldType" value="Field"/&gt;&lt;pref name="automati</vt:lpwstr>
  </property>
  <property fmtid="{D5CDD505-2E9C-101B-9397-08002B2CF9AE}" pid="17" name="ZOTERO_PREF_2">
    <vt:lpwstr>cJournalAbbreviations" value="true"/&gt;&lt;pref name="dontAskDelayCitationUpdates" value="true"/&gt;&lt;/prefs&gt;&lt;/data&gt;</vt:lpwstr>
  </property>
  <property fmtid="{D5CDD505-2E9C-101B-9397-08002B2CF9AE}" pid="18" name="_ExtendedDescription">
    <vt:lpwstr/>
  </property>
</Properties>
</file>