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F0A8D" w14:textId="77777777" w:rsidR="00442B21" w:rsidRPr="00442B21" w:rsidRDefault="00442B21" w:rsidP="00442B21"/>
    <w:p w14:paraId="383AA728" w14:textId="77777777" w:rsidR="00805B71" w:rsidRPr="00C922C9" w:rsidRDefault="00805B71" w:rsidP="00805B71">
      <w:pPr>
        <w:pStyle w:val="Heading1"/>
        <w:jc w:val="center"/>
        <w:rPr>
          <w:sz w:val="32"/>
          <w:szCs w:val="32"/>
        </w:rPr>
      </w:pPr>
      <w:r w:rsidRPr="00C922C9">
        <w:rPr>
          <w:sz w:val="32"/>
          <w:szCs w:val="32"/>
        </w:rPr>
        <w:t>Supplementary Materials :</w:t>
      </w:r>
    </w:p>
    <w:p w14:paraId="3D2B8339" w14:textId="77777777" w:rsidR="00805B71" w:rsidRDefault="00805B71" w:rsidP="00805B71">
      <w:pPr>
        <w:pStyle w:val="Heading2"/>
        <w:rPr>
          <w:bCs/>
          <w:color w:val="004494"/>
          <w:sz w:val="28"/>
          <w:szCs w:val="28"/>
        </w:rPr>
      </w:pPr>
    </w:p>
    <w:p w14:paraId="4955E571" w14:textId="31528FB0" w:rsidR="00805B71" w:rsidRDefault="00805B71" w:rsidP="00805B71">
      <w:pPr>
        <w:pStyle w:val="Heading2"/>
        <w:ind w:left="0"/>
        <w:rPr>
          <w:bCs/>
          <w:color w:val="004494"/>
          <w:sz w:val="28"/>
          <w:szCs w:val="28"/>
        </w:rPr>
      </w:pPr>
      <w:r>
        <w:rPr>
          <w:bCs/>
          <w:color w:val="004494"/>
          <w:sz w:val="28"/>
          <w:szCs w:val="28"/>
        </w:rPr>
        <w:t xml:space="preserve">Connecting </w:t>
      </w:r>
      <w:r w:rsidR="00F91B59">
        <w:rPr>
          <w:bCs/>
          <w:color w:val="004494"/>
          <w:sz w:val="28"/>
          <w:szCs w:val="28"/>
        </w:rPr>
        <w:t>c</w:t>
      </w:r>
      <w:r w:rsidRPr="00583011">
        <w:rPr>
          <w:bCs/>
          <w:color w:val="004494"/>
          <w:sz w:val="28"/>
          <w:szCs w:val="28"/>
        </w:rPr>
        <w:t xml:space="preserve">omplex and </w:t>
      </w:r>
      <w:r w:rsidR="00F91B59">
        <w:rPr>
          <w:bCs/>
          <w:color w:val="004494"/>
          <w:sz w:val="28"/>
          <w:szCs w:val="28"/>
        </w:rPr>
        <w:t>s</w:t>
      </w:r>
      <w:r w:rsidRPr="00583011">
        <w:rPr>
          <w:bCs/>
          <w:color w:val="004494"/>
          <w:sz w:val="28"/>
          <w:szCs w:val="28"/>
        </w:rPr>
        <w:t xml:space="preserve">implified </w:t>
      </w:r>
      <w:r w:rsidR="00F91B59">
        <w:rPr>
          <w:bCs/>
          <w:color w:val="004494"/>
          <w:sz w:val="28"/>
          <w:szCs w:val="28"/>
        </w:rPr>
        <w:t>m</w:t>
      </w:r>
      <w:r w:rsidRPr="00583011">
        <w:rPr>
          <w:bCs/>
          <w:color w:val="004494"/>
          <w:sz w:val="28"/>
          <w:szCs w:val="28"/>
        </w:rPr>
        <w:t>odels</w:t>
      </w:r>
      <w:r>
        <w:rPr>
          <w:bCs/>
          <w:color w:val="004494"/>
          <w:sz w:val="28"/>
          <w:szCs w:val="28"/>
        </w:rPr>
        <w:t xml:space="preserve"> of </w:t>
      </w:r>
      <w:r w:rsidR="00F91B59">
        <w:rPr>
          <w:bCs/>
          <w:color w:val="004494"/>
          <w:sz w:val="28"/>
          <w:szCs w:val="28"/>
        </w:rPr>
        <w:t>t</w:t>
      </w:r>
      <w:r>
        <w:rPr>
          <w:bCs/>
          <w:color w:val="004494"/>
          <w:sz w:val="28"/>
          <w:szCs w:val="28"/>
        </w:rPr>
        <w:t xml:space="preserve">ipping </w:t>
      </w:r>
      <w:r w:rsidR="00F91B59">
        <w:rPr>
          <w:bCs/>
          <w:color w:val="004494"/>
          <w:sz w:val="28"/>
          <w:szCs w:val="28"/>
        </w:rPr>
        <w:t>e</w:t>
      </w:r>
      <w:r>
        <w:rPr>
          <w:bCs/>
          <w:color w:val="004494"/>
          <w:sz w:val="28"/>
          <w:szCs w:val="28"/>
        </w:rPr>
        <w:t>lements</w:t>
      </w:r>
      <w:r w:rsidRPr="00583011">
        <w:rPr>
          <w:bCs/>
          <w:color w:val="004494"/>
          <w:sz w:val="28"/>
          <w:szCs w:val="28"/>
        </w:rPr>
        <w:t xml:space="preserve">: </w:t>
      </w:r>
      <w:r w:rsidR="00F91B59">
        <w:rPr>
          <w:bCs/>
          <w:color w:val="004494"/>
          <w:sz w:val="28"/>
          <w:szCs w:val="28"/>
        </w:rPr>
        <w:t>a</w:t>
      </w:r>
      <w:r w:rsidRPr="00583011">
        <w:rPr>
          <w:bCs/>
          <w:color w:val="004494"/>
          <w:sz w:val="28"/>
          <w:szCs w:val="28"/>
        </w:rPr>
        <w:t xml:space="preserve"> </w:t>
      </w:r>
      <w:r w:rsidR="00F91B59">
        <w:rPr>
          <w:bCs/>
          <w:color w:val="004494"/>
          <w:sz w:val="28"/>
          <w:szCs w:val="28"/>
        </w:rPr>
        <w:t>n</w:t>
      </w:r>
      <w:r w:rsidRPr="00583011">
        <w:rPr>
          <w:bCs/>
          <w:color w:val="004494"/>
          <w:sz w:val="28"/>
          <w:szCs w:val="28"/>
        </w:rPr>
        <w:t xml:space="preserve">onlinear </w:t>
      </w:r>
      <w:r w:rsidR="00F91B59">
        <w:rPr>
          <w:bCs/>
          <w:color w:val="004494"/>
          <w:sz w:val="28"/>
          <w:szCs w:val="28"/>
        </w:rPr>
        <w:t>t</w:t>
      </w:r>
      <w:r w:rsidRPr="00583011">
        <w:rPr>
          <w:bCs/>
          <w:color w:val="004494"/>
          <w:sz w:val="28"/>
          <w:szCs w:val="28"/>
        </w:rPr>
        <w:t>wo-</w:t>
      </w:r>
      <w:r w:rsidR="00F91B59">
        <w:rPr>
          <w:bCs/>
          <w:color w:val="004494"/>
          <w:sz w:val="28"/>
          <w:szCs w:val="28"/>
        </w:rPr>
        <w:t>f</w:t>
      </w:r>
      <w:r w:rsidRPr="00583011">
        <w:rPr>
          <w:bCs/>
          <w:color w:val="004494"/>
          <w:sz w:val="28"/>
          <w:szCs w:val="28"/>
        </w:rPr>
        <w:t xml:space="preserve">orcing </w:t>
      </w:r>
      <w:r w:rsidR="00F91B59">
        <w:rPr>
          <w:bCs/>
          <w:color w:val="004494"/>
          <w:sz w:val="28"/>
          <w:szCs w:val="28"/>
        </w:rPr>
        <w:t>e</w:t>
      </w:r>
      <w:r w:rsidRPr="00583011">
        <w:rPr>
          <w:bCs/>
          <w:color w:val="004494"/>
          <w:sz w:val="28"/>
          <w:szCs w:val="28"/>
        </w:rPr>
        <w:t xml:space="preserve">mulator for the Atlantic </w:t>
      </w:r>
      <w:r w:rsidR="00F91B59">
        <w:rPr>
          <w:bCs/>
          <w:color w:val="004494"/>
          <w:sz w:val="28"/>
          <w:szCs w:val="28"/>
        </w:rPr>
        <w:t>m</w:t>
      </w:r>
      <w:r w:rsidRPr="00583011">
        <w:rPr>
          <w:bCs/>
          <w:color w:val="004494"/>
          <w:sz w:val="28"/>
          <w:szCs w:val="28"/>
        </w:rPr>
        <w:t xml:space="preserve">eridional </w:t>
      </w:r>
      <w:r w:rsidR="00F91B59">
        <w:rPr>
          <w:bCs/>
          <w:color w:val="004494"/>
          <w:sz w:val="28"/>
          <w:szCs w:val="28"/>
        </w:rPr>
        <w:t>o</w:t>
      </w:r>
      <w:r w:rsidRPr="00583011">
        <w:rPr>
          <w:bCs/>
          <w:color w:val="004494"/>
          <w:sz w:val="28"/>
          <w:szCs w:val="28"/>
        </w:rPr>
        <w:t xml:space="preserve">verturning </w:t>
      </w:r>
      <w:r w:rsidR="00F91B59">
        <w:rPr>
          <w:bCs/>
          <w:color w:val="004494"/>
          <w:sz w:val="28"/>
          <w:szCs w:val="28"/>
        </w:rPr>
        <w:t>c</w:t>
      </w:r>
      <w:r w:rsidRPr="00583011">
        <w:rPr>
          <w:bCs/>
          <w:color w:val="004494"/>
          <w:sz w:val="28"/>
          <w:szCs w:val="28"/>
        </w:rPr>
        <w:t>irculation</w:t>
      </w:r>
    </w:p>
    <w:p w14:paraId="7F5001AE" w14:textId="77777777" w:rsidR="00805B71" w:rsidRDefault="00805B71" w:rsidP="00805B71">
      <w:pPr>
        <w:pStyle w:val="Heading2"/>
      </w:pPr>
    </w:p>
    <w:p w14:paraId="3B5D640D" w14:textId="77777777" w:rsidR="00805B71" w:rsidRPr="0037063A" w:rsidRDefault="00805B71" w:rsidP="00805B71">
      <w:pPr>
        <w:rPr>
          <w:b/>
          <w:bCs/>
        </w:rPr>
      </w:pPr>
      <w:r w:rsidRPr="0037063A">
        <w:rPr>
          <w:b/>
          <w:bCs/>
        </w:rPr>
        <w:t>Amaury Laridon</w:t>
      </w:r>
      <w:r w:rsidRPr="0037063A">
        <w:rPr>
          <w:b/>
          <w:bCs/>
          <w:vertAlign w:val="superscript"/>
        </w:rPr>
        <w:t>1</w:t>
      </w:r>
      <w:r w:rsidRPr="0037063A">
        <w:rPr>
          <w:b/>
          <w:bCs/>
        </w:rPr>
        <w:t>, Victor Couplet</w:t>
      </w:r>
      <w:r w:rsidRPr="0037063A">
        <w:rPr>
          <w:b/>
          <w:bCs/>
          <w:vertAlign w:val="superscript"/>
        </w:rPr>
        <w:t>2</w:t>
      </w:r>
      <w:r w:rsidRPr="0037063A">
        <w:rPr>
          <w:b/>
          <w:bCs/>
        </w:rPr>
        <w:t>, Justin Gérard</w:t>
      </w:r>
      <w:r w:rsidRPr="0037063A">
        <w:rPr>
          <w:b/>
          <w:bCs/>
          <w:vertAlign w:val="superscript"/>
        </w:rPr>
        <w:t>2</w:t>
      </w:r>
      <w:r w:rsidRPr="0037063A">
        <w:rPr>
          <w:b/>
          <w:bCs/>
        </w:rPr>
        <w:t>, Wim Thiery</w:t>
      </w:r>
      <w:r w:rsidRPr="0037063A">
        <w:rPr>
          <w:b/>
          <w:bCs/>
          <w:vertAlign w:val="superscript"/>
        </w:rPr>
        <w:t>1</w:t>
      </w:r>
      <w:r w:rsidRPr="0037063A">
        <w:rPr>
          <w:b/>
          <w:bCs/>
        </w:rPr>
        <w:t>, Michel Crucifix</w:t>
      </w:r>
      <w:r w:rsidRPr="0037063A">
        <w:rPr>
          <w:b/>
          <w:bCs/>
          <w:vertAlign w:val="superscript"/>
        </w:rPr>
        <w:t>2</w:t>
      </w:r>
    </w:p>
    <w:p w14:paraId="08D419AC" w14:textId="77777777" w:rsidR="00805B71" w:rsidRPr="00C30D62" w:rsidRDefault="00805B71" w:rsidP="00805B71">
      <w:pPr>
        <w:pStyle w:val="BodyText"/>
      </w:pPr>
    </w:p>
    <w:p w14:paraId="4BE991E2" w14:textId="77777777" w:rsidR="00805B71" w:rsidRPr="004A49FD" w:rsidRDefault="00805B71" w:rsidP="00805B71">
      <w:pPr>
        <w:pStyle w:val="BodyText"/>
      </w:pPr>
      <w:r w:rsidRPr="004A49FD">
        <w:rPr>
          <w:vertAlign w:val="superscript"/>
        </w:rPr>
        <w:t>1</w:t>
      </w:r>
      <w:r w:rsidRPr="004A49FD">
        <w:t>Vrije Universiteit Brussel, Department of Water and Cli</w:t>
      </w:r>
      <w:r>
        <w:t xml:space="preserve">mate, </w:t>
      </w:r>
      <w:proofErr w:type="spellStart"/>
      <w:r>
        <w:t>bclimate</w:t>
      </w:r>
      <w:proofErr w:type="spellEnd"/>
      <w:r>
        <w:t xml:space="preserve"> Research Group, Brussels, Belgium.</w:t>
      </w:r>
    </w:p>
    <w:p w14:paraId="5A8E5FFE" w14:textId="77777777" w:rsidR="00805B71" w:rsidRDefault="00805B71" w:rsidP="00805B71">
      <w:pPr>
        <w:pStyle w:val="BodyText"/>
      </w:pPr>
      <w:r w:rsidRPr="004A49FD">
        <w:rPr>
          <w:vertAlign w:val="superscript"/>
        </w:rPr>
        <w:t>2</w:t>
      </w:r>
      <w:r>
        <w:t>UCLouvain, Earth and Life Institute, Louvain-La-Neuve, Belgium.</w:t>
      </w:r>
    </w:p>
    <w:p w14:paraId="23058BC3" w14:textId="77777777" w:rsidR="00805B71" w:rsidRDefault="00805B71" w:rsidP="00805B71">
      <w:pPr>
        <w:pStyle w:val="BodyText"/>
      </w:pPr>
      <w:r>
        <w:t xml:space="preserve">Corresponding author : </w:t>
      </w:r>
      <w:hyperlink r:id="rId11" w:history="1">
        <w:r w:rsidRPr="005D791C">
          <w:rPr>
            <w:rStyle w:val="Hyperlink"/>
          </w:rPr>
          <w:t>Amaury.Laridon@vub.be</w:t>
        </w:r>
      </w:hyperlink>
    </w:p>
    <w:p w14:paraId="26CF6E51" w14:textId="77777777" w:rsidR="00805B71" w:rsidRDefault="00805B71" w:rsidP="00805B71">
      <w:pPr>
        <w:pStyle w:val="Heading1"/>
      </w:pPr>
    </w:p>
    <w:p w14:paraId="7EC7CEEC" w14:textId="5CC2855A" w:rsidR="00805B71" w:rsidRDefault="00327C6D" w:rsidP="00805B71">
      <w:pPr>
        <w:pStyle w:val="BodyText"/>
        <w:rPr>
          <w:rFonts w:ascii="Arial" w:eastAsia="Arial" w:hAnsi="Arial" w:cs="Arial"/>
          <w:b/>
          <w:sz w:val="24"/>
          <w:szCs w:val="28"/>
        </w:rPr>
      </w:pPr>
      <w:r>
        <w:rPr>
          <w:rFonts w:ascii="Arial" w:eastAsia="Arial" w:hAnsi="Arial" w:cs="Arial"/>
          <w:b/>
          <w:sz w:val="24"/>
          <w:szCs w:val="28"/>
        </w:rPr>
        <w:t>S</w:t>
      </w:r>
      <w:r w:rsidR="00805B71">
        <w:rPr>
          <w:rFonts w:ascii="Arial" w:eastAsia="Arial" w:hAnsi="Arial" w:cs="Arial"/>
          <w:b/>
          <w:sz w:val="24"/>
          <w:szCs w:val="28"/>
        </w:rPr>
        <w:t>1. GIS Calibration</w:t>
      </w:r>
    </w:p>
    <w:p w14:paraId="525A2819" w14:textId="77777777" w:rsidR="00805B71" w:rsidRDefault="00805B71" w:rsidP="00805B71">
      <w:pPr>
        <w:pStyle w:val="BodyText"/>
        <w:rPr>
          <w:rFonts w:ascii="Arial" w:eastAsia="Arial" w:hAnsi="Arial" w:cs="Arial"/>
          <w:b/>
          <w:sz w:val="24"/>
          <w:szCs w:val="28"/>
        </w:rPr>
      </w:pPr>
    </w:p>
    <w:p w14:paraId="72B5052A" w14:textId="4C5E856A" w:rsidR="008E383C" w:rsidRPr="00EB58A0" w:rsidRDefault="00EB58A0" w:rsidP="008E383C">
      <w:r w:rsidRPr="00A56999">
        <w:t xml:space="preserve">In this section, we illustrate the calculations in the case where one would also wish to calibrate the GIS by </w:t>
      </w:r>
      <w:r w:rsidRPr="003856BF">
        <w:t>modelling</w:t>
      </w:r>
      <w:r w:rsidRPr="00A56999">
        <w:t xml:space="preserve"> it with a double-fold dynamics involving two forcing variables. For illustration purposes, we assume that the two main forcings driving the evolution of the GIS volume are the global mean </w:t>
      </w:r>
      <w:r>
        <w:t xml:space="preserve">atmospheric </w:t>
      </w:r>
      <w:r w:rsidRPr="00A56999">
        <w:t>temperature and the AMOC intensity. Beyond the physical relevance, this choice is interesting because it would allow for a coupled emulator of the AMOC and the GIS as tipping elements.</w:t>
      </w:r>
      <w:r>
        <w:t xml:space="preserve"> </w:t>
      </w:r>
      <w:r w:rsidRPr="00EB58A0">
        <w:t>Thus, we assume the following form to model the GIS while accounting for the stabilizing effect of a weakened AMOC.</w:t>
      </w:r>
    </w:p>
    <w:p w14:paraId="5E80A924" w14:textId="77777777" w:rsidR="00805B71" w:rsidRPr="00EB58A0"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0"/>
        <w:gridCol w:w="506"/>
      </w:tblGrid>
      <w:tr w:rsidR="00805B71" w14:paraId="7C632F13" w14:textId="77777777" w:rsidTr="001B7E8F">
        <w:tc>
          <w:tcPr>
            <w:tcW w:w="9564" w:type="dxa"/>
          </w:tcPr>
          <w:p w14:paraId="08E5A99E" w14:textId="77777777" w:rsidR="00805B71" w:rsidRDefault="00000000" w:rsidP="001B7E8F">
            <m:oMathPara>
              <m:oMath>
                <m:f>
                  <m:fPr>
                    <m:ctrlPr>
                      <w:rPr>
                        <w:rFonts w:ascii="Cambria Math" w:hAnsi="Cambria Math"/>
                      </w:rPr>
                    </m:ctrlPr>
                  </m:fPr>
                  <m:num>
                    <m:r>
                      <w:rPr>
                        <w:rFonts w:ascii="Cambria Math" w:hAnsi="Cambria Math"/>
                      </w:rPr>
                      <m:t>dV</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21</m:t>
                        </m:r>
                      </m:sub>
                    </m:sSub>
                    <m:d>
                      <m:dPr>
                        <m:ctrlPr>
                          <w:rPr>
                            <w:rFonts w:ascii="Cambria Math" w:hAnsi="Cambria Math"/>
                            <w:i/>
                          </w:rPr>
                        </m:ctrlPr>
                      </m:dPr>
                      <m:e>
                        <m:r>
                          <w:rPr>
                            <w:rFonts w:ascii="Cambria Math" w:hAnsi="Cambria Math"/>
                          </w:rPr>
                          <m:t>1-</m:t>
                        </m:r>
                        <m:r>
                          <m:rPr>
                            <m:sty m:val="p"/>
                          </m:rPr>
                          <w:rPr>
                            <w:rFonts w:ascii="Cambria Math" w:hAnsi="Cambria Math"/>
                          </w:rPr>
                          <m:t>Ψ</m:t>
                        </m:r>
                      </m:e>
                    </m:d>
                  </m:e>
                </m:d>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V</m:t>
                    </m:r>
                  </m:sub>
                </m:sSub>
                <m:d>
                  <m:dPr>
                    <m:ctrlPr>
                      <w:rPr>
                        <w:rFonts w:ascii="Cambria Math" w:hAnsi="Cambria Math"/>
                        <w:i/>
                      </w:rPr>
                    </m:ctrlPr>
                  </m:dPr>
                  <m:e>
                    <m:r>
                      <w:rPr>
                        <w:rFonts w:ascii="Cambria Math" w:hAnsi="Cambria Math"/>
                      </w:rPr>
                      <m:t>V</m:t>
                    </m:r>
                  </m:e>
                </m:d>
                <m:r>
                  <w:rPr>
                    <w:rFonts w:ascii="Cambria Math" w:hAnsi="Cambria Math"/>
                  </w:rPr>
                  <m:t>.</m:t>
                </m:r>
              </m:oMath>
            </m:oMathPara>
          </w:p>
        </w:tc>
        <w:tc>
          <w:tcPr>
            <w:tcW w:w="506" w:type="dxa"/>
            <w:vAlign w:val="center"/>
          </w:tcPr>
          <w:p w14:paraId="6DA8B636" w14:textId="77777777" w:rsidR="00805B71" w:rsidRDefault="00805B71" w:rsidP="001B7E8F">
            <w:r>
              <w:t>(a)</w:t>
            </w:r>
          </w:p>
        </w:tc>
      </w:tr>
    </w:tbl>
    <w:p w14:paraId="0411D6AE" w14:textId="77777777" w:rsidR="00805B71" w:rsidRDefault="00805B71" w:rsidP="00805B71"/>
    <w:p w14:paraId="3B657E8B" w14:textId="5A3E1BFD" w:rsidR="00805B71" w:rsidRDefault="00805B71" w:rsidP="00805B71">
      <w:r w:rsidRPr="00871C1A">
        <w:t xml:space="preserve">For the GIS, we must calibrate the coefficients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871C1A">
        <w:t xml:space="preserve">​, and </w:t>
      </w:r>
      <m:oMath>
        <m:sSub>
          <m:sSubPr>
            <m:ctrlPr>
              <w:rPr>
                <w:rFonts w:ascii="Cambria Math" w:hAnsi="Cambria Math"/>
                <w:i/>
              </w:rPr>
            </m:ctrlPr>
          </m:sSubPr>
          <m:e>
            <m:r>
              <w:rPr>
                <w:rFonts w:ascii="Cambria Math" w:hAnsi="Cambria Math"/>
              </w:rPr>
              <m:t>e</m:t>
            </m:r>
          </m:e>
          <m:sub>
            <m:r>
              <w:rPr>
                <w:rFonts w:ascii="Cambria Math" w:hAnsi="Cambria Math"/>
              </w:rPr>
              <m:t>21</m:t>
            </m:r>
          </m:sub>
        </m:sSub>
      </m:oMath>
      <w:r w:rsidRPr="00871C1A">
        <w:t xml:space="preserve">​. In this case, the same operational assumptions described for the application of the calibration module to the AMOC are applicable. Specifically, two calibration experiments are required: one providing the evolution of the GIS volume over time under forcing exclusively by the temperature anomaly while keeping the AMOC intensity fixed, and another under the opposite condition, where the GIS volume evolves with forcing exclusively by the AMOC intensity. </w:t>
      </w:r>
      <w:r w:rsidR="00AC725D" w:rsidRPr="003856BF">
        <w:t>In other words, it is necessary to have a complex model of the GIS capable of producing both of these experiments. In this context, the coordinates of the bifurcation points are denoted as,</w:t>
      </w:r>
    </w:p>
    <w:p w14:paraId="3FB47037" w14:textId="77777777" w:rsidR="00805B71"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7"/>
        <w:gridCol w:w="519"/>
      </w:tblGrid>
      <w:tr w:rsidR="00805B71" w14:paraId="45137621" w14:textId="77777777" w:rsidTr="001B7E8F">
        <w:tc>
          <w:tcPr>
            <w:tcW w:w="9776" w:type="dxa"/>
          </w:tcPr>
          <w:p w14:paraId="0841C008" w14:textId="77777777" w:rsidR="00805B71" w:rsidRDefault="00000000" w:rsidP="001B7E8F">
            <m:oMathPara>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V</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r>
                          <w:rPr>
                            <w:rFonts w:ascii="Cambria Math" w:hAnsi="Cambria Math"/>
                          </w:rPr>
                          <m:t>V</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V</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r>
                          <w:rPr>
                            <w:rFonts w:ascii="Cambria Math" w:hAnsi="Cambria Math"/>
                          </w:rPr>
                          <m:t>V</m:t>
                        </m:r>
                      </m:sub>
                      <m:sup>
                        <m:r>
                          <m:rPr>
                            <m:sty m:val="p"/>
                          </m:rPr>
                          <w:rPr>
                            <w:rFonts w:ascii="Cambria Math" w:hAnsi="Cambria Math"/>
                          </w:rPr>
                          <m:t>-</m:t>
                        </m:r>
                      </m:sup>
                    </m:sSubSup>
                  </m:e>
                </m:d>
                <m:r>
                  <m:rPr>
                    <m:sty m:val="p"/>
                  </m:rPr>
                  <w:rPr>
                    <w:rFonts w:ascii="Cambria Math" w:hAnsi="Cambria Math"/>
                  </w:rPr>
                  <m:t>.</m:t>
                </m:r>
              </m:oMath>
            </m:oMathPara>
          </w:p>
        </w:tc>
        <w:tc>
          <w:tcPr>
            <w:tcW w:w="284" w:type="dxa"/>
            <w:vAlign w:val="center"/>
          </w:tcPr>
          <w:p w14:paraId="5D70A269" w14:textId="77777777" w:rsidR="00805B71" w:rsidRDefault="00805B71" w:rsidP="001B7E8F">
            <w:r>
              <w:t>(b)</w:t>
            </w:r>
          </w:p>
        </w:tc>
      </w:tr>
    </w:tbl>
    <w:p w14:paraId="16A79D9E" w14:textId="77777777" w:rsidR="00805B71" w:rsidRPr="00871C1A" w:rsidRDefault="00805B71" w:rsidP="00805B71"/>
    <w:p w14:paraId="375670C5" w14:textId="626FC685" w:rsidR="00805B71" w:rsidRDefault="00805B71" w:rsidP="00805B71">
      <w:r w:rsidRPr="00C604ED">
        <w:t xml:space="preserve">We denote </w:t>
      </w:r>
      <m:oMath>
        <m:r>
          <w:rPr>
            <w:rFonts w:ascii="Cambria Math" w:hAnsi="Cambria Math"/>
          </w:rPr>
          <m:t>EXPC</m:t>
        </m:r>
      </m:oMath>
      <w:r w:rsidRPr="00C604ED">
        <w:t xml:space="preserve"> as the first calibration experiment of the GIS volume</w:t>
      </w:r>
      <w:r>
        <w:t xml:space="preserve"> </w:t>
      </w:r>
      <w:r w:rsidR="00BA0F1C">
        <w:t xml:space="preserve">with respect to the </w:t>
      </w:r>
      <w:r w:rsidR="00AE5EBA">
        <w:t xml:space="preserve">global mean </w:t>
      </w:r>
      <w:r w:rsidRPr="00C604ED">
        <w:t>temperature</w:t>
      </w:r>
      <w:r w:rsidR="00AE5EBA">
        <w:t xml:space="preserve"> anomaly. In this </w:t>
      </w:r>
      <w:r w:rsidR="00A351B9">
        <w:t xml:space="preserve">initial </w:t>
      </w:r>
      <w:r w:rsidR="00AE5EBA">
        <w:t>sensitivity experiment</w:t>
      </w:r>
      <w:r w:rsidRPr="00C604ED">
        <w:t xml:space="preserve">, </w:t>
      </w:r>
      <w:r w:rsidR="00A351B9">
        <w:t>the</w:t>
      </w:r>
      <w:r w:rsidR="009B106A">
        <w:t xml:space="preserve"> </w:t>
      </w:r>
      <w:r w:rsidRPr="00C604ED">
        <w:t xml:space="preserve">forcing </w:t>
      </w:r>
      <w:r w:rsidR="009B106A">
        <w:t xml:space="preserve">from </w:t>
      </w:r>
      <w:r w:rsidRPr="00C604ED">
        <w:t>AMOC intensity is held constant at an</w:t>
      </w:r>
      <w:r>
        <w:t xml:space="preserve"> </w:t>
      </w:r>
      <w:r w:rsidRPr="00C604ED">
        <w:t>arbitrary value</w:t>
      </w:r>
      <w:r w:rsidR="00EE3330">
        <w:t>, denoted</w:t>
      </w:r>
      <w:r w:rsidRPr="009F3065">
        <w:t xml:space="preserve">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V</m:t>
            </m:r>
          </m:sub>
        </m:sSub>
        <m:r>
          <w:rPr>
            <w:rFonts w:ascii="Cambria Math" w:hAnsi="Cambria Math"/>
          </w:rPr>
          <m:t>=</m:t>
        </m:r>
        <m:sSubSup>
          <m:sSubSupPr>
            <m:ctrlPr>
              <w:rPr>
                <w:rFonts w:ascii="Cambria Math" w:hAnsi="Cambria Math"/>
                <w:i/>
              </w:rPr>
            </m:ctrlPr>
          </m:sSubSupPr>
          <m:e>
            <m:r>
              <m:rPr>
                <m:sty m:val="p"/>
              </m:rPr>
              <w:rPr>
                <w:rFonts w:ascii="Cambria Math" w:hAnsi="Cambria Math"/>
              </w:rPr>
              <m:t>Ψ</m:t>
            </m:r>
          </m:e>
          <m:sub>
            <m:r>
              <w:rPr>
                <w:rFonts w:ascii="Cambria Math" w:hAnsi="Cambria Math"/>
              </w:rPr>
              <m:t>V</m:t>
            </m:r>
          </m:sub>
          <m:sup>
            <m:r>
              <w:rPr>
                <w:rFonts w:ascii="Cambria Math" w:hAnsi="Cambria Math"/>
              </w:rPr>
              <m:t>C</m:t>
            </m:r>
          </m:sup>
        </m:sSubSup>
      </m:oMath>
      <w:r w:rsidRPr="00C604ED">
        <w:t>. In this case, Eq.(2) is written as,</w:t>
      </w:r>
    </w:p>
    <w:p w14:paraId="0A30FC27" w14:textId="77777777" w:rsidR="00805B71"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gridCol w:w="495"/>
      </w:tblGrid>
      <w:tr w:rsidR="00805B71" w14:paraId="20474486" w14:textId="77777777" w:rsidTr="001B7E8F">
        <w:tc>
          <w:tcPr>
            <w:tcW w:w="9634" w:type="dxa"/>
          </w:tcPr>
          <w:p w14:paraId="14461BB1" w14:textId="77777777" w:rsidR="00805B71" w:rsidRPr="001F018E" w:rsidRDefault="00000000" w:rsidP="001B7E8F">
            <m:oMathPara>
              <m:oMath>
                <m:f>
                  <m:fPr>
                    <m:ctrlPr>
                      <w:rPr>
                        <w:rFonts w:ascii="Cambria Math" w:hAnsi="Cambria Math"/>
                      </w:rPr>
                    </m:ctrlPr>
                  </m:fPr>
                  <m:num>
                    <m:r>
                      <w:rPr>
                        <w:rFonts w:ascii="Cambria Math" w:hAnsi="Cambria Math"/>
                      </w:rPr>
                      <m:t>dV</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Ψ</m:t>
                            </m:r>
                          </m:e>
                          <m:sup>
                            <m:r>
                              <w:rPr>
                                <w:rFonts w:ascii="Cambria Math" w:hAnsi="Cambria Math"/>
                              </w:rPr>
                              <m:t>C</m:t>
                            </m:r>
                          </m:sup>
                        </m:sSup>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T</m:t>
                    </m:r>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V</m:t>
                    </m:r>
                  </m:sub>
                </m:sSub>
                <m:d>
                  <m:dPr>
                    <m:ctrlPr>
                      <w:rPr>
                        <w:rFonts w:ascii="Cambria Math" w:hAnsi="Cambria Math"/>
                        <w:i/>
                      </w:rPr>
                    </m:ctrlPr>
                  </m:dPr>
                  <m:e>
                    <m:r>
                      <w:rPr>
                        <w:rFonts w:ascii="Cambria Math" w:hAnsi="Cambria Math"/>
                      </w:rPr>
                      <m:t>V</m:t>
                    </m:r>
                  </m:e>
                </m:d>
                <m:r>
                  <w:rPr>
                    <w:rFonts w:ascii="Cambria Math" w:hAnsi="Cambria Math"/>
                  </w:rPr>
                  <m:t>.</m:t>
                </m:r>
              </m:oMath>
            </m:oMathPara>
          </w:p>
        </w:tc>
        <w:tc>
          <w:tcPr>
            <w:tcW w:w="426" w:type="dxa"/>
            <w:vAlign w:val="center"/>
          </w:tcPr>
          <w:p w14:paraId="60A11FA1" w14:textId="77777777" w:rsidR="00805B71" w:rsidRDefault="00805B71" w:rsidP="001B7E8F">
            <w:r>
              <w:t>(c)</w:t>
            </w:r>
          </w:p>
        </w:tc>
      </w:tr>
    </w:tbl>
    <w:p w14:paraId="691C84C5" w14:textId="77777777" w:rsidR="00805B71" w:rsidRPr="009F3065" w:rsidRDefault="00805B71" w:rsidP="00805B71"/>
    <w:p w14:paraId="061E6D56" w14:textId="77777777" w:rsidR="00805B71" w:rsidRDefault="00805B71" w:rsidP="00805B71">
      <w:r w:rsidRPr="00C26CAE">
        <w:t>This first sensitivity experiment provides us with the data for the following bifurcation points,</w:t>
      </w:r>
    </w:p>
    <w:p w14:paraId="585521B5" w14:textId="77777777" w:rsidR="00805B71"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5"/>
        <w:gridCol w:w="521"/>
      </w:tblGrid>
      <w:tr w:rsidR="00805B71" w14:paraId="29085447" w14:textId="77777777" w:rsidTr="001B7E8F">
        <w:tc>
          <w:tcPr>
            <w:tcW w:w="9549" w:type="dxa"/>
          </w:tcPr>
          <w:p w14:paraId="54FAEFB3" w14:textId="77777777" w:rsidR="00805B71" w:rsidRPr="00C26CAE" w:rsidRDefault="00805B71" w:rsidP="001B7E8F">
            <m:oMathPara>
              <m:oMath>
                <m:r>
                  <m:rPr>
                    <m:lit/>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e>
                </m:d>
                <m:r>
                  <m:rPr>
                    <m:lit/>
                  </m:rPr>
                  <w:rPr>
                    <w:rFonts w:ascii="Cambria Math" w:hAnsi="Cambria Math"/>
                  </w:rPr>
                  <m:t>}</m:t>
                </m:r>
                <m:r>
                  <w:rPr>
                    <w:rFonts w:ascii="Cambria Math" w:hAnsi="Cambria Math"/>
                  </w:rPr>
                  <m:t>.</m:t>
                </m:r>
              </m:oMath>
            </m:oMathPara>
          </w:p>
        </w:tc>
        <w:tc>
          <w:tcPr>
            <w:tcW w:w="521" w:type="dxa"/>
          </w:tcPr>
          <w:p w14:paraId="39CA82CA" w14:textId="77777777" w:rsidR="00805B71" w:rsidRDefault="00805B71" w:rsidP="001B7E8F">
            <w:r>
              <w:t>(d)</w:t>
            </w:r>
          </w:p>
        </w:tc>
      </w:tr>
    </w:tbl>
    <w:p w14:paraId="3F95F9EA" w14:textId="77777777" w:rsidR="00805B71" w:rsidRDefault="00805B71" w:rsidP="00805B71">
      <w:pPr>
        <w:rPr>
          <w:lang w:val="fr-BE"/>
        </w:rPr>
      </w:pPr>
    </w:p>
    <w:p w14:paraId="77A162D7" w14:textId="7E908623" w:rsidR="00805B71" w:rsidRDefault="00805B71" w:rsidP="00805B71">
      <w:pPr>
        <w:rPr>
          <w:lang w:val="fr-BE"/>
        </w:rPr>
      </w:pPr>
      <w:r w:rsidRPr="00BF0E9D">
        <w:t>In this case with a single forcing variable, the method of Martinez-Monteiro et al.</w:t>
      </w:r>
      <w:r>
        <w:fldChar w:fldCharType="begin"/>
      </w:r>
      <w:r w:rsidR="00275483">
        <w:instrText xml:space="preserve"> ADDIN ZOTERO_ITEM CSL_CITATION {"citationID":"bC9FN1dp","properties":{"formattedCitation":"(47)","plainCitation":"(47)","noteIndex":0},"citationItems":[{"id":444,"uris":["http://zotero.org/users/7129331/items/NUYTQ2VV"],"itemData":{"id":444,"type":"article-journal","abstract":"We present SURFER, a novel reduced model for estimating the impact of CO2 emissions and solar radiation modification options on sea level rise and ocean acidification over timescales of several thousands of years. SURFER has been designed for the analysis of CO2 emission and solar radiation modification policies, for supporting the computation of optimal (CO2 emission and solar radiation modification) policies and for the study of commitment and responsibility under uncertainty. The model is based on a combination of conservation laws for the masses of atmospheric and oceanic carbon and for the oceanic temperature anomalies, and of ad-hoc parameterisations for the different sea level rise contributors: ice sheets, glaciers and ocean thermal expansion. It consists of 9 loosely coupled ordinary differential equations, is understandable, fast and easy to modify and calibrate. It reproduces the results of more sophisticated, high-dimensional earth system models on timescales up to millennia.","container-title":"Geoscientific Model Development","DOI":"10.5194/gmd-15-8059-2022","ISSN":"1991-959X","issue":"21","language":"English","note":"publisher: Copernicus GmbH","page":"8059-8084","source":"Copernicus Online Journals","title":"SURFER v2.0: a flexible and simple model linking anthropogenic CO&lt;sub&gt;2&lt;/sub&gt; emissions and solar radiation modification to ocean acidification and sea level rise","title-short":"SURFER v2.0","volume":"15","author":[{"family":"Martínez Montero","given":"Marina"},{"family":"Crucifix","given":"Michel"},{"family":"Couplet","given":"Victor"},{"family":"Brede","given":"Nuria"},{"family":"Botta","given":"Nicola"}],"issued":{"date-parts":[["2022",11,9]]}}}],"schema":"https://github.com/citation-style-language/schema/raw/master/csl-citation.json"} </w:instrText>
      </w:r>
      <w:r>
        <w:fldChar w:fldCharType="separate"/>
      </w:r>
      <w:r w:rsidR="00275483" w:rsidRPr="00275483">
        <w:t>(47)</w:t>
      </w:r>
      <w:r>
        <w:fldChar w:fldCharType="end"/>
      </w:r>
      <w:r w:rsidRPr="00BF0E9D">
        <w:rPr>
          <w:lang w:val="fr-BE"/>
        </w:rPr>
        <w:t xml:space="preserve"> </w:t>
      </w:r>
      <w:proofErr w:type="spellStart"/>
      <w:r>
        <w:rPr>
          <w:lang w:val="fr-BE"/>
        </w:rPr>
        <w:t>yields</w:t>
      </w:r>
      <w:proofErr w:type="spellEnd"/>
      <w:r w:rsidRPr="00BF0E9D">
        <w:rPr>
          <w:lang w:val="fr-BE"/>
        </w:rPr>
        <w:t>,</w:t>
      </w:r>
    </w:p>
    <w:p w14:paraId="0559D456" w14:textId="77777777" w:rsidR="00805B71" w:rsidRDefault="00805B71" w:rsidP="00805B71">
      <w:pPr>
        <w:rPr>
          <w:lang w:val="fr-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6"/>
        <w:gridCol w:w="520"/>
      </w:tblGrid>
      <w:tr w:rsidR="00805B71" w14:paraId="5DF25866" w14:textId="77777777" w:rsidTr="001B7E8F">
        <w:tc>
          <w:tcPr>
            <w:tcW w:w="9634" w:type="dxa"/>
          </w:tcPr>
          <w:p w14:paraId="62338F07" w14:textId="77777777" w:rsidR="00805B71" w:rsidRPr="00641066" w:rsidRDefault="00000000" w:rsidP="001B7E8F">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m:oMathPara>
          </w:p>
        </w:tc>
        <w:tc>
          <w:tcPr>
            <w:tcW w:w="426" w:type="dxa"/>
            <w:vAlign w:val="center"/>
          </w:tcPr>
          <w:p w14:paraId="6F02EAB0" w14:textId="77777777" w:rsidR="00805B71" w:rsidRDefault="00805B71" w:rsidP="001B7E8F">
            <w:r>
              <w:t>(e)</w:t>
            </w:r>
          </w:p>
        </w:tc>
      </w:tr>
      <w:tr w:rsidR="00805B71" w14:paraId="5DC6F5D5" w14:textId="77777777" w:rsidTr="001B7E8F">
        <w:tc>
          <w:tcPr>
            <w:tcW w:w="9634" w:type="dxa"/>
          </w:tcPr>
          <w:p w14:paraId="353621A3" w14:textId="77777777" w:rsidR="00805B71" w:rsidRPr="00641066" w:rsidRDefault="00000000" w:rsidP="001B7E8F">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tc>
        <w:tc>
          <w:tcPr>
            <w:tcW w:w="426" w:type="dxa"/>
            <w:vAlign w:val="center"/>
          </w:tcPr>
          <w:p w14:paraId="78B54939" w14:textId="77777777" w:rsidR="00805B71" w:rsidRDefault="00805B71" w:rsidP="001B7E8F">
            <w:r>
              <w:t>(f)</w:t>
            </w:r>
          </w:p>
        </w:tc>
      </w:tr>
      <w:tr w:rsidR="00805B71" w14:paraId="2B12F67B" w14:textId="77777777" w:rsidTr="001B7E8F">
        <w:tc>
          <w:tcPr>
            <w:tcW w:w="9634" w:type="dxa"/>
          </w:tcPr>
          <w:p w14:paraId="34D1DC66" w14:textId="77777777" w:rsidR="00805B71" w:rsidRPr="007715C3" w:rsidRDefault="00000000" w:rsidP="001B7E8F">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Ψ</m:t>
                        </m:r>
                      </m:e>
                      <m:sup>
                        <m:r>
                          <w:rPr>
                            <w:rFonts w:ascii="Cambria Math" w:hAnsi="Cambria Math"/>
                          </w:rPr>
                          <m:t>C</m:t>
                        </m:r>
                      </m:sup>
                    </m:sSup>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m:t>
                            </m:r>
                          </m:sup>
                        </m:sSup>
                      </m:e>
                    </m:d>
                    <m:ctrlPr>
                      <w:rPr>
                        <w:rFonts w:ascii="Cambria Math" w:hAnsi="Cambria Math"/>
                        <w:i/>
                      </w:rPr>
                    </m:ctrlPr>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e>
                    </m:d>
                    <m:ctrlPr>
                      <w:rPr>
                        <w:rFonts w:ascii="Cambria Math" w:hAnsi="Cambria Math"/>
                        <w:i/>
                      </w:rPr>
                    </m:ctrlPr>
                  </m:den>
                </m:f>
                <m:r>
                  <w:rPr>
                    <w:rFonts w:ascii="Cambria Math" w:hAnsi="Cambria Math"/>
                  </w:rPr>
                  <m:t>,</m:t>
                </m:r>
              </m:oMath>
            </m:oMathPara>
          </w:p>
        </w:tc>
        <w:tc>
          <w:tcPr>
            <w:tcW w:w="426" w:type="dxa"/>
            <w:vAlign w:val="center"/>
          </w:tcPr>
          <w:p w14:paraId="7200FDBB" w14:textId="77777777" w:rsidR="00805B71" w:rsidRDefault="00805B71" w:rsidP="001B7E8F">
            <w:r>
              <w:t>(g)</w:t>
            </w:r>
          </w:p>
        </w:tc>
      </w:tr>
      <w:tr w:rsidR="00805B71" w14:paraId="67B55D0B" w14:textId="77777777" w:rsidTr="001B7E8F">
        <w:tc>
          <w:tcPr>
            <w:tcW w:w="9634" w:type="dxa"/>
          </w:tcPr>
          <w:p w14:paraId="118696CA" w14:textId="77777777" w:rsidR="00805B71" w:rsidRPr="007715C3" w:rsidRDefault="00000000" w:rsidP="001B7E8F">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3</m:t>
                        </m:r>
                      </m:sup>
                    </m:sSup>
                    <m:ctrlPr>
                      <w:rPr>
                        <w:rFonts w:ascii="Cambria Math" w:hAnsi="Cambria Math"/>
                        <w:i/>
                      </w:rPr>
                    </m:ctrlPr>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e>
                    </m:d>
                    <m:ctrlPr>
                      <w:rPr>
                        <w:rFonts w:ascii="Cambria Math" w:hAnsi="Cambria Math"/>
                        <w:i/>
                      </w:rPr>
                    </m:ctrlPr>
                  </m:den>
                </m:f>
                <m:r>
                  <w:rPr>
                    <w:rFonts w:ascii="Cambria Math" w:hAnsi="Cambria Math"/>
                  </w:rPr>
                  <m:t>.</m:t>
                </m:r>
              </m:oMath>
            </m:oMathPara>
          </w:p>
        </w:tc>
        <w:tc>
          <w:tcPr>
            <w:tcW w:w="426" w:type="dxa"/>
            <w:vAlign w:val="center"/>
          </w:tcPr>
          <w:p w14:paraId="73538F82" w14:textId="77777777" w:rsidR="00805B71" w:rsidRDefault="00805B71" w:rsidP="001B7E8F">
            <w:r>
              <w:t>(h)</w:t>
            </w:r>
          </w:p>
        </w:tc>
      </w:tr>
    </w:tbl>
    <w:p w14:paraId="16D3F760" w14:textId="77777777" w:rsidR="00805B71" w:rsidRDefault="00805B71" w:rsidP="00805B71"/>
    <w:p w14:paraId="38313A55" w14:textId="18EEFC3A" w:rsidR="00805B71" w:rsidRDefault="00805B71" w:rsidP="00805B71">
      <w:r w:rsidRPr="00CB5AE9">
        <w:t xml:space="preserve">Finally, we refer to </w:t>
      </w:r>
      <m:oMath>
        <m:r>
          <w:rPr>
            <w:rFonts w:ascii="Cambria Math" w:hAnsi="Cambria Math"/>
          </w:rPr>
          <m:t>EXPD</m:t>
        </m:r>
      </m:oMath>
      <w:r>
        <w:t xml:space="preserve"> </w:t>
      </w:r>
      <w:r w:rsidRPr="00CB5AE9">
        <w:t>as the second sensitivity experiment in which we fix the global mean</w:t>
      </w:r>
      <w:r>
        <w:t xml:space="preserve"> </w:t>
      </w:r>
      <w:r w:rsidRPr="00CB5AE9">
        <w:t xml:space="preserve">temperature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D</m:t>
            </m:r>
          </m:sup>
        </m:sSubSup>
      </m:oMath>
      <w:r>
        <w:t xml:space="preserve"> </w:t>
      </w:r>
      <w:r w:rsidRPr="00CB5AE9">
        <w:t xml:space="preserve">at an arbitrary value but vary the intensity of the AMOC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V</m:t>
            </m:r>
          </m:sub>
        </m:sSub>
      </m:oMath>
      <w:r w:rsidRPr="00CB5AE9">
        <w:t>. This</w:t>
      </w:r>
      <w:r>
        <w:t xml:space="preserve"> </w:t>
      </w:r>
      <w:r w:rsidRPr="00CB5AE9">
        <w:t>sensitivity experiment provides us with the coordinates of the following bifurcation points,</w:t>
      </w:r>
    </w:p>
    <w:p w14:paraId="25C5642A" w14:textId="77777777" w:rsidR="00CE65DA" w:rsidRDefault="00CE65DA"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9"/>
        <w:gridCol w:w="457"/>
      </w:tblGrid>
      <w:tr w:rsidR="00805B71" w14:paraId="33AF07C3" w14:textId="77777777" w:rsidTr="001B7E8F">
        <w:tc>
          <w:tcPr>
            <w:tcW w:w="9634" w:type="dxa"/>
          </w:tcPr>
          <w:p w14:paraId="22C6386D" w14:textId="77777777" w:rsidR="00805B71" w:rsidRPr="00FA54CF" w:rsidRDefault="00805B71" w:rsidP="001B7E8F">
            <m:oMathPara>
              <m:oMath>
                <m:r>
                  <m:rPr>
                    <m:lit/>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m:rPr>
                            <m:sty m:val="p"/>
                          </m:rPr>
                          <w:rPr>
                            <w:rFonts w:ascii="Cambria Math" w:hAnsi="Cambria Math"/>
                          </w:rPr>
                          <m:t>Ψ</m:t>
                        </m:r>
                      </m:e>
                      <m:sub>
                        <m:r>
                          <w:rPr>
                            <w:rFonts w:ascii="Cambria Math" w:hAnsi="Cambria Math"/>
                          </w:rPr>
                          <m:t>V</m:t>
                        </m:r>
                      </m:sub>
                      <m:sup>
                        <m:r>
                          <w:rPr>
                            <w:rFonts w:ascii="Cambria Math" w:hAnsi="Cambria Math"/>
                          </w:rPr>
                          <m:t>+</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m:rPr>
                            <m:sty m:val="p"/>
                          </m:rPr>
                          <w:rPr>
                            <w:rFonts w:ascii="Cambria Math" w:hAnsi="Cambria Math"/>
                          </w:rPr>
                          <m:t>Ψ</m:t>
                        </m:r>
                      </m:e>
                      <m:sub>
                        <m:r>
                          <w:rPr>
                            <w:rFonts w:ascii="Cambria Math" w:hAnsi="Cambria Math"/>
                          </w:rPr>
                          <m:t>V</m:t>
                        </m:r>
                      </m:sub>
                      <m:sup>
                        <m:r>
                          <w:rPr>
                            <w:rFonts w:ascii="Cambria Math" w:hAnsi="Cambria Math"/>
                          </w:rPr>
                          <m:t>-</m:t>
                        </m:r>
                      </m:sup>
                    </m:sSubSup>
                  </m:e>
                </m:d>
                <m:r>
                  <m:rPr>
                    <m:lit/>
                  </m:rPr>
                  <w:rPr>
                    <w:rFonts w:ascii="Cambria Math" w:hAnsi="Cambria Math"/>
                  </w:rPr>
                  <m:t>}</m:t>
                </m:r>
              </m:oMath>
            </m:oMathPara>
          </w:p>
        </w:tc>
        <w:tc>
          <w:tcPr>
            <w:tcW w:w="426" w:type="dxa"/>
          </w:tcPr>
          <w:p w14:paraId="296F7382" w14:textId="77777777" w:rsidR="00805B71" w:rsidRDefault="00805B71" w:rsidP="001B7E8F">
            <w:r>
              <w:t>(</w:t>
            </w:r>
            <w:proofErr w:type="spellStart"/>
            <w:r>
              <w:t>i</w:t>
            </w:r>
            <w:proofErr w:type="spellEnd"/>
            <w:r>
              <w:t>)</w:t>
            </w:r>
          </w:p>
        </w:tc>
      </w:tr>
    </w:tbl>
    <w:p w14:paraId="5CC98CE5" w14:textId="77777777" w:rsidR="00805B71" w:rsidRDefault="00805B71" w:rsidP="00805B71"/>
    <w:p w14:paraId="3B2F0ADA" w14:textId="77777777" w:rsidR="00805B71" w:rsidRDefault="00805B71" w:rsidP="00805B71">
      <w:r w:rsidRPr="00FA54CF">
        <w:t>while equation Eq.(2) takes the following form:</w:t>
      </w:r>
    </w:p>
    <w:p w14:paraId="16C028FC" w14:textId="77777777" w:rsidR="00805B71"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2"/>
        <w:gridCol w:w="454"/>
      </w:tblGrid>
      <w:tr w:rsidR="00805B71" w14:paraId="54982C0C" w14:textId="77777777" w:rsidTr="001B7E8F">
        <w:tc>
          <w:tcPr>
            <w:tcW w:w="9634" w:type="dxa"/>
          </w:tcPr>
          <w:p w14:paraId="64F11294" w14:textId="77777777" w:rsidR="00805B71" w:rsidRPr="0082526D" w:rsidRDefault="00000000" w:rsidP="001B7E8F">
            <m:oMathPara>
              <m:oMath>
                <m:f>
                  <m:fPr>
                    <m:ctrlPr>
                      <w:rPr>
                        <w:rFonts w:ascii="Cambria Math" w:hAnsi="Cambria Math"/>
                      </w:rPr>
                    </m:ctrlPr>
                  </m:fPr>
                  <m:num>
                    <m:r>
                      <w:rPr>
                        <w:rFonts w:ascii="Cambria Math" w:hAnsi="Cambria Math"/>
                      </w:rPr>
                      <m:t>dV</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21</m:t>
                        </m:r>
                      </m:sub>
                    </m:sSub>
                    <m:d>
                      <m:dPr>
                        <m:ctrlPr>
                          <w:rPr>
                            <w:rFonts w:ascii="Cambria Math" w:hAnsi="Cambria Math"/>
                            <w:i/>
                          </w:rPr>
                        </m:ctrlPr>
                      </m:dPr>
                      <m:e>
                        <m:r>
                          <w:rPr>
                            <w:rFonts w:ascii="Cambria Math" w:hAnsi="Cambria Math"/>
                          </w:rPr>
                          <m:t>1-</m:t>
                        </m:r>
                        <m:r>
                          <m:rPr>
                            <m:sty m:val="p"/>
                          </m:rPr>
                          <w:rPr>
                            <w:rFonts w:ascii="Cambria Math" w:hAnsi="Cambria Math"/>
                          </w:rPr>
                          <m:t>Ψ</m:t>
                        </m:r>
                      </m:e>
                    </m:d>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V</m:t>
                    </m:r>
                  </m:sub>
                </m:sSub>
                <m:d>
                  <m:dPr>
                    <m:ctrlPr>
                      <w:rPr>
                        <w:rFonts w:ascii="Cambria Math" w:hAnsi="Cambria Math"/>
                        <w:i/>
                      </w:rPr>
                    </m:ctrlPr>
                  </m:dPr>
                  <m:e>
                    <m:r>
                      <w:rPr>
                        <w:rFonts w:ascii="Cambria Math" w:hAnsi="Cambria Math"/>
                      </w:rPr>
                      <m:t>V</m:t>
                    </m:r>
                  </m:e>
                </m:d>
                <m:r>
                  <w:rPr>
                    <w:rFonts w:ascii="Cambria Math" w:hAnsi="Cambria Math"/>
                  </w:rPr>
                  <m:t>.</m:t>
                </m:r>
              </m:oMath>
            </m:oMathPara>
          </w:p>
        </w:tc>
        <w:tc>
          <w:tcPr>
            <w:tcW w:w="426" w:type="dxa"/>
            <w:vAlign w:val="center"/>
          </w:tcPr>
          <w:p w14:paraId="0F62991A" w14:textId="77777777" w:rsidR="00805B71" w:rsidRDefault="00805B71" w:rsidP="001B7E8F">
            <w:r>
              <w:t>(j)</w:t>
            </w:r>
          </w:p>
        </w:tc>
      </w:tr>
    </w:tbl>
    <w:p w14:paraId="6CDEABA3" w14:textId="77777777" w:rsidR="00805B71" w:rsidRDefault="00805B71" w:rsidP="00805B71"/>
    <w:p w14:paraId="356B7FE8" w14:textId="77777777" w:rsidR="00805B71" w:rsidRDefault="00805B71" w:rsidP="00805B71">
      <w:r w:rsidRPr="0082526D">
        <w:t>We cannot apply exactly the same calculation procedures for the coefficients due to the formulation</w:t>
      </w:r>
      <w:r>
        <w:t xml:space="preserve"> </w:t>
      </w:r>
      <w:r w:rsidRPr="0082526D">
        <w:t xml:space="preserve">of the AMOC forcing, which has a different form than those encountered before. </w:t>
      </w:r>
      <w:r w:rsidRPr="000A3B11">
        <w:t xml:space="preserve">We need to slightly adjust the calculation for the coefficients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21</m:t>
            </m:r>
          </m:sub>
        </m:sSub>
      </m:oMath>
      <w:r>
        <w:t xml:space="preserve"> </w:t>
      </w:r>
      <w:r w:rsidRPr="000A3B11">
        <w:t>although the methodology to find them remains the same as above. Therefore, we obtain:</w:t>
      </w:r>
    </w:p>
    <w:p w14:paraId="7816AC23" w14:textId="77777777" w:rsidR="00805B71"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2"/>
        <w:gridCol w:w="514"/>
      </w:tblGrid>
      <w:tr w:rsidR="00805B71" w14:paraId="7A9A402B" w14:textId="77777777" w:rsidTr="001B7E8F">
        <w:tc>
          <w:tcPr>
            <w:tcW w:w="9556" w:type="dxa"/>
          </w:tcPr>
          <w:p w14:paraId="18D6B826" w14:textId="77777777" w:rsidR="00805B71" w:rsidRPr="008C1ED7" w:rsidRDefault="00000000" w:rsidP="001B7E8F">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D</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V</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21</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m:rPr>
                            <m:sty m:val="p"/>
                          </m:rPr>
                          <w:rPr>
                            <w:rFonts w:ascii="Cambria Math" w:hAnsi="Cambria Math"/>
                          </w:rPr>
                          <m:t>Ψ</m:t>
                        </m:r>
                      </m:e>
                      <m:sub>
                        <m:r>
                          <w:rPr>
                            <w:rFonts w:ascii="Cambria Math" w:hAnsi="Cambria Math"/>
                          </w:rPr>
                          <m:t>V</m:t>
                        </m:r>
                      </m:sub>
                      <m:sup>
                        <m:r>
                          <w:rPr>
                            <w:rFonts w:ascii="Cambria Math" w:hAnsi="Cambria Math"/>
                          </w:rPr>
                          <m:t>+</m:t>
                        </m:r>
                      </m:sup>
                    </m:sSubSup>
                  </m:e>
                </m:d>
                <m:r>
                  <w:rPr>
                    <w:rFonts w:ascii="Cambria Math" w:hAnsi="Cambria Math"/>
                  </w:rPr>
                  <m:t>,</m:t>
                </m:r>
              </m:oMath>
            </m:oMathPara>
          </w:p>
        </w:tc>
        <w:tc>
          <w:tcPr>
            <w:tcW w:w="514" w:type="dxa"/>
            <w:vAlign w:val="center"/>
          </w:tcPr>
          <w:p w14:paraId="00633FFB" w14:textId="77777777" w:rsidR="00805B71" w:rsidRDefault="00805B71" w:rsidP="001B7E8F">
            <w:r>
              <w:t>(k)</w:t>
            </w:r>
          </w:p>
        </w:tc>
      </w:tr>
      <w:tr w:rsidR="00805B71" w14:paraId="5CCA5ECD" w14:textId="77777777" w:rsidTr="001B7E8F">
        <w:tc>
          <w:tcPr>
            <w:tcW w:w="9556" w:type="dxa"/>
          </w:tcPr>
          <w:p w14:paraId="0A9CB679" w14:textId="77777777" w:rsidR="00805B71" w:rsidRPr="008C1ED7" w:rsidRDefault="00000000" w:rsidP="001B7E8F">
            <m:oMathPara>
              <m:oMath>
                <m:sSub>
                  <m:sSubPr>
                    <m:ctrlPr>
                      <w:rPr>
                        <w:rFonts w:ascii="Cambria Math" w:hAnsi="Cambria Math"/>
                        <w:i/>
                      </w:rPr>
                    </m:ctrlPr>
                  </m:sSubPr>
                  <m:e>
                    <m:r>
                      <w:rPr>
                        <w:rFonts w:ascii="Cambria Math" w:hAnsi="Cambria Math"/>
                      </w:rPr>
                      <m:t>e</m:t>
                    </m:r>
                  </m:e>
                  <m:sub>
                    <m:r>
                      <w:rPr>
                        <w:rFonts w:ascii="Cambria Math" w:hAnsi="Cambria Math"/>
                      </w:rPr>
                      <m:t>21</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3</m:t>
                        </m:r>
                      </m:sup>
                    </m:sSup>
                    <m:ctrlPr>
                      <w:rPr>
                        <w:rFonts w:ascii="Cambria Math" w:hAnsi="Cambria Math"/>
                        <w:i/>
                      </w:rPr>
                    </m:ctrlPr>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Ψ</m:t>
                            </m:r>
                          </m:e>
                          <m:sub>
                            <m:r>
                              <w:rPr>
                                <w:rFonts w:ascii="Cambria Math" w:hAnsi="Cambria Math"/>
                              </w:rPr>
                              <m:t>V</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Ψ</m:t>
                            </m:r>
                          </m:e>
                          <m:sub>
                            <m:r>
                              <w:rPr>
                                <w:rFonts w:ascii="Cambria Math" w:hAnsi="Cambria Math"/>
                              </w:rPr>
                              <m:t>V</m:t>
                            </m:r>
                          </m:sub>
                          <m:sup>
                            <m:r>
                              <w:rPr>
                                <w:rFonts w:ascii="Cambria Math" w:hAnsi="Cambria Math"/>
                              </w:rPr>
                              <m:t>+</m:t>
                            </m:r>
                          </m:sup>
                        </m:sSubSup>
                      </m:e>
                    </m:d>
                    <m:ctrlPr>
                      <w:rPr>
                        <w:rFonts w:ascii="Cambria Math" w:hAnsi="Cambria Math"/>
                        <w:i/>
                      </w:rPr>
                    </m:ctrlPr>
                  </m:den>
                </m:f>
                <m:r>
                  <w:rPr>
                    <w:rFonts w:ascii="Cambria Math" w:hAnsi="Cambria Math"/>
                  </w:rPr>
                  <m:t>.</m:t>
                </m:r>
              </m:oMath>
            </m:oMathPara>
          </w:p>
        </w:tc>
        <w:tc>
          <w:tcPr>
            <w:tcW w:w="514" w:type="dxa"/>
            <w:vAlign w:val="center"/>
          </w:tcPr>
          <w:p w14:paraId="391103C5" w14:textId="77777777" w:rsidR="00805B71" w:rsidRDefault="00805B71" w:rsidP="001B7E8F">
            <w:r>
              <w:t>(l)</w:t>
            </w:r>
          </w:p>
        </w:tc>
      </w:tr>
    </w:tbl>
    <w:p w14:paraId="5BB0E122" w14:textId="77777777" w:rsidR="0070345A" w:rsidRDefault="0070345A" w:rsidP="00805B71"/>
    <w:p w14:paraId="7447F0D6" w14:textId="748F158D" w:rsidR="0045579A" w:rsidRPr="00A56999" w:rsidRDefault="0045579A" w:rsidP="0045579A">
      <w:r w:rsidRPr="00A56999">
        <w:t>An example of an application exploring the potential effects of cascading and coupling between the AMOC and the GIS can be found in the MSc Thesis of A. Laridon</w:t>
      </w:r>
      <w:r>
        <w:t xml:space="preserve"> (52)</w:t>
      </w:r>
      <w:r w:rsidRPr="00A56999">
        <w:t xml:space="preserve">, in which such simulations are performed and </w:t>
      </w:r>
      <w:r w:rsidR="001D493A" w:rsidRPr="00A56999">
        <w:t>analysed</w:t>
      </w:r>
      <w:r w:rsidRPr="00A56999">
        <w:t>. However, in that work, the GIS was not calibrated using a complex model of its dynamics; instead, parameter values from the literature (Armstrong McKay et al. (2022)) were used to calibrate the GIS emulator, which nevertheless included both forcing variables.</w:t>
      </w:r>
      <w:r>
        <w:t xml:space="preserve"> </w:t>
      </w:r>
      <w:r w:rsidRPr="00A56999">
        <w:t>The aim of the MSc Thesis was to demonstrate the relevance of this emulator-based approach, using two forcing variables, for studying the joint evolution of the AMOC and the GIS under realistic emission scenarios.</w:t>
      </w:r>
    </w:p>
    <w:p w14:paraId="592A00F8" w14:textId="77777777" w:rsidR="00805B71" w:rsidRDefault="00805B71" w:rsidP="00805B71"/>
    <w:p w14:paraId="3B741BC3" w14:textId="2D82B459" w:rsidR="00805B71" w:rsidRDefault="00327C6D" w:rsidP="00805B71">
      <w:pPr>
        <w:pStyle w:val="BodyText"/>
        <w:rPr>
          <w:rFonts w:ascii="Arial" w:eastAsia="Arial" w:hAnsi="Arial" w:cs="Arial"/>
          <w:b/>
          <w:sz w:val="24"/>
          <w:szCs w:val="28"/>
        </w:rPr>
      </w:pPr>
      <w:r>
        <w:rPr>
          <w:rFonts w:ascii="Arial" w:eastAsia="Arial" w:hAnsi="Arial" w:cs="Arial"/>
          <w:b/>
          <w:sz w:val="24"/>
          <w:szCs w:val="28"/>
        </w:rPr>
        <w:t>S</w:t>
      </w:r>
      <w:r w:rsidR="00805B71">
        <w:rPr>
          <w:rFonts w:ascii="Arial" w:eastAsia="Arial" w:hAnsi="Arial" w:cs="Arial"/>
          <w:b/>
          <w:sz w:val="24"/>
          <w:szCs w:val="28"/>
        </w:rPr>
        <w:t>2. Parameterization of the AMOC with Three Forcing Variables</w:t>
      </w:r>
    </w:p>
    <w:p w14:paraId="7059D05E" w14:textId="77777777" w:rsidR="00805B71" w:rsidRDefault="00805B71" w:rsidP="00805B71">
      <w:pPr>
        <w:pStyle w:val="BodyText"/>
        <w:rPr>
          <w:rFonts w:ascii="Arial" w:eastAsia="Arial" w:hAnsi="Arial" w:cs="Arial"/>
          <w:b/>
          <w:sz w:val="24"/>
          <w:szCs w:val="28"/>
        </w:rPr>
      </w:pPr>
    </w:p>
    <w:p w14:paraId="409B9FC2" w14:textId="3E7FFD73" w:rsidR="00805B71" w:rsidRPr="00FC3439" w:rsidRDefault="00805B71" w:rsidP="00805B71">
      <w:r>
        <w:t>We</w:t>
      </w:r>
      <w:r w:rsidRPr="001874BD">
        <w:t xml:space="preserve"> present an example of a generalization of the ATCM in the case where a</w:t>
      </w:r>
      <w:r>
        <w:t xml:space="preserve"> </w:t>
      </w:r>
      <w:r w:rsidRPr="001874BD">
        <w:t>third forcing variable is added to the AMOC. Physically, it is interesting to separate the freshwater</w:t>
      </w:r>
      <w:r>
        <w:t xml:space="preserve"> </w:t>
      </w:r>
      <w:r w:rsidRPr="001874BD">
        <w:t>flux forcing into two components:</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GIS</m:t>
            </m:r>
          </m:sub>
        </m:sSub>
      </m:oMath>
      <w:r w:rsidRPr="001874BD">
        <w:t>, associated with the melting of the GIS, and</w:t>
      </w:r>
      <w:r>
        <w:t xml:space="preserve">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sidRPr="001874BD">
        <w:t xml:space="preserve">, </w:t>
      </w:r>
      <w:r w:rsidR="0086030C" w:rsidRPr="0086030C">
        <w:t xml:space="preserve">which represents </w:t>
      </w:r>
      <w:r w:rsidR="00C21BCC">
        <w:t xml:space="preserve">any </w:t>
      </w:r>
      <w:r w:rsidR="0086030C" w:rsidRPr="0086030C">
        <w:t>other changes in freshwater fluxes.</w:t>
      </w:r>
      <w:r w:rsidR="00C21BCC">
        <w:t xml:space="preserve"> </w:t>
      </w:r>
      <w:r w:rsidR="00C21BCC" w:rsidRPr="00C21BCC">
        <w:t xml:space="preserve">For instance,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sidR="00C21BCC">
        <w:t xml:space="preserve"> </w:t>
      </w:r>
      <w:r w:rsidR="00CD1611">
        <w:t>could</w:t>
      </w:r>
      <w:r w:rsidR="00C21BCC" w:rsidRPr="00C21BCC">
        <w:t xml:space="preserve"> be interpreted as the effect of continental glacier melt.</w:t>
      </w:r>
      <w:r w:rsidRPr="00C21BCC">
        <w:t xml:space="preserve"> </w:t>
      </w:r>
      <w:r w:rsidRPr="001874BD">
        <w:t>In this context, Laridon</w:t>
      </w:r>
      <w:r>
        <w:t xml:space="preserve"> </w:t>
      </w:r>
      <w:r>
        <w:fldChar w:fldCharType="begin"/>
      </w:r>
      <w:r w:rsidR="00F91B59">
        <w:instrText xml:space="preserve"> ADDIN ZOTERO_ITEM CSL_CITATION {"citationID":"bhJ8TR3U","properties":{"formattedCitation":"(52)","plainCitation":"(52)","noteIndex":0},"citationItems":[{"id":6380,"uris":["http://zotero.org/users/7129331/items/6E7749B7"],"itemData":{"id":6380,"type":"thesis","language":"English","number-of-pages":"185","publisher":"UCLouvain","title":"Development of a Simplified Dynamics Emulator and Investigation of Cascading Collapses of the AMOC and Greenland Ice Sheet in a Climate Model","URL":"https://dial.uclouvain.be/memoire/ucl/object/thesis:46552","author":[{"family":"Laridon","given":"Amaury."}],"issued":{"date-parts":[["2024",6,24]]}}}],"schema":"https://github.com/citation-style-language/schema/raw/master/csl-citation.json"} </w:instrText>
      </w:r>
      <w:r>
        <w:fldChar w:fldCharType="separate"/>
      </w:r>
      <w:r w:rsidR="00F91B59" w:rsidRPr="00F91B59">
        <w:t>(52)</w:t>
      </w:r>
      <w:r>
        <w:fldChar w:fldCharType="end"/>
      </w:r>
      <w:r w:rsidRPr="001874BD">
        <w:t xml:space="preserve"> developed</w:t>
      </w:r>
      <w:r>
        <w:t xml:space="preserve"> </w:t>
      </w:r>
      <w:r w:rsidRPr="001874BD">
        <w:t>the following parameterization, labelled</w:t>
      </w:r>
      <w:r>
        <w:t xml:space="preserve"> </w:t>
      </w:r>
      <m:oMath>
        <m:r>
          <w:rPr>
            <w:rFonts w:ascii="Cambria Math" w:hAnsi="Cambria Math"/>
          </w:rPr>
          <m:t>ParamB</m:t>
        </m:r>
      </m:oMath>
      <w:r w:rsidRPr="001874BD">
        <w:t>, for the AMOC model.</w:t>
      </w:r>
    </w:p>
    <w:p w14:paraId="2D4CA7D3" w14:textId="77777777" w:rsidR="00805B71" w:rsidRDefault="00805B71" w:rsidP="00805B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1"/>
        <w:gridCol w:w="585"/>
      </w:tblGrid>
      <w:tr w:rsidR="00805B71" w14:paraId="23979BFC" w14:textId="77777777" w:rsidTr="001B7E8F">
        <w:tc>
          <w:tcPr>
            <w:tcW w:w="9485" w:type="dxa"/>
          </w:tcPr>
          <w:p w14:paraId="70CF1507" w14:textId="77777777" w:rsidR="00805B71" w:rsidRPr="00900636" w:rsidRDefault="00000000" w:rsidP="001B7E8F">
            <m:oMathPara>
              <m:oMath>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Ψ</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Ψ</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12</m:t>
                        </m:r>
                      </m:sub>
                    </m:sSub>
                    <m:sSub>
                      <m:sSubPr>
                        <m:ctrlPr>
                          <w:rPr>
                            <w:rFonts w:ascii="Cambria Math" w:hAnsi="Cambria Math"/>
                            <w:i/>
                          </w:rPr>
                        </m:ctrlPr>
                      </m:sSubPr>
                      <m:e>
                        <m:r>
                          <w:rPr>
                            <w:rFonts w:ascii="Cambria Math" w:hAnsi="Cambria Math"/>
                          </w:rPr>
                          <m:t>F</m:t>
                        </m:r>
                      </m:e>
                      <m:sub>
                        <m:r>
                          <w:rPr>
                            <w:rFonts w:ascii="Cambria Math" w:hAnsi="Cambria Math"/>
                          </w:rPr>
                          <m:t>GIS</m:t>
                        </m:r>
                      </m:sub>
                    </m:sSub>
                    <m:d>
                      <m:dPr>
                        <m:ctrlPr>
                          <w:rPr>
                            <w:rFonts w:ascii="Cambria Math" w:hAnsi="Cambria Math"/>
                            <w:i/>
                          </w:rPr>
                        </m:ctrlPr>
                      </m:dPr>
                      <m:e>
                        <m:r>
                          <w:rPr>
                            <w:rFonts w:ascii="Cambria Math" w:hAnsi="Cambria Math"/>
                          </w:rPr>
                          <m:t>V</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O</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m:rPr>
                        <m:sty m:val="p"/>
                      </m:rPr>
                      <w:rPr>
                        <w:rFonts w:ascii="Cambria Math" w:hAnsi="Cambria Math"/>
                      </w:rPr>
                      <m:t>Ψ</m:t>
                    </m:r>
                  </m:sub>
                </m:sSub>
                <m:d>
                  <m:dPr>
                    <m:ctrlPr>
                      <w:rPr>
                        <w:rFonts w:ascii="Cambria Math" w:hAnsi="Cambria Math"/>
                        <w:i/>
                      </w:rPr>
                    </m:ctrlPr>
                  </m:dPr>
                  <m:e>
                    <m:r>
                      <m:rPr>
                        <m:sty m:val="p"/>
                      </m:rPr>
                      <w:rPr>
                        <w:rFonts w:ascii="Cambria Math" w:hAnsi="Cambria Math"/>
                      </w:rPr>
                      <m:t>Ψ</m:t>
                    </m:r>
                  </m:e>
                </m:d>
                <m:r>
                  <w:rPr>
                    <w:rFonts w:ascii="Cambria Math" w:hAnsi="Cambria Math"/>
                  </w:rPr>
                  <m:t>.</m:t>
                </m:r>
              </m:oMath>
            </m:oMathPara>
          </w:p>
        </w:tc>
        <w:tc>
          <w:tcPr>
            <w:tcW w:w="585" w:type="dxa"/>
            <w:vAlign w:val="center"/>
          </w:tcPr>
          <w:p w14:paraId="5366A368" w14:textId="77777777" w:rsidR="00805B71" w:rsidRDefault="00805B71" w:rsidP="001B7E8F">
            <w:r>
              <w:t>(m)</w:t>
            </w:r>
          </w:p>
        </w:tc>
      </w:tr>
    </w:tbl>
    <w:p w14:paraId="0A47C5CD" w14:textId="77777777" w:rsidR="00805B71" w:rsidRDefault="00805B71" w:rsidP="00805B71">
      <w:pPr>
        <w:rPr>
          <w:lang w:val="fr-BE"/>
        </w:rPr>
      </w:pPr>
    </w:p>
    <w:p w14:paraId="6488EF9C" w14:textId="4CD10D82" w:rsidR="00442B21" w:rsidRDefault="00805B71" w:rsidP="00805B71">
      <w:pPr>
        <w:rPr>
          <w:i/>
          <w:iCs/>
        </w:rPr>
      </w:pPr>
      <w:r w:rsidRPr="00C87853">
        <w:t xml:space="preserve">To apply the ATCM calibration module, an additional calibration experiment using a complex model is required. This experiment aims to perturb the AMOC by introducing a freshwater flux </w:t>
      </w:r>
      <w:r w:rsidR="000D6676" w:rsidRPr="000D6676">
        <w:t>representing variability in glacier melt, while keeping the freshwater flux from GIS melting and the temperature anomaly constant.</w:t>
      </w:r>
      <w:r>
        <w:t xml:space="preserve"> </w:t>
      </w:r>
      <w:r w:rsidRPr="0023696E">
        <w:t>In this example with the AMOC, the operational</w:t>
      </w:r>
      <w:r>
        <w:t xml:space="preserve"> </w:t>
      </w:r>
      <w:r w:rsidRPr="0023696E">
        <w:t>framework becomes more challenging to implement; however, we can still easily derive the</w:t>
      </w:r>
      <w:r>
        <w:t xml:space="preserve"> </w:t>
      </w:r>
      <w:r w:rsidRPr="0023696E">
        <w:t>values of the calibration parameters, including the new parameter</w:t>
      </w:r>
      <w:r>
        <w:t xml:space="preserve"> </w:t>
      </w:r>
      <m:oMath>
        <m:r>
          <w:rPr>
            <w:rFonts w:ascii="Cambria Math" w:hAnsi="Cambria Math"/>
          </w:rPr>
          <m:t>f</m:t>
        </m:r>
      </m:oMath>
      <w:r w:rsidRPr="0023696E">
        <w:t>. One observes the inherent</w:t>
      </w:r>
      <w:r>
        <w:t xml:space="preserve"> </w:t>
      </w:r>
      <w:r w:rsidRPr="0023696E">
        <w:t>limitation of generalizing to more forcing variables in this calibration method, namely that</w:t>
      </w:r>
      <w:r>
        <w:t xml:space="preserve"> </w:t>
      </w:r>
      <w:r w:rsidRPr="0023696E">
        <w:t xml:space="preserve">the independent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w:r w:rsidRPr="0023696E">
        <w:t>will now be determined by three factors rather than two. This</w:t>
      </w:r>
      <w:r>
        <w:t xml:space="preserve"> </w:t>
      </w:r>
      <w:r w:rsidRPr="0023696E">
        <w:t xml:space="preserve">introduces a new source of error, and the trade-off in the value at which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23696E">
        <w:t xml:space="preserve"> should be calibrated</w:t>
      </w:r>
      <w:r>
        <w:t xml:space="preserve"> </w:t>
      </w:r>
      <w:r w:rsidRPr="0023696E">
        <w:t>will involve balancing three dynamics, rather than just two. Further details, as well as the</w:t>
      </w:r>
      <w:r>
        <w:t xml:space="preserve"> </w:t>
      </w:r>
      <w:r w:rsidRPr="0023696E">
        <w:t>calculated values of the coefficients, can be found in Laridon</w:t>
      </w:r>
      <w:r>
        <w:t xml:space="preserve"> </w:t>
      </w:r>
      <w:r>
        <w:fldChar w:fldCharType="begin"/>
      </w:r>
      <w:r w:rsidR="00F91B59">
        <w:instrText xml:space="preserve"> ADDIN ZOTERO_ITEM CSL_CITATION {"citationID":"NF7Cyqe7","properties":{"formattedCitation":"(52)","plainCitation":"(52)","noteIndex":0},"citationItems":[{"id":6380,"uris":["http://zotero.org/users/7129331/items/6E7749B7"],"itemData":{"id":6380,"type":"thesis","language":"English","number-of-pages":"185","publisher":"UCLouvain","title":"Development of a Simplified Dynamics Emulator and Investigation of Cascading Collapses of the AMOC and Greenland Ice Sheet in a Climate Model","URL":"https://dial.uclouvain.be/memoire/ucl/object/thesis:46552","author":[{"family":"Laridon","given":"Amaury."}],"issued":{"date-parts":[["2024",6,24]]}}}],"schema":"https://github.com/citation-style-language/schema/raw/master/csl-citation.json"} </w:instrText>
      </w:r>
      <w:r>
        <w:fldChar w:fldCharType="separate"/>
      </w:r>
      <w:r w:rsidR="00F91B59" w:rsidRPr="00F91B59">
        <w:t>(52)</w:t>
      </w:r>
      <w:r>
        <w:fldChar w:fldCharType="end"/>
      </w:r>
      <w:r w:rsidRPr="0023696E">
        <w:t xml:space="preserve"> and in the </w:t>
      </w:r>
      <w:r w:rsidRPr="0023696E">
        <w:lastRenderedPageBreak/>
        <w:t xml:space="preserve">notebook </w:t>
      </w:r>
      <w:r w:rsidRPr="0023696E">
        <w:rPr>
          <w:i/>
          <w:iCs/>
        </w:rPr>
        <w:t>SURFER</w:t>
      </w:r>
      <w:r w:rsidR="006272AC">
        <w:rPr>
          <w:i/>
          <w:iCs/>
        </w:rPr>
        <w:t>_pre3.0_</w:t>
      </w:r>
      <w:r w:rsidRPr="0023696E">
        <w:rPr>
          <w:i/>
          <w:iCs/>
        </w:rPr>
        <w:t>ATCM.ipynb.</w:t>
      </w:r>
    </w:p>
    <w:p w14:paraId="3FC0A5A5" w14:textId="77777777" w:rsidR="00206779" w:rsidRDefault="00206779" w:rsidP="00805B71">
      <w:pPr>
        <w:rPr>
          <w:i/>
          <w:iCs/>
        </w:rPr>
      </w:pPr>
    </w:p>
    <w:p w14:paraId="004E3E13" w14:textId="74A0AE59" w:rsidR="00805B71" w:rsidRDefault="00327C6D" w:rsidP="00805B71">
      <w:pPr>
        <w:pStyle w:val="BodyText"/>
        <w:rPr>
          <w:rFonts w:ascii="Arial" w:eastAsia="Arial" w:hAnsi="Arial" w:cs="Arial"/>
          <w:b/>
          <w:sz w:val="24"/>
          <w:szCs w:val="28"/>
        </w:rPr>
      </w:pPr>
      <w:r>
        <w:rPr>
          <w:rFonts w:ascii="Arial" w:eastAsia="Arial" w:hAnsi="Arial" w:cs="Arial"/>
          <w:b/>
          <w:sz w:val="24"/>
          <w:szCs w:val="28"/>
        </w:rPr>
        <w:t>S</w:t>
      </w:r>
      <w:r w:rsidR="00805B71">
        <w:rPr>
          <w:rFonts w:ascii="Arial" w:eastAsia="Arial" w:hAnsi="Arial" w:cs="Arial"/>
          <w:b/>
          <w:sz w:val="24"/>
          <w:szCs w:val="28"/>
        </w:rPr>
        <w:t xml:space="preserve">3. </w:t>
      </w:r>
      <w:r w:rsidR="00C13DB3">
        <w:rPr>
          <w:rFonts w:ascii="Arial" w:eastAsia="Arial" w:hAnsi="Arial" w:cs="Arial"/>
          <w:b/>
          <w:sz w:val="24"/>
          <w:szCs w:val="28"/>
        </w:rPr>
        <w:t xml:space="preserve">Supplementary Figures </w:t>
      </w:r>
    </w:p>
    <w:p w14:paraId="54B009FC" w14:textId="702630A0" w:rsidR="00805B71" w:rsidRDefault="00896149" w:rsidP="00963305">
      <w:pPr>
        <w:pStyle w:val="BodyText"/>
        <w:jc w:val="center"/>
        <w:rPr>
          <w:rFonts w:ascii="Arial" w:eastAsia="Arial" w:hAnsi="Arial" w:cs="Arial"/>
          <w:b/>
          <w:sz w:val="24"/>
          <w:szCs w:val="28"/>
        </w:rPr>
      </w:pPr>
      <w:r>
        <w:rPr>
          <w:rFonts w:ascii="Arial" w:eastAsia="Arial" w:hAnsi="Arial" w:cs="Arial"/>
          <w:b/>
          <w:noProof/>
          <w:sz w:val="24"/>
          <w:szCs w:val="28"/>
        </w:rPr>
        <w:drawing>
          <wp:inline distT="0" distB="0" distL="0" distR="0" wp14:anchorId="04246024" wp14:editId="3EF74E0E">
            <wp:extent cx="3717985" cy="1858993"/>
            <wp:effectExtent l="0" t="0" r="0" b="8255"/>
            <wp:docPr id="1248559517" name="Picture 5"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59517" name="Picture 5" descr="A graph with a red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8139" cy="1869070"/>
                    </a:xfrm>
                    <a:prstGeom prst="rect">
                      <a:avLst/>
                    </a:prstGeom>
                  </pic:spPr>
                </pic:pic>
              </a:graphicData>
            </a:graphic>
          </wp:inline>
        </w:drawing>
      </w:r>
    </w:p>
    <w:p w14:paraId="1E617826" w14:textId="7258E374" w:rsidR="00C45DB3" w:rsidRDefault="00C45DB3" w:rsidP="00C45DB3">
      <w:pPr>
        <w:pStyle w:val="BodyText"/>
      </w:pPr>
      <w:r w:rsidRPr="00C41B09">
        <w:rPr>
          <w:b/>
          <w:bCs/>
        </w:rPr>
        <w:t xml:space="preserve">Supplementary Figure 1 | Temperature forcing in the calibration experiment </w:t>
      </w:r>
      <m:oMath>
        <m:r>
          <m:rPr>
            <m:sty m:val="bi"/>
          </m:rPr>
          <w:rPr>
            <w:rFonts w:ascii="Cambria Math" w:hAnsi="Cambria Math"/>
          </w:rPr>
          <m:t>EXPA</m:t>
        </m:r>
      </m:oMath>
      <w:r>
        <w:rPr>
          <w:b/>
          <w:bCs/>
        </w:rPr>
        <w:t xml:space="preserve"> within cGENIE</w:t>
      </w:r>
      <w:r w:rsidRPr="00C41B09">
        <w:rPr>
          <w:b/>
          <w:bCs/>
        </w:rPr>
        <w:t>.</w:t>
      </w:r>
      <w:r>
        <w:t xml:space="preserve"> </w:t>
      </w:r>
      <m:oMath>
        <m:r>
          <w:rPr>
            <w:rFonts w:ascii="Cambria Math" w:hAnsi="Cambria Math"/>
          </w:rPr>
          <m:t>EXPA</m:t>
        </m:r>
      </m:oMath>
      <w:r w:rsidRPr="00C41B09">
        <w:t xml:space="preserve">, consist of a 20,000-year simulation with a prescribed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w:t>
      </w:r>
      <w:r w:rsidRPr="00C41B09">
        <w:t xml:space="preserve">forcing </w:t>
      </w:r>
      <w:r w:rsidR="00F47AD9">
        <w:t>increasing linearly fro</w:t>
      </w:r>
      <w:r w:rsidR="00405394">
        <w:t>m</w:t>
      </w:r>
      <w:r w:rsidR="00F47AD9">
        <w:t xml:space="preserve"> </w:t>
      </w:r>
      <w:r w:rsidRPr="00C41B09">
        <w:t>280 ppm to 2,800 ppm. Through the internal dynamics</w:t>
      </w:r>
      <w:r>
        <w:t xml:space="preserve"> </w:t>
      </w:r>
      <w:r w:rsidRPr="00C41B09">
        <w:t xml:space="preserve">of </w:t>
      </w:r>
      <w:r>
        <w:t>cGENIE</w:t>
      </w:r>
      <w:r w:rsidRPr="00C41B09">
        <w:t>, this forcing translated into a global mean 2-meter surface air temperature anomaly,</w:t>
      </w:r>
      <w:r>
        <w:t xml:space="preserve"> </w:t>
      </w:r>
      <w:r w:rsidRPr="00C41B09">
        <w:t xml:space="preserve">starting from </w:t>
      </w:r>
      <m:oMath>
        <m:r>
          <w:rPr>
            <w:rFonts w:ascii="Cambria Math" w:hAnsi="Cambria Math"/>
          </w:rPr>
          <m:t>T=0</m:t>
        </m:r>
      </m:oMath>
      <w:r>
        <w:t xml:space="preserve"> °C </w:t>
      </w:r>
      <w:r w:rsidRPr="00C41B09">
        <w:t xml:space="preserve">and reaching </w:t>
      </w:r>
      <m:oMath>
        <m:r>
          <w:rPr>
            <w:rFonts w:ascii="Cambria Math" w:hAnsi="Cambria Math"/>
          </w:rPr>
          <m:t>T=10</m:t>
        </m:r>
      </m:oMath>
      <w:r>
        <w:t xml:space="preserve"> °C </w:t>
      </w:r>
      <w:r w:rsidRPr="00C41B09">
        <w:t>after 20,000</w:t>
      </w:r>
      <w:r>
        <w:t xml:space="preserve"> </w:t>
      </w:r>
      <w:r w:rsidRPr="00C41B09">
        <w:t>years.</w:t>
      </w:r>
    </w:p>
    <w:p w14:paraId="4EB12FF4" w14:textId="77777777" w:rsidR="00805B71" w:rsidRDefault="00805B71" w:rsidP="00805B71">
      <w:pPr>
        <w:pStyle w:val="BodyText"/>
      </w:pPr>
    </w:p>
    <w:p w14:paraId="7E899411" w14:textId="7CEC1EB9" w:rsidR="00805B71" w:rsidRDefault="00963305" w:rsidP="00805B71">
      <w:pPr>
        <w:pStyle w:val="BodyText"/>
        <w:jc w:val="center"/>
      </w:pPr>
      <w:r>
        <w:rPr>
          <w:noProof/>
        </w:rPr>
        <w:drawing>
          <wp:inline distT="0" distB="0" distL="0" distR="0" wp14:anchorId="096387D0" wp14:editId="334C8E05">
            <wp:extent cx="3730802" cy="1865401"/>
            <wp:effectExtent l="0" t="0" r="3175" b="1905"/>
            <wp:docPr id="1953129849" name="Picture 4" descr="A graph with a line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29849" name="Picture 4" descr="A graph with a line and a numb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1365" cy="1890683"/>
                    </a:xfrm>
                    <a:prstGeom prst="rect">
                      <a:avLst/>
                    </a:prstGeom>
                  </pic:spPr>
                </pic:pic>
              </a:graphicData>
            </a:graphic>
          </wp:inline>
        </w:drawing>
      </w:r>
    </w:p>
    <w:p w14:paraId="396F74BA" w14:textId="77777777" w:rsidR="00607377" w:rsidRPr="00647105" w:rsidRDefault="00607377" w:rsidP="00607377">
      <w:pPr>
        <w:pStyle w:val="BodyText"/>
      </w:pPr>
      <w:r w:rsidRPr="00C41B09">
        <w:rPr>
          <w:b/>
          <w:bCs/>
        </w:rPr>
        <w:t xml:space="preserve">Supplementary Figure </w:t>
      </w:r>
      <w:r>
        <w:rPr>
          <w:b/>
          <w:bCs/>
        </w:rPr>
        <w:t>2</w:t>
      </w:r>
      <w:r w:rsidRPr="00C41B09">
        <w:rPr>
          <w:b/>
          <w:bCs/>
        </w:rPr>
        <w:t xml:space="preserve"> | </w:t>
      </w:r>
      <w:r w:rsidRPr="00DF450C">
        <w:rPr>
          <w:b/>
          <w:bCs/>
        </w:rPr>
        <w:t xml:space="preserve">Hosing forcing in the calibration experiment </w:t>
      </w:r>
      <m:oMath>
        <m:r>
          <m:rPr>
            <m:sty m:val="bi"/>
          </m:rPr>
          <w:rPr>
            <w:rFonts w:ascii="Cambria Math" w:hAnsi="Cambria Math"/>
          </w:rPr>
          <m:t>EXPB</m:t>
        </m:r>
      </m:oMath>
      <w:r>
        <w:rPr>
          <w:b/>
        </w:rPr>
        <w:t xml:space="preserve"> </w:t>
      </w:r>
      <w:r>
        <w:rPr>
          <w:b/>
          <w:bCs/>
        </w:rPr>
        <w:t>within</w:t>
      </w:r>
      <w:r w:rsidRPr="00DF450C">
        <w:rPr>
          <w:b/>
          <w:bCs/>
        </w:rPr>
        <w:t xml:space="preserve"> </w:t>
      </w:r>
      <w:r>
        <w:rPr>
          <w:b/>
          <w:bCs/>
        </w:rPr>
        <w:t>cGENIE</w:t>
      </w:r>
      <w:r w:rsidRPr="00DF450C">
        <w:rPr>
          <w:b/>
          <w:bCs/>
        </w:rPr>
        <w:t>.</w:t>
      </w:r>
      <w:r w:rsidRPr="008C2EAF">
        <w:t xml:space="preserve"> </w:t>
      </w:r>
      <m:oMath>
        <m:r>
          <w:rPr>
            <w:rFonts w:ascii="Cambria Math" w:hAnsi="Cambria Math"/>
          </w:rPr>
          <m:t>EXPB</m:t>
        </m:r>
      </m:oMath>
      <w:r w:rsidRPr="008C2EAF">
        <w:t xml:space="preserve"> involved a 20,000</w:t>
      </w:r>
      <w:r>
        <w:t xml:space="preserve"> </w:t>
      </w:r>
      <w:r w:rsidRPr="008C2EAF">
        <w:t xml:space="preserve">year hosing simulation with freshwater flux forcing ranging from </w:t>
      </w:r>
      <m:oMath>
        <m:r>
          <w:rPr>
            <w:rFonts w:ascii="Cambria Math" w:hAnsi="Cambria Math"/>
          </w:rPr>
          <m:t>0</m:t>
        </m:r>
      </m:oMath>
      <w:r>
        <w:t xml:space="preserve"> Sv </w:t>
      </w:r>
      <w:r w:rsidRPr="008C2EAF">
        <w:t xml:space="preserve">to </w:t>
      </w:r>
      <m:oMath>
        <m:r>
          <w:rPr>
            <w:rFonts w:ascii="Cambria Math" w:hAnsi="Cambria Math"/>
          </w:rPr>
          <m:t>0.2</m:t>
        </m:r>
      </m:oMath>
      <w:r>
        <w:t xml:space="preserve"> Sv</w:t>
      </w:r>
      <w:r w:rsidRPr="008C2EAF">
        <w:t xml:space="preserve">, which is sufficient to induce the collapse of the AMOC in </w:t>
      </w:r>
      <w:r>
        <w:t>cGENIE</w:t>
      </w:r>
      <w:r w:rsidRPr="008C2EAF">
        <w:t xml:space="preserve">. The duration of </w:t>
      </w:r>
      <m:oMath>
        <m:r>
          <w:rPr>
            <w:rFonts w:ascii="Cambria Math" w:hAnsi="Cambria Math"/>
          </w:rPr>
          <m:t>EXPB</m:t>
        </m:r>
      </m:oMath>
      <w:r w:rsidRPr="008C2EAF">
        <w:t xml:space="preserve"> was chose</w:t>
      </w:r>
      <w:r>
        <w:t>n</w:t>
      </w:r>
      <w:r w:rsidRPr="008C2EAF">
        <w:t xml:space="preserve"> to ensure that the AMOC is forced sufficiently slowly, allowing it to remain in equilibrium and produce an hysteresis experiment.</w:t>
      </w:r>
    </w:p>
    <w:p w14:paraId="17200792" w14:textId="77777777" w:rsidR="00805B71" w:rsidRDefault="00805B71" w:rsidP="00805B71"/>
    <w:p w14:paraId="42CF30E6" w14:textId="71FE88C8" w:rsidR="00805B71" w:rsidRDefault="00AA2481" w:rsidP="00805B71">
      <w:pPr>
        <w:jc w:val="center"/>
      </w:pPr>
      <w:r>
        <w:rPr>
          <w:noProof/>
        </w:rPr>
        <w:drawing>
          <wp:inline distT="0" distB="0" distL="0" distR="0" wp14:anchorId="4CD26428" wp14:editId="78089949">
            <wp:extent cx="2851044" cy="2209800"/>
            <wp:effectExtent l="0" t="0" r="6985" b="0"/>
            <wp:docPr id="526254283" name="Picture 4"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54283" name="Picture 4" descr="A map of the worl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5368" cy="2236404"/>
                    </a:xfrm>
                    <a:prstGeom prst="rect">
                      <a:avLst/>
                    </a:prstGeom>
                  </pic:spPr>
                </pic:pic>
              </a:graphicData>
            </a:graphic>
          </wp:inline>
        </w:drawing>
      </w:r>
    </w:p>
    <w:p w14:paraId="2193BEA0" w14:textId="77777777" w:rsidR="00805B71" w:rsidRDefault="00805B71" w:rsidP="00805B71"/>
    <w:p w14:paraId="77D0983A" w14:textId="77777777" w:rsidR="00494298" w:rsidRDefault="00494298" w:rsidP="00494298">
      <w:pPr>
        <w:rPr>
          <w:sz w:val="19"/>
          <w:szCs w:val="19"/>
        </w:rPr>
      </w:pPr>
      <w:r w:rsidRPr="00C41B09">
        <w:rPr>
          <w:b/>
          <w:bCs/>
          <w:sz w:val="19"/>
          <w:szCs w:val="19"/>
        </w:rPr>
        <w:t xml:space="preserve">Supplementary Figure </w:t>
      </w:r>
      <w:r w:rsidRPr="00AE3345">
        <w:rPr>
          <w:b/>
          <w:bCs/>
        </w:rPr>
        <w:t>3</w:t>
      </w:r>
      <w:r w:rsidRPr="00C41B09">
        <w:rPr>
          <w:b/>
          <w:bCs/>
          <w:sz w:val="19"/>
          <w:szCs w:val="19"/>
        </w:rPr>
        <w:t xml:space="preserve"> | </w:t>
      </w:r>
      <w:r w:rsidRPr="00AE3345">
        <w:rPr>
          <w:b/>
          <w:bCs/>
          <w:sz w:val="19"/>
          <w:szCs w:val="19"/>
        </w:rPr>
        <w:t xml:space="preserve">Hosing region in the calibration </w:t>
      </w:r>
      <w:r w:rsidRPr="0070345A">
        <w:rPr>
          <w:b/>
          <w:bCs/>
          <w:sz w:val="20"/>
          <w:szCs w:val="20"/>
        </w:rPr>
        <w:t xml:space="preserve">experiment </w:t>
      </w:r>
      <m:oMath>
        <m:r>
          <m:rPr>
            <m:sty m:val="bi"/>
          </m:rPr>
          <w:rPr>
            <w:rFonts w:ascii="Cambria Math" w:hAnsi="Cambria Math"/>
            <w:sz w:val="20"/>
            <w:szCs w:val="20"/>
          </w:rPr>
          <m:t>EXPB</m:t>
        </m:r>
      </m:oMath>
      <w:r w:rsidRPr="0070345A">
        <w:rPr>
          <w:b/>
          <w:bCs/>
          <w:sz w:val="18"/>
          <w:szCs w:val="18"/>
        </w:rPr>
        <w:t xml:space="preserve"> </w:t>
      </w:r>
      <w:r w:rsidRPr="00AE3345">
        <w:rPr>
          <w:b/>
          <w:bCs/>
          <w:sz w:val="19"/>
          <w:szCs w:val="19"/>
        </w:rPr>
        <w:t>with</w:t>
      </w:r>
      <w:r>
        <w:rPr>
          <w:b/>
          <w:bCs/>
          <w:sz w:val="19"/>
          <w:szCs w:val="19"/>
        </w:rPr>
        <w:t>in</w:t>
      </w:r>
      <w:r w:rsidRPr="00AE3345">
        <w:rPr>
          <w:b/>
          <w:bCs/>
          <w:sz w:val="19"/>
          <w:szCs w:val="19"/>
        </w:rPr>
        <w:t xml:space="preserve"> </w:t>
      </w:r>
      <w:r>
        <w:rPr>
          <w:b/>
          <w:bCs/>
          <w:sz w:val="19"/>
          <w:szCs w:val="19"/>
        </w:rPr>
        <w:t>cGENIE</w:t>
      </w:r>
      <w:r w:rsidRPr="00AE3345">
        <w:rPr>
          <w:b/>
          <w:bCs/>
          <w:sz w:val="19"/>
          <w:szCs w:val="19"/>
        </w:rPr>
        <w:t>.</w:t>
      </w:r>
      <w:r>
        <w:t xml:space="preserve"> </w:t>
      </w:r>
      <w:r w:rsidRPr="00AE3345">
        <w:rPr>
          <w:sz w:val="19"/>
          <w:szCs w:val="19"/>
        </w:rPr>
        <w:t xml:space="preserve">The freshwater hosing was applied between </w:t>
      </w:r>
      <m:oMath>
        <m:r>
          <w:rPr>
            <w:rFonts w:ascii="Cambria Math" w:hAnsi="Cambria Math"/>
            <w:sz w:val="19"/>
            <w:szCs w:val="19"/>
          </w:rPr>
          <m:t>20°</m:t>
        </m:r>
      </m:oMath>
      <w:r w:rsidRPr="00587CDF">
        <w:rPr>
          <w:sz w:val="19"/>
          <w:szCs w:val="19"/>
        </w:rPr>
        <w:t xml:space="preserve">N and </w:t>
      </w:r>
      <m:oMath>
        <m:r>
          <w:rPr>
            <w:rFonts w:ascii="Cambria Math" w:hAnsi="Cambria Math"/>
            <w:sz w:val="19"/>
            <w:szCs w:val="19"/>
          </w:rPr>
          <m:t>50°</m:t>
        </m:r>
      </m:oMath>
      <w:r w:rsidRPr="00587CDF">
        <w:rPr>
          <w:sz w:val="19"/>
          <w:szCs w:val="19"/>
        </w:rPr>
        <w:t xml:space="preserve">N </w:t>
      </w:r>
      <w:r w:rsidRPr="000F71D1">
        <w:rPr>
          <w:sz w:val="19"/>
          <w:szCs w:val="19"/>
        </w:rPr>
        <w:t>across the entire width of the Atlantic.</w:t>
      </w:r>
    </w:p>
    <w:p w14:paraId="6C5602A8" w14:textId="77777777" w:rsidR="00467865" w:rsidRDefault="00467865" w:rsidP="00805B71">
      <w:pPr>
        <w:rPr>
          <w:sz w:val="19"/>
          <w:szCs w:val="19"/>
        </w:rPr>
      </w:pPr>
    </w:p>
    <w:p w14:paraId="51CEF317" w14:textId="7365D18F" w:rsidR="005A4ADD" w:rsidRDefault="005A4ADD" w:rsidP="005A4ADD">
      <w:pPr>
        <w:jc w:val="center"/>
      </w:pPr>
    </w:p>
    <w:p w14:paraId="1F566F2A" w14:textId="77777777" w:rsidR="00DB0B9F" w:rsidRDefault="00DB0B9F" w:rsidP="005A4ADD">
      <w:pPr>
        <w:jc w:val="center"/>
      </w:pPr>
    </w:p>
    <w:p w14:paraId="1ADBE4DF" w14:textId="77777777" w:rsidR="00DB0B9F" w:rsidRDefault="00DB0B9F" w:rsidP="005A4ADD">
      <w:pPr>
        <w:jc w:val="center"/>
      </w:pPr>
    </w:p>
    <w:p w14:paraId="5AB6AFB9" w14:textId="77777777" w:rsidR="00DB0B9F" w:rsidRDefault="00DB0B9F" w:rsidP="005A4ADD">
      <w:pPr>
        <w:jc w:val="center"/>
      </w:pPr>
    </w:p>
    <w:p w14:paraId="7284290D" w14:textId="77777777" w:rsidR="00DB0B9F" w:rsidRDefault="00DB0B9F" w:rsidP="005A4ADD">
      <w:pPr>
        <w:jc w:val="center"/>
      </w:pPr>
    </w:p>
    <w:p w14:paraId="0B5098BE" w14:textId="01BCCE8D" w:rsidR="005A4ADD" w:rsidRDefault="00DB0B9F" w:rsidP="00DB0B9F">
      <w:pPr>
        <w:jc w:val="center"/>
      </w:pPr>
      <w:r>
        <w:rPr>
          <w:noProof/>
        </w:rPr>
        <w:drawing>
          <wp:inline distT="0" distB="0" distL="0" distR="0" wp14:anchorId="434CA7C7" wp14:editId="12005027">
            <wp:extent cx="3830129" cy="1915065"/>
            <wp:effectExtent l="0" t="0" r="0" b="9525"/>
            <wp:docPr id="100697994" name="Picture 6" descr="A graph of a graph showing the temper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994" name="Picture 6" descr="A graph of a graph showing the temperature of a perso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7906" cy="1923954"/>
                    </a:xfrm>
                    <a:prstGeom prst="rect">
                      <a:avLst/>
                    </a:prstGeom>
                  </pic:spPr>
                </pic:pic>
              </a:graphicData>
            </a:graphic>
          </wp:inline>
        </w:drawing>
      </w:r>
    </w:p>
    <w:p w14:paraId="2C14839E" w14:textId="0DE04743" w:rsidR="00467865" w:rsidRDefault="005A4ADD" w:rsidP="00805B71">
      <w:pPr>
        <w:rPr>
          <w:b/>
          <w:bCs/>
          <w:sz w:val="19"/>
          <w:szCs w:val="19"/>
        </w:rPr>
      </w:pPr>
      <w:r w:rsidRPr="00C41B09">
        <w:rPr>
          <w:b/>
          <w:bCs/>
          <w:sz w:val="19"/>
          <w:szCs w:val="19"/>
        </w:rPr>
        <w:t xml:space="preserve">Supplementary Figure </w:t>
      </w:r>
      <w:r w:rsidRPr="004A6FE8">
        <w:rPr>
          <w:b/>
          <w:bCs/>
        </w:rPr>
        <w:t>4</w:t>
      </w:r>
      <w:r w:rsidRPr="004A6FE8">
        <w:rPr>
          <w:b/>
          <w:bCs/>
          <w:sz w:val="19"/>
          <w:szCs w:val="19"/>
        </w:rPr>
        <w:t xml:space="preserve"> | </w:t>
      </w:r>
      <w:r w:rsidR="004A6FE8" w:rsidRPr="00D1457B">
        <w:rPr>
          <w:b/>
          <w:bCs/>
          <w:sz w:val="19"/>
          <w:szCs w:val="19"/>
        </w:rPr>
        <w:t xml:space="preserve">Bifurcation diagram of the AMOC in the calibration experiment </w:t>
      </w:r>
      <m:oMath>
        <m:r>
          <m:rPr>
            <m:sty m:val="bi"/>
          </m:rPr>
          <w:rPr>
            <w:rFonts w:ascii="Cambria Math" w:hAnsi="Cambria Math"/>
            <w:sz w:val="20"/>
            <w:szCs w:val="20"/>
          </w:rPr>
          <m:t>EXPA</m:t>
        </m:r>
      </m:oMath>
      <w:r w:rsidR="004A6FE8" w:rsidRPr="00D1457B">
        <w:rPr>
          <w:b/>
          <w:bCs/>
          <w:sz w:val="19"/>
          <w:szCs w:val="19"/>
        </w:rPr>
        <w:t>.</w:t>
      </w:r>
      <w:r w:rsidR="004A6FE8" w:rsidRPr="004A6FE8">
        <w:rPr>
          <w:sz w:val="19"/>
          <w:szCs w:val="19"/>
        </w:rPr>
        <w:t xml:space="preserve"> The black curve shows the AMOC trajectory simulated by cGENIE, while the blue curve represents the stable branches obtained from the ATCM. The dashed orange curve highlights the unstable equilibria computed by the ATCM, and the dots indicate the coordinates of the bifurcation points: the upper one identified from cGENIE, and the lower one partially adjusted to improve the fit of the collapse branch.</w:t>
      </w:r>
    </w:p>
    <w:p w14:paraId="44015DC2" w14:textId="77777777" w:rsidR="00927AA9" w:rsidRPr="00927AA9" w:rsidRDefault="00927AA9" w:rsidP="00805B71">
      <w:pPr>
        <w:rPr>
          <w:b/>
          <w:bCs/>
          <w:sz w:val="19"/>
          <w:szCs w:val="19"/>
        </w:rPr>
      </w:pPr>
    </w:p>
    <w:p w14:paraId="62614528" w14:textId="57F2F9CC" w:rsidR="005A4ADD" w:rsidRDefault="006C68DE" w:rsidP="00D1457B">
      <w:pPr>
        <w:jc w:val="center"/>
      </w:pPr>
      <w:r>
        <w:rPr>
          <w:noProof/>
        </w:rPr>
        <w:drawing>
          <wp:inline distT="0" distB="0" distL="0" distR="0" wp14:anchorId="1F65E91E" wp14:editId="55594827">
            <wp:extent cx="3803650" cy="1901825"/>
            <wp:effectExtent l="0" t="0" r="6350" b="3175"/>
            <wp:docPr id="1489482839" name="Picture 8" descr="A graph of a graph with a blue line and red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82839" name="Picture 8" descr="A graph of a graph with a blue line and red do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1648" cy="1915824"/>
                    </a:xfrm>
                    <a:prstGeom prst="rect">
                      <a:avLst/>
                    </a:prstGeom>
                  </pic:spPr>
                </pic:pic>
              </a:graphicData>
            </a:graphic>
          </wp:inline>
        </w:drawing>
      </w:r>
    </w:p>
    <w:p w14:paraId="69AEFFB8" w14:textId="2530E2DA" w:rsidR="00534AFE" w:rsidRDefault="005A4ADD" w:rsidP="00805B71">
      <w:pPr>
        <w:rPr>
          <w:sz w:val="19"/>
          <w:szCs w:val="19"/>
        </w:rPr>
      </w:pPr>
      <w:r w:rsidRPr="00C41B09">
        <w:rPr>
          <w:b/>
          <w:bCs/>
          <w:sz w:val="19"/>
          <w:szCs w:val="19"/>
        </w:rPr>
        <w:t xml:space="preserve">Supplementary Figure </w:t>
      </w:r>
      <w:r>
        <w:rPr>
          <w:b/>
          <w:bCs/>
        </w:rPr>
        <w:t>5</w:t>
      </w:r>
      <w:r w:rsidRPr="00C41B09">
        <w:rPr>
          <w:b/>
          <w:bCs/>
          <w:sz w:val="19"/>
          <w:szCs w:val="19"/>
        </w:rPr>
        <w:t xml:space="preserve"> | </w:t>
      </w:r>
      <w:r w:rsidR="005F629C" w:rsidRPr="00212088">
        <w:rPr>
          <w:b/>
          <w:bCs/>
          <w:sz w:val="19"/>
          <w:szCs w:val="19"/>
        </w:rPr>
        <w:t>Bifurcation diagram of the AMOC in the calibration experiment</w:t>
      </w:r>
      <w:r w:rsidR="005F629C">
        <w:rPr>
          <w:b/>
          <w:bCs/>
          <w:sz w:val="19"/>
          <w:szCs w:val="19"/>
        </w:rPr>
        <w:t xml:space="preserve"> </w:t>
      </w:r>
      <m:oMath>
        <m:r>
          <m:rPr>
            <m:sty m:val="bi"/>
          </m:rPr>
          <w:rPr>
            <w:rFonts w:ascii="Cambria Math" w:hAnsi="Cambria Math"/>
            <w:sz w:val="20"/>
            <w:szCs w:val="20"/>
          </w:rPr>
          <m:t>EXPB</m:t>
        </m:r>
      </m:oMath>
      <w:r w:rsidR="005F629C" w:rsidRPr="00212088">
        <w:rPr>
          <w:b/>
          <w:bCs/>
          <w:sz w:val="19"/>
          <w:szCs w:val="19"/>
        </w:rPr>
        <w:t>.</w:t>
      </w:r>
      <w:r w:rsidR="005F629C" w:rsidRPr="004A6FE8">
        <w:rPr>
          <w:sz w:val="19"/>
          <w:szCs w:val="19"/>
        </w:rPr>
        <w:t xml:space="preserve"> The black curve shows the AMOC trajectory simulated by cGENIE, while the blue curve represents the stable branches obtained from the ATCM. The dashed orange curve highlights the unstable equilibria computed by the ATCM, and the dots indicate the coordinates of the bifurcation points: the upper one identified from cGENIE, and the lower one partially adjusted to improve the fit of the collapse branch.</w:t>
      </w:r>
    </w:p>
    <w:p w14:paraId="185D22E3" w14:textId="77777777" w:rsidR="00BC5BE7" w:rsidRDefault="00BC5BE7" w:rsidP="00805B71">
      <w:pPr>
        <w:rPr>
          <w:sz w:val="19"/>
          <w:szCs w:val="19"/>
        </w:rPr>
      </w:pPr>
    </w:p>
    <w:p w14:paraId="30025462" w14:textId="05A920AC" w:rsidR="00BC5BE7" w:rsidRDefault="00B81250" w:rsidP="00BC5BE7">
      <w:pPr>
        <w:jc w:val="center"/>
        <w:rPr>
          <w:sz w:val="19"/>
          <w:szCs w:val="19"/>
        </w:rPr>
      </w:pPr>
      <w:r>
        <w:rPr>
          <w:noProof/>
          <w:sz w:val="19"/>
          <w:szCs w:val="19"/>
        </w:rPr>
        <w:drawing>
          <wp:inline distT="0" distB="0" distL="0" distR="0" wp14:anchorId="44570B6D" wp14:editId="5EA777D3">
            <wp:extent cx="4064000" cy="2032000"/>
            <wp:effectExtent l="0" t="0" r="0" b="6350"/>
            <wp:docPr id="231221096" name="Picture 2" descr="A graph showing the number of gas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21096" name="Picture 2" descr="A graph showing the number of gas pric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64000" cy="2032000"/>
                    </a:xfrm>
                    <a:prstGeom prst="rect">
                      <a:avLst/>
                    </a:prstGeom>
                  </pic:spPr>
                </pic:pic>
              </a:graphicData>
            </a:graphic>
          </wp:inline>
        </w:drawing>
      </w:r>
    </w:p>
    <w:p w14:paraId="54A394E7" w14:textId="4DDA06C2" w:rsidR="00E547A1" w:rsidRPr="00CD7D15" w:rsidRDefault="00E547A1" w:rsidP="00E547A1">
      <w:pPr>
        <w:pStyle w:val="BodyText"/>
        <w:rPr>
          <w:b/>
          <w:bCs/>
        </w:rPr>
      </w:pPr>
      <w:r w:rsidRPr="00C41B09">
        <w:rPr>
          <w:b/>
          <w:bCs/>
        </w:rPr>
        <w:t xml:space="preserve">Supplementary Figure </w:t>
      </w:r>
      <w:r>
        <w:rPr>
          <w:b/>
          <w:bCs/>
        </w:rPr>
        <w:t>6</w:t>
      </w:r>
      <w:r w:rsidRPr="00C41B09">
        <w:rPr>
          <w:b/>
          <w:bCs/>
        </w:rPr>
        <w:t xml:space="preserve"> | Temperature forcing in the calibration experiment </w:t>
      </w:r>
      <m:oMath>
        <m:r>
          <m:rPr>
            <m:sty m:val="bi"/>
          </m:rPr>
          <w:rPr>
            <w:rFonts w:ascii="Cambria Math" w:hAnsi="Cambria Math"/>
          </w:rPr>
          <m:t>EXPC</m:t>
        </m:r>
      </m:oMath>
      <w:r>
        <w:rPr>
          <w:b/>
          <w:bCs/>
        </w:rPr>
        <w:t xml:space="preserve"> within cGENIE</w:t>
      </w:r>
      <w:r w:rsidRPr="00C41B09">
        <w:rPr>
          <w:b/>
          <w:bCs/>
        </w:rPr>
        <w:t>.</w:t>
      </w:r>
      <w:r>
        <w:t xml:space="preserve"> </w:t>
      </w:r>
      <m:oMath>
        <m:r>
          <w:rPr>
            <w:rFonts w:ascii="Cambria Math" w:hAnsi="Cambria Math"/>
          </w:rPr>
          <m:t>EXPC</m:t>
        </m:r>
      </m:oMath>
      <w:r w:rsidRPr="00C41B09">
        <w:t xml:space="preserve">, consist of a </w:t>
      </w:r>
      <w:r>
        <w:t>1,250</w:t>
      </w:r>
      <w:r w:rsidRPr="00C41B09">
        <w:t xml:space="preserve">-year simulation with a prescribed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w:t>
      </w:r>
      <w:r w:rsidR="00A76E62">
        <w:t xml:space="preserve">atmospheric </w:t>
      </w:r>
      <w:r w:rsidR="00350F51">
        <w:t>concentration that increases by 1% a year, starting from</w:t>
      </w:r>
      <w:r w:rsidR="008161D1">
        <w:t xml:space="preserve"> </w:t>
      </w:r>
      <w:r w:rsidRPr="00C41B09">
        <w:t xml:space="preserve">280 ppm </w:t>
      </w:r>
      <w:r w:rsidR="008161D1">
        <w:t>and stabiliz</w:t>
      </w:r>
      <w:r w:rsidR="005B5D05">
        <w:t>ing</w:t>
      </w:r>
      <w:r w:rsidR="008161D1">
        <w:t xml:space="preserve"> at 2240 ppm</w:t>
      </w:r>
      <w:r w:rsidR="00F845F0">
        <w:t xml:space="preserve"> </w:t>
      </w:r>
      <w:r w:rsidR="006A02CF">
        <w:t>(</w:t>
      </w:r>
      <w:r w:rsidR="00F845F0">
        <w:t>i.e</w:t>
      </w:r>
      <w:r w:rsidR="006A02CF">
        <w:t>.</w:t>
      </w:r>
      <w:r w:rsidR="00F845F0">
        <w:t>, eight times the initial concentration</w:t>
      </w:r>
      <w:r w:rsidR="000C06C7">
        <w:t>)</w:t>
      </w:r>
      <w:r w:rsidR="005B5D05">
        <w:t>. T</w:t>
      </w:r>
      <w:r w:rsidR="000C06C7">
        <w:t xml:space="preserve">his forcing, trough </w:t>
      </w:r>
      <w:r w:rsidRPr="00C41B09">
        <w:t>the internal dynamics</w:t>
      </w:r>
      <w:r>
        <w:t xml:space="preserve"> </w:t>
      </w:r>
      <w:r w:rsidRPr="00C41B09">
        <w:t xml:space="preserve">of </w:t>
      </w:r>
      <w:r>
        <w:t>cGENIE</w:t>
      </w:r>
      <w:r w:rsidRPr="00C41B09">
        <w:t xml:space="preserve">, </w:t>
      </w:r>
      <w:r w:rsidR="000C06C7">
        <w:t xml:space="preserve">resulted in a global mean 2-meter surface air temperature anomaly increasing </w:t>
      </w:r>
      <w:r w:rsidRPr="00C41B09">
        <w:t xml:space="preserve">from </w:t>
      </w:r>
      <m:oMath>
        <m:r>
          <w:rPr>
            <w:rFonts w:ascii="Cambria Math" w:hAnsi="Cambria Math"/>
          </w:rPr>
          <m:t>T=0</m:t>
        </m:r>
      </m:oMath>
      <w:r>
        <w:t xml:space="preserve"> °C </w:t>
      </w:r>
      <w:r w:rsidRPr="00C41B09">
        <w:t xml:space="preserve">and reaching </w:t>
      </w:r>
      <m:oMath>
        <m:r>
          <w:rPr>
            <w:rFonts w:ascii="Cambria Math" w:hAnsi="Cambria Math"/>
          </w:rPr>
          <m:t>T=9.07</m:t>
        </m:r>
      </m:oMath>
      <w:r w:rsidR="00156B10">
        <w:t xml:space="preserve"> </w:t>
      </w:r>
      <w:r>
        <w:t xml:space="preserve">°C </w:t>
      </w:r>
      <w:r w:rsidRPr="00C41B09">
        <w:t xml:space="preserve">after </w:t>
      </w:r>
      <w:r w:rsidR="00CD7D15">
        <w:t>1,250</w:t>
      </w:r>
      <w:r>
        <w:t xml:space="preserve"> </w:t>
      </w:r>
      <w:r w:rsidRPr="00C41B09">
        <w:t>years.</w:t>
      </w:r>
    </w:p>
    <w:p w14:paraId="0A94105C" w14:textId="77777777" w:rsidR="00534AFE" w:rsidRDefault="00534AFE" w:rsidP="00805B71">
      <w:pPr>
        <w:rPr>
          <w:sz w:val="19"/>
          <w:szCs w:val="19"/>
        </w:rPr>
      </w:pPr>
    </w:p>
    <w:p w14:paraId="610EE060" w14:textId="77777777" w:rsidR="00D1457B" w:rsidRDefault="00D1457B" w:rsidP="00805B71">
      <w:pPr>
        <w:rPr>
          <w:sz w:val="19"/>
          <w:szCs w:val="19"/>
        </w:rPr>
      </w:pPr>
    </w:p>
    <w:p w14:paraId="615C515F" w14:textId="77777777" w:rsidR="00E547A1" w:rsidRDefault="00E547A1" w:rsidP="00805B71">
      <w:pPr>
        <w:rPr>
          <w:sz w:val="19"/>
          <w:szCs w:val="19"/>
        </w:rPr>
      </w:pPr>
    </w:p>
    <w:p w14:paraId="5F69C2B8" w14:textId="77777777" w:rsidR="00CD7D15" w:rsidRDefault="00CD7D15" w:rsidP="00805B71">
      <w:pPr>
        <w:rPr>
          <w:sz w:val="19"/>
          <w:szCs w:val="19"/>
        </w:rPr>
      </w:pPr>
    </w:p>
    <w:p w14:paraId="59B14D62" w14:textId="77777777" w:rsidR="004169F9" w:rsidRDefault="004169F9" w:rsidP="00805B71">
      <w:pPr>
        <w:rPr>
          <w:sz w:val="19"/>
          <w:szCs w:val="19"/>
        </w:rPr>
      </w:pPr>
    </w:p>
    <w:p w14:paraId="09A490A9" w14:textId="77777777" w:rsidR="004169F9" w:rsidRDefault="004169F9" w:rsidP="00805B71">
      <w:pPr>
        <w:rPr>
          <w:sz w:val="19"/>
          <w:szCs w:val="19"/>
        </w:rPr>
      </w:pPr>
    </w:p>
    <w:p w14:paraId="1E1C928A" w14:textId="77777777" w:rsidR="004169F9" w:rsidRDefault="004169F9" w:rsidP="00805B71">
      <w:pPr>
        <w:rPr>
          <w:sz w:val="19"/>
          <w:szCs w:val="19"/>
        </w:rPr>
      </w:pPr>
    </w:p>
    <w:p w14:paraId="503532B4" w14:textId="7D2DCA6E" w:rsidR="004169F9" w:rsidRDefault="00BA39FA" w:rsidP="008D0ABF">
      <w:pPr>
        <w:jc w:val="center"/>
        <w:rPr>
          <w:sz w:val="19"/>
          <w:szCs w:val="19"/>
        </w:rPr>
      </w:pPr>
      <w:r>
        <w:rPr>
          <w:noProof/>
          <w:sz w:val="19"/>
          <w:szCs w:val="19"/>
        </w:rPr>
        <w:drawing>
          <wp:inline distT="0" distB="0" distL="0" distR="0" wp14:anchorId="60BBD612" wp14:editId="76714A63">
            <wp:extent cx="3829050" cy="1914525"/>
            <wp:effectExtent l="0" t="0" r="0" b="9525"/>
            <wp:docPr id="2110344845" name="Picture 3" descr="A graph of a graph showing the difference between a numbe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44845" name="Picture 3" descr="A graph of a graph showing the difference between a number and a numb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9050" cy="1914525"/>
                    </a:xfrm>
                    <a:prstGeom prst="rect">
                      <a:avLst/>
                    </a:prstGeom>
                  </pic:spPr>
                </pic:pic>
              </a:graphicData>
            </a:graphic>
          </wp:inline>
        </w:drawing>
      </w:r>
    </w:p>
    <w:p w14:paraId="41304820" w14:textId="17619EAA" w:rsidR="008D0ABF" w:rsidRPr="00E6640A" w:rsidRDefault="008D0ABF" w:rsidP="008D0ABF">
      <w:pPr>
        <w:rPr>
          <w:sz w:val="19"/>
          <w:szCs w:val="19"/>
        </w:rPr>
      </w:pPr>
      <w:r w:rsidRPr="00E6640A">
        <w:rPr>
          <w:b/>
          <w:bCs/>
          <w:sz w:val="19"/>
          <w:szCs w:val="19"/>
        </w:rPr>
        <w:t xml:space="preserve">Supplementary Figure 7 | AMOC trajectory in the ATCM under slow forcing with different values of the parameter </w:t>
      </w:r>
      <m:oMath>
        <m:r>
          <m:rPr>
            <m:sty m:val="b"/>
          </m:rPr>
          <w:rPr>
            <w:rFonts w:ascii="Cambria Math" w:hAnsi="Cambria Math"/>
            <w:sz w:val="19"/>
            <w:szCs w:val="19"/>
          </w:rPr>
          <m:t>τ</m:t>
        </m:r>
      </m:oMath>
      <w:r w:rsidRPr="00E6640A">
        <w:rPr>
          <w:b/>
          <w:bCs/>
          <w:sz w:val="19"/>
          <w:szCs w:val="19"/>
        </w:rPr>
        <w:t>.</w:t>
      </w:r>
      <w:r w:rsidRPr="00E6640A">
        <w:rPr>
          <w:sz w:val="19"/>
          <w:szCs w:val="19"/>
        </w:rPr>
        <w:t xml:space="preserve"> The black curve shows the AMOC trajectory simulated by cGENIE in the experiment </w:t>
      </w:r>
      <w:r w:rsidRPr="00E6640A">
        <w:rPr>
          <w:i/>
          <w:iCs/>
          <w:sz w:val="19"/>
          <w:szCs w:val="19"/>
        </w:rPr>
        <w:t>val_exp_1</w:t>
      </w:r>
      <w:r w:rsidRPr="00E6640A">
        <w:rPr>
          <w:sz w:val="19"/>
          <w:szCs w:val="19"/>
        </w:rPr>
        <w:t xml:space="preserve">, which combines both temperature and freshwater forcing over a long timescale of 20,000 years. In this experiment, atmospheric </w:t>
      </w:r>
      <m:oMath>
        <m:r>
          <w:rPr>
            <w:rFonts w:ascii="Cambria Math" w:hAnsi="Cambria Math"/>
            <w:sz w:val="19"/>
            <w:szCs w:val="19"/>
          </w:rPr>
          <m:t>C</m:t>
        </m:r>
        <m:sSub>
          <m:sSubPr>
            <m:ctrlPr>
              <w:rPr>
                <w:rFonts w:ascii="Cambria Math" w:hAnsi="Cambria Math"/>
                <w:i/>
                <w:sz w:val="19"/>
                <w:szCs w:val="19"/>
              </w:rPr>
            </m:ctrlPr>
          </m:sSubPr>
          <m:e>
            <m:r>
              <w:rPr>
                <w:rFonts w:ascii="Cambria Math" w:hAnsi="Cambria Math"/>
                <w:sz w:val="19"/>
                <w:szCs w:val="19"/>
              </w:rPr>
              <m:t>O</m:t>
            </m:r>
          </m:e>
          <m:sub>
            <m:r>
              <w:rPr>
                <w:rFonts w:ascii="Cambria Math" w:hAnsi="Cambria Math"/>
                <w:sz w:val="19"/>
                <w:szCs w:val="19"/>
              </w:rPr>
              <m:t>2</m:t>
            </m:r>
          </m:sub>
        </m:sSub>
      </m:oMath>
      <w:r w:rsidRPr="00E6640A">
        <w:rPr>
          <w:sz w:val="19"/>
          <w:szCs w:val="19"/>
        </w:rPr>
        <w:t xml:space="preserve"> is increased from 280 </w:t>
      </w:r>
      <m:oMath>
        <m:r>
          <w:rPr>
            <w:rFonts w:ascii="Cambria Math" w:hAnsi="Cambria Math"/>
            <w:sz w:val="19"/>
            <w:szCs w:val="19"/>
          </w:rPr>
          <m:t>ppm</m:t>
        </m:r>
      </m:oMath>
      <w:r w:rsidRPr="00E6640A">
        <w:rPr>
          <w:sz w:val="19"/>
          <w:szCs w:val="19"/>
        </w:rPr>
        <w:t xml:space="preserve"> to 2800 </w:t>
      </w:r>
      <m:oMath>
        <m:r>
          <w:rPr>
            <w:rFonts w:ascii="Cambria Math" w:hAnsi="Cambria Math"/>
            <w:sz w:val="19"/>
            <w:szCs w:val="19"/>
          </w:rPr>
          <m:t>ppm</m:t>
        </m:r>
      </m:oMath>
      <w:r w:rsidRPr="00E6640A">
        <w:rPr>
          <w:sz w:val="19"/>
          <w:szCs w:val="19"/>
        </w:rPr>
        <w:t xml:space="preserve">, while the freshwater flux is increased from 0 </w:t>
      </w:r>
      <m:oMath>
        <m:r>
          <w:rPr>
            <w:rFonts w:ascii="Cambria Math" w:hAnsi="Cambria Math"/>
            <w:sz w:val="19"/>
            <w:szCs w:val="19"/>
          </w:rPr>
          <m:t>Sv</m:t>
        </m:r>
      </m:oMath>
      <w:r w:rsidRPr="00E6640A">
        <w:rPr>
          <w:sz w:val="19"/>
          <w:szCs w:val="19"/>
        </w:rPr>
        <w:t xml:space="preserve"> to 0.2 </w:t>
      </w:r>
      <m:oMath>
        <m:r>
          <w:rPr>
            <w:rFonts w:ascii="Cambria Math" w:hAnsi="Cambria Math"/>
            <w:sz w:val="19"/>
            <w:szCs w:val="19"/>
          </w:rPr>
          <m:t>Sv</m:t>
        </m:r>
      </m:oMath>
      <w:r w:rsidRPr="00E6640A">
        <w:rPr>
          <w:sz w:val="19"/>
          <w:szCs w:val="19"/>
        </w:rPr>
        <w:t xml:space="preserve">. The blue curve shows the trajectory simulated by the ATCM when </w:t>
      </w:r>
      <w:r w:rsidRPr="00E6640A">
        <w:rPr>
          <w:i/>
          <w:iCs/>
          <w:sz w:val="19"/>
          <w:szCs w:val="19"/>
        </w:rPr>
        <w:t>val_exp_1</w:t>
      </w:r>
      <w:r w:rsidRPr="00E6640A">
        <w:rPr>
          <w:sz w:val="19"/>
          <w:szCs w:val="19"/>
        </w:rPr>
        <w:t xml:space="preserve"> is used as the calibration experiment, yielding a parameter value of </w:t>
      </w:r>
      <m:oMath>
        <m:r>
          <m:rPr>
            <m:sty m:val="p"/>
          </m:rPr>
          <w:rPr>
            <w:rFonts w:ascii="Cambria Math" w:hAnsi="Cambria Math"/>
            <w:sz w:val="19"/>
            <w:szCs w:val="19"/>
          </w:rPr>
          <m:t>τ</m:t>
        </m:r>
        <m:r>
          <w:rPr>
            <w:rFonts w:ascii="Cambria Math" w:hAnsi="Cambria Math"/>
            <w:sz w:val="19"/>
            <w:szCs w:val="19"/>
          </w:rPr>
          <m:t>=140 y</m:t>
        </m:r>
        <m:sSup>
          <m:sSupPr>
            <m:ctrlPr>
              <w:rPr>
                <w:rFonts w:ascii="Cambria Math" w:hAnsi="Cambria Math"/>
                <w:i/>
                <w:sz w:val="19"/>
                <w:szCs w:val="19"/>
              </w:rPr>
            </m:ctrlPr>
          </m:sSupPr>
          <m:e>
            <m:r>
              <w:rPr>
                <w:rFonts w:ascii="Cambria Math" w:hAnsi="Cambria Math"/>
                <w:sz w:val="19"/>
                <w:szCs w:val="19"/>
              </w:rPr>
              <m:t>r</m:t>
            </m:r>
          </m:e>
          <m:sup>
            <m:r>
              <w:rPr>
                <w:rFonts w:ascii="Cambria Math" w:hAnsi="Cambria Math"/>
                <w:sz w:val="19"/>
                <w:szCs w:val="19"/>
              </w:rPr>
              <m:t>-1</m:t>
            </m:r>
          </m:sup>
        </m:sSup>
      </m:oMath>
      <w:r w:rsidRPr="00E6640A">
        <w:rPr>
          <w:sz w:val="19"/>
          <w:szCs w:val="19"/>
        </w:rPr>
        <w:t xml:space="preserve">. The red curve shows the emulator trajectory using the value of </w:t>
      </w:r>
      <m:oMath>
        <m:r>
          <w:rPr>
            <w:rFonts w:ascii="Cambria Math" w:hAnsi="Cambria Math"/>
            <w:sz w:val="19"/>
            <w:szCs w:val="19"/>
          </w:rPr>
          <m:t>τ=18.94 y</m:t>
        </m:r>
        <m:sSup>
          <m:sSupPr>
            <m:ctrlPr>
              <w:rPr>
                <w:rFonts w:ascii="Cambria Math" w:hAnsi="Cambria Math"/>
                <w:i/>
                <w:sz w:val="19"/>
                <w:szCs w:val="19"/>
              </w:rPr>
            </m:ctrlPr>
          </m:sSupPr>
          <m:e>
            <m:r>
              <w:rPr>
                <w:rFonts w:ascii="Cambria Math" w:hAnsi="Cambria Math"/>
                <w:sz w:val="19"/>
                <w:szCs w:val="19"/>
              </w:rPr>
              <m:t>r</m:t>
            </m:r>
          </m:e>
          <m:sup>
            <m:r>
              <w:rPr>
                <w:rFonts w:ascii="Cambria Math" w:hAnsi="Cambria Math"/>
                <w:sz w:val="19"/>
                <w:szCs w:val="19"/>
              </w:rPr>
              <m:t>-1</m:t>
            </m:r>
          </m:sup>
        </m:sSup>
      </m:oMath>
      <w:r w:rsidRPr="00E6640A">
        <w:rPr>
          <w:sz w:val="19"/>
          <w:szCs w:val="19"/>
        </w:rPr>
        <w:t xml:space="preserve"> obtained in the main manuscript from the 1% </w:t>
      </w:r>
      <m:oMath>
        <m:r>
          <w:rPr>
            <w:rFonts w:ascii="Cambria Math" w:hAnsi="Cambria Math"/>
            <w:sz w:val="19"/>
            <w:szCs w:val="19"/>
          </w:rPr>
          <m:t>C</m:t>
        </m:r>
        <m:sSub>
          <m:sSubPr>
            <m:ctrlPr>
              <w:rPr>
                <w:rFonts w:ascii="Cambria Math" w:hAnsi="Cambria Math"/>
                <w:i/>
                <w:sz w:val="19"/>
                <w:szCs w:val="19"/>
              </w:rPr>
            </m:ctrlPr>
          </m:sSubPr>
          <m:e>
            <m:r>
              <w:rPr>
                <w:rFonts w:ascii="Cambria Math" w:hAnsi="Cambria Math"/>
                <w:sz w:val="19"/>
                <w:szCs w:val="19"/>
              </w:rPr>
              <m:t>O</m:t>
            </m:r>
          </m:e>
          <m:sub>
            <m:r>
              <w:rPr>
                <w:rFonts w:ascii="Cambria Math" w:hAnsi="Cambria Math"/>
                <w:sz w:val="19"/>
                <w:szCs w:val="19"/>
              </w:rPr>
              <m:t>2</m:t>
            </m:r>
          </m:sub>
        </m:sSub>
      </m:oMath>
      <w:r w:rsidRPr="00E6640A">
        <w:rPr>
          <w:sz w:val="19"/>
          <w:szCs w:val="19"/>
        </w:rPr>
        <w:t xml:space="preserve"> increase experiment as </w:t>
      </w:r>
      <m:oMath>
        <m:r>
          <w:rPr>
            <w:rFonts w:ascii="Cambria Math" w:hAnsi="Cambria Math"/>
            <w:sz w:val="19"/>
            <w:szCs w:val="19"/>
          </w:rPr>
          <m:t>EXPC</m:t>
        </m:r>
      </m:oMath>
      <w:r w:rsidRPr="00E6640A">
        <w:rPr>
          <w:sz w:val="19"/>
          <w:szCs w:val="19"/>
        </w:rPr>
        <w:t>.</w:t>
      </w:r>
    </w:p>
    <w:p w14:paraId="0961926D" w14:textId="77777777" w:rsidR="00CD7D15" w:rsidRPr="00623D73" w:rsidRDefault="00CD7D15" w:rsidP="00805B71">
      <w:pPr>
        <w:rPr>
          <w:sz w:val="19"/>
          <w:szCs w:val="19"/>
        </w:rPr>
      </w:pPr>
    </w:p>
    <w:p w14:paraId="5F500E90" w14:textId="77777777" w:rsidR="00220E1E" w:rsidRPr="00623D73" w:rsidRDefault="00220E1E" w:rsidP="00805B71">
      <w:pPr>
        <w:rPr>
          <w:sz w:val="19"/>
          <w:szCs w:val="19"/>
        </w:rPr>
      </w:pPr>
    </w:p>
    <w:p w14:paraId="2A8CB0BF" w14:textId="03328896" w:rsidR="00220E1E" w:rsidRDefault="00BA39FA" w:rsidP="00F55CBF">
      <w:pPr>
        <w:jc w:val="center"/>
        <w:rPr>
          <w:sz w:val="19"/>
          <w:szCs w:val="19"/>
        </w:rPr>
      </w:pPr>
      <w:r>
        <w:rPr>
          <w:noProof/>
          <w:sz w:val="19"/>
          <w:szCs w:val="19"/>
        </w:rPr>
        <w:drawing>
          <wp:inline distT="0" distB="0" distL="0" distR="0" wp14:anchorId="44AE8C4D" wp14:editId="67139CBF">
            <wp:extent cx="3663950" cy="1831975"/>
            <wp:effectExtent l="0" t="0" r="0" b="0"/>
            <wp:docPr id="1865140107" name="Picture 4" descr="A graph showing the temper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40107" name="Picture 4" descr="A graph showing the temperature of a person&#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3950" cy="1831975"/>
                    </a:xfrm>
                    <a:prstGeom prst="rect">
                      <a:avLst/>
                    </a:prstGeom>
                  </pic:spPr>
                </pic:pic>
              </a:graphicData>
            </a:graphic>
          </wp:inline>
        </w:drawing>
      </w:r>
    </w:p>
    <w:p w14:paraId="16373758" w14:textId="77777777" w:rsidR="004169F9" w:rsidRPr="00B153AE" w:rsidRDefault="004169F9" w:rsidP="004169F9">
      <w:pPr>
        <w:pStyle w:val="BodyText"/>
        <w:rPr>
          <w:rFonts w:ascii="Arial" w:eastAsia="Arial" w:hAnsi="Arial" w:cs="Arial"/>
          <w:sz w:val="24"/>
          <w:szCs w:val="28"/>
        </w:rPr>
      </w:pPr>
      <w:r w:rsidRPr="008149C8">
        <w:rPr>
          <w:b/>
          <w:bCs/>
        </w:rPr>
        <w:t xml:space="preserve">Supplementary Figure </w:t>
      </w:r>
      <w:r>
        <w:rPr>
          <w:b/>
          <w:bCs/>
        </w:rPr>
        <w:t>8</w:t>
      </w:r>
      <w:r w:rsidRPr="008149C8">
        <w:rPr>
          <w:b/>
          <w:bCs/>
        </w:rPr>
        <w:t xml:space="preserve"> | Temperature forcing in the validation experiments within cGENIE.</w:t>
      </w:r>
      <w:r w:rsidRPr="008149C8">
        <w:rPr>
          <w:b/>
          <w:bCs/>
        </w:rPr>
        <w:br/>
      </w:r>
      <w:r w:rsidRPr="00B153AE">
        <w:t>These four simulations follow the atmospheric</w:t>
      </w:r>
      <w:r w:rsidRPr="00B153AE">
        <w:rPr>
          <w:rFonts w:ascii="Cambria Math" w:hAnsi="Cambria Math"/>
          <w:i/>
        </w:rPr>
        <w:t xml:space="preserv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Pr="00B153AE">
        <w:t xml:space="preserve"> concentrations prescribed by SSP2-4.5 and SSP5-8.5, either without additional freshwater hosing (solid lines) or with hosing (dashed lines). The hosing consists of a constant 0.06 Sv applied throughout the entire simulation, in the same region as previously, namely between 20° N and 50° N across the full width of the Atlantic.</w:t>
      </w:r>
    </w:p>
    <w:p w14:paraId="7B344641" w14:textId="77777777" w:rsidR="0058161A" w:rsidRPr="00B153AE" w:rsidRDefault="0058161A" w:rsidP="00F454E1">
      <w:pPr>
        <w:pStyle w:val="BodyText"/>
        <w:rPr>
          <w:rFonts w:ascii="Arial" w:eastAsia="Arial" w:hAnsi="Arial" w:cs="Arial"/>
          <w:b/>
          <w:sz w:val="24"/>
          <w:szCs w:val="28"/>
        </w:rPr>
      </w:pPr>
    </w:p>
    <w:p w14:paraId="27470FDD" w14:textId="5946F1C8" w:rsidR="00DE5E49" w:rsidRPr="00B153AE" w:rsidRDefault="00DE5E49" w:rsidP="00DE5E49"/>
    <w:p w14:paraId="7F3E1AD0" w14:textId="77777777" w:rsidR="008A0528" w:rsidRPr="00B153AE" w:rsidRDefault="008A0528"/>
    <w:sectPr w:rsidR="008A0528" w:rsidRPr="00B153AE" w:rsidSect="008F7963">
      <w:headerReference w:type="default" r:id="rId20"/>
      <w:footerReference w:type="default" r:id="rId21"/>
      <w:type w:val="continuous"/>
      <w:pgSz w:w="11906" w:h="16838"/>
      <w:pgMar w:top="1240" w:right="920" w:bottom="700" w:left="920" w:header="528" w:footer="50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307D6" w14:textId="77777777" w:rsidR="007D7CB0" w:rsidRDefault="007D7CB0">
      <w:r>
        <w:separator/>
      </w:r>
    </w:p>
  </w:endnote>
  <w:endnote w:type="continuationSeparator" w:id="0">
    <w:p w14:paraId="53E1729E" w14:textId="77777777" w:rsidR="007D7CB0" w:rsidRDefault="007D7CB0">
      <w:r>
        <w:continuationSeparator/>
      </w:r>
    </w:p>
  </w:endnote>
  <w:endnote w:type="continuationNotice" w:id="1">
    <w:p w14:paraId="3DD98B1C" w14:textId="77777777" w:rsidR="007D7CB0" w:rsidRDefault="007D7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A430A" w14:textId="52386191" w:rsidR="005B5901" w:rsidRDefault="005B5901">
    <w:pPr>
      <w:pStyle w:val="Footer"/>
    </w:pPr>
    <w:r>
      <w:rPr>
        <w:noProof/>
      </w:rPr>
      <mc:AlternateContent>
        <mc:Choice Requires="wps">
          <w:drawing>
            <wp:anchor distT="0" distB="2540" distL="0" distR="0" simplePos="0" relativeHeight="251658241" behindDoc="1" locked="0" layoutInCell="0" allowOverlap="1" wp14:anchorId="409A3A3B" wp14:editId="77B8C212">
              <wp:simplePos x="0" y="0"/>
              <wp:positionH relativeFrom="page">
                <wp:posOffset>0</wp:posOffset>
              </wp:positionH>
              <wp:positionV relativeFrom="page">
                <wp:posOffset>10238740</wp:posOffset>
              </wp:positionV>
              <wp:extent cx="7562850" cy="263525"/>
              <wp:effectExtent l="0" t="0" r="0" b="3175"/>
              <wp:wrapNone/>
              <wp:docPr id="1587240099" name="MSIPCM356a4cc5bdda75b654a7ef3d" descr="{&quot;HashCode&quot;:-134840300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562880" cy="263520"/>
                      </a:xfrm>
                      <a:prstGeom prst="rect">
                        <a:avLst/>
                      </a:prstGeom>
                      <a:noFill/>
                      <a:ln w="6350">
                        <a:noFill/>
                      </a:ln>
                    </wps:spPr>
                    <wps:style>
                      <a:lnRef idx="0">
                        <a:scrgbClr r="0" g="0" b="0"/>
                      </a:lnRef>
                      <a:fillRef idx="0">
                        <a:scrgbClr r="0" g="0" b="0"/>
                      </a:fillRef>
                      <a:effectRef idx="0">
                        <a:scrgbClr r="0" g="0" b="0"/>
                      </a:effectRef>
                      <a:fontRef idx="minor"/>
                    </wps:style>
                    <wps:txbx>
                      <w:txbxContent>
                        <w:sdt>
                          <w:sdtPr>
                            <w:id w:val="-1422484501"/>
                            <w:docPartObj>
                              <w:docPartGallery w:val="Page Numbers (Top of Page)"/>
                              <w:docPartUnique/>
                            </w:docPartObj>
                          </w:sdtPr>
                          <w:sdtContent>
                            <w:p w14:paraId="6A3C58EB" w14:textId="77777777" w:rsidR="005B5901" w:rsidRDefault="005B5901">
                              <w:pPr>
                                <w:pStyle w:val="FrameContents"/>
                                <w:rPr>
                                  <w:color w:val="000000"/>
                                </w:rPr>
                              </w:pPr>
                              <w:r>
                                <w:rPr>
                                  <w:color w:val="000000"/>
                                </w:rPr>
                                <w:t>Information Classification: General</w:t>
                              </w:r>
                            </w:p>
                          </w:sdtContent>
                        </w:sdt>
                      </w:txbxContent>
                    </wps:txbx>
                    <wps:bodyPr lIns="254160" tIns="0" bIns="0" anchor="b">
                      <a:prstTxWarp prst="textNoShape">
                        <a:avLst/>
                      </a:prstTxWarp>
                      <a:noAutofit/>
                    </wps:bodyPr>
                  </wps:wsp>
                </a:graphicData>
              </a:graphic>
            </wp:anchor>
          </w:drawing>
        </mc:Choice>
        <mc:Fallback>
          <w:pict>
            <v:rect w14:anchorId="409A3A3B" id="MSIPCM356a4cc5bdda75b654a7ef3d" o:spid="_x0000_s1026" alt="{&quot;HashCode&quot;:-1348403003,&quot;Height&quot;:842.0,&quot;Width&quot;:595.0,&quot;Placement&quot;:&quot;Footer&quot;,&quot;Index&quot;:&quot;Primary&quot;,&quot;Section&quot;:1,&quot;Top&quot;:0.0,&quot;Left&quot;:0.0}" style="position:absolute;left:0;text-align:left;margin-left:0;margin-top:806.2pt;width:595.5pt;height:20.75pt;z-index:-251658239;visibility:visible;mso-wrap-style:square;mso-wrap-distance-left:0;mso-wrap-distance-top:0;mso-wrap-distance-right:0;mso-wrap-distance-bottom:.2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" o:allowincell="f" filled="f" stroked="f" strokeweight=".5pt">
              <v:textbox inset="7.06mm,0,,0">
                <w:txbxContent>
                  <w:sdt>
                    <w:sdtPr>
                      <w:id w:val="-1422484501"/>
                      <w:docPartObj>
                        <w:docPartGallery w:val="Page Numbers (Top of Page)"/>
                        <w:docPartUnique/>
                      </w:docPartObj>
                    </w:sdtPr>
                    <w:sdtContent>
                      <w:p w14:paraId="6A3C58EB" w14:textId="77777777" w:rsidR="005B5901" w:rsidRDefault="005B5901">
                        <w:pPr>
                          <w:pStyle w:val="FrameContents"/>
                          <w:rPr>
                            <w:color w:val="000000"/>
                          </w:rPr>
                        </w:pPr>
                        <w:r>
                          <w:rPr>
                            <w:color w:val="000000"/>
                          </w:rPr>
                          <w:t>Information Classification: General</w:t>
                        </w:r>
                      </w:p>
                    </w:sdtContent>
                  </w:sdt>
                </w:txbxContent>
              </v:textbox>
              <w10:wrap anchorx="page" anchory="page"/>
            </v:rect>
          </w:pict>
        </mc:Fallback>
      </mc:AlternateContent>
    </w: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24</w:t>
    </w:r>
    <w:r>
      <w:fldChar w:fldCharType="end"/>
    </w:r>
  </w:p>
  <w:p w14:paraId="498AA336" w14:textId="77777777" w:rsidR="005B5901" w:rsidRDefault="005B5901">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ADD85" w14:textId="77777777" w:rsidR="007D7CB0" w:rsidRDefault="007D7CB0">
      <w:r>
        <w:separator/>
      </w:r>
    </w:p>
  </w:footnote>
  <w:footnote w:type="continuationSeparator" w:id="0">
    <w:p w14:paraId="1824DD22" w14:textId="77777777" w:rsidR="007D7CB0" w:rsidRDefault="007D7CB0">
      <w:r>
        <w:continuationSeparator/>
      </w:r>
    </w:p>
  </w:footnote>
  <w:footnote w:type="continuationNotice" w:id="1">
    <w:p w14:paraId="25DF83AB" w14:textId="77777777" w:rsidR="007D7CB0" w:rsidRDefault="007D7C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7A9B1" w14:textId="77777777" w:rsidR="005B5901" w:rsidRDefault="005B5901">
    <w:pPr>
      <w:pStyle w:val="Header"/>
    </w:pPr>
    <w:hyperlink r:id="rId1">
      <w:r>
        <w:rPr>
          <w:rStyle w:val="Hyperlink"/>
          <w:color w:val="004494"/>
          <w:u w:val="none"/>
        </w:rPr>
        <w:t xml:space="preserve"> </w:t>
      </w:r>
      <w:r>
        <w:rPr>
          <w:rStyle w:val="Hyperlink"/>
          <w:rFonts w:ascii="Arial" w:hAnsi="Arial" w:cs="Arial"/>
          <w:color w:val="004494"/>
          <w:sz w:val="18"/>
          <w:szCs w:val="18"/>
          <w:u w:val="none"/>
        </w:rPr>
        <w:t xml:space="preserve">https://open-research-europe.ec.europa.eu </w:t>
      </w:r>
    </w:hyperlink>
    <w:r>
      <w:t xml:space="preserve"> | editorial@open-research-europe.ec.europa.eu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C5EB4"/>
    <w:multiLevelType w:val="multilevel"/>
    <w:tmpl w:val="BEA8C308"/>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50977CC3"/>
    <w:multiLevelType w:val="multilevel"/>
    <w:tmpl w:val="31B42E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19331755">
    <w:abstractNumId w:val="0"/>
  </w:num>
  <w:num w:numId="2" w16cid:durableId="1869416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1E"/>
    <w:rsid w:val="000002D5"/>
    <w:rsid w:val="0000108C"/>
    <w:rsid w:val="000013C9"/>
    <w:rsid w:val="00004816"/>
    <w:rsid w:val="00005D7A"/>
    <w:rsid w:val="00012D69"/>
    <w:rsid w:val="00012F7B"/>
    <w:rsid w:val="00013D89"/>
    <w:rsid w:val="000149E7"/>
    <w:rsid w:val="00015424"/>
    <w:rsid w:val="000164EB"/>
    <w:rsid w:val="00017506"/>
    <w:rsid w:val="000224AA"/>
    <w:rsid w:val="000225A1"/>
    <w:rsid w:val="000246DB"/>
    <w:rsid w:val="00027388"/>
    <w:rsid w:val="00027CE9"/>
    <w:rsid w:val="00027EAD"/>
    <w:rsid w:val="0003389F"/>
    <w:rsid w:val="00033D7D"/>
    <w:rsid w:val="00033E2F"/>
    <w:rsid w:val="00035778"/>
    <w:rsid w:val="0003618D"/>
    <w:rsid w:val="0003768B"/>
    <w:rsid w:val="00037D08"/>
    <w:rsid w:val="00037F2D"/>
    <w:rsid w:val="00040DF2"/>
    <w:rsid w:val="00041A8E"/>
    <w:rsid w:val="00041C84"/>
    <w:rsid w:val="00042B31"/>
    <w:rsid w:val="00042F4C"/>
    <w:rsid w:val="00042FB7"/>
    <w:rsid w:val="00044A8C"/>
    <w:rsid w:val="00045415"/>
    <w:rsid w:val="00045676"/>
    <w:rsid w:val="00045FC4"/>
    <w:rsid w:val="000460B6"/>
    <w:rsid w:val="000501B2"/>
    <w:rsid w:val="00052833"/>
    <w:rsid w:val="00053E86"/>
    <w:rsid w:val="00055A27"/>
    <w:rsid w:val="00056D81"/>
    <w:rsid w:val="00060115"/>
    <w:rsid w:val="00061AB0"/>
    <w:rsid w:val="00061BBF"/>
    <w:rsid w:val="00061F5B"/>
    <w:rsid w:val="00063A04"/>
    <w:rsid w:val="00063CAE"/>
    <w:rsid w:val="00063E46"/>
    <w:rsid w:val="00064357"/>
    <w:rsid w:val="00065084"/>
    <w:rsid w:val="000659FE"/>
    <w:rsid w:val="0006683A"/>
    <w:rsid w:val="000669AD"/>
    <w:rsid w:val="00067055"/>
    <w:rsid w:val="000676B8"/>
    <w:rsid w:val="00070DA2"/>
    <w:rsid w:val="00072B7C"/>
    <w:rsid w:val="000734FC"/>
    <w:rsid w:val="0007502B"/>
    <w:rsid w:val="000753EC"/>
    <w:rsid w:val="00077248"/>
    <w:rsid w:val="000772F1"/>
    <w:rsid w:val="000775DB"/>
    <w:rsid w:val="000777D6"/>
    <w:rsid w:val="00077BC3"/>
    <w:rsid w:val="00080128"/>
    <w:rsid w:val="00080A50"/>
    <w:rsid w:val="00082A19"/>
    <w:rsid w:val="000863C5"/>
    <w:rsid w:val="00086AC3"/>
    <w:rsid w:val="000870F2"/>
    <w:rsid w:val="000909F3"/>
    <w:rsid w:val="00091D25"/>
    <w:rsid w:val="00092AD7"/>
    <w:rsid w:val="00094B5E"/>
    <w:rsid w:val="00095A0E"/>
    <w:rsid w:val="000A05AE"/>
    <w:rsid w:val="000A1CCC"/>
    <w:rsid w:val="000A4A87"/>
    <w:rsid w:val="000B1328"/>
    <w:rsid w:val="000B3293"/>
    <w:rsid w:val="000B4055"/>
    <w:rsid w:val="000B4B7F"/>
    <w:rsid w:val="000B51A1"/>
    <w:rsid w:val="000B6839"/>
    <w:rsid w:val="000B6AF4"/>
    <w:rsid w:val="000C06C7"/>
    <w:rsid w:val="000C0710"/>
    <w:rsid w:val="000C0F4A"/>
    <w:rsid w:val="000C15A9"/>
    <w:rsid w:val="000C2602"/>
    <w:rsid w:val="000C44F0"/>
    <w:rsid w:val="000C506B"/>
    <w:rsid w:val="000C6371"/>
    <w:rsid w:val="000C7425"/>
    <w:rsid w:val="000D00AB"/>
    <w:rsid w:val="000D0C3A"/>
    <w:rsid w:val="000D409A"/>
    <w:rsid w:val="000D4563"/>
    <w:rsid w:val="000D4B86"/>
    <w:rsid w:val="000D5434"/>
    <w:rsid w:val="000D659B"/>
    <w:rsid w:val="000D6676"/>
    <w:rsid w:val="000D76DC"/>
    <w:rsid w:val="000E09B7"/>
    <w:rsid w:val="000E1BAE"/>
    <w:rsid w:val="000E1C0D"/>
    <w:rsid w:val="000E27E1"/>
    <w:rsid w:val="000E59F6"/>
    <w:rsid w:val="000E6D5C"/>
    <w:rsid w:val="000F0543"/>
    <w:rsid w:val="000F0E4C"/>
    <w:rsid w:val="000F2130"/>
    <w:rsid w:val="000F3B12"/>
    <w:rsid w:val="000F6093"/>
    <w:rsid w:val="000F62F9"/>
    <w:rsid w:val="000F71D1"/>
    <w:rsid w:val="000F7362"/>
    <w:rsid w:val="00104E69"/>
    <w:rsid w:val="001050FF"/>
    <w:rsid w:val="001054EF"/>
    <w:rsid w:val="001061FD"/>
    <w:rsid w:val="00110D16"/>
    <w:rsid w:val="0011777A"/>
    <w:rsid w:val="00120AC4"/>
    <w:rsid w:val="001251C9"/>
    <w:rsid w:val="00126FB9"/>
    <w:rsid w:val="00127BD9"/>
    <w:rsid w:val="00127C3F"/>
    <w:rsid w:val="001303E6"/>
    <w:rsid w:val="00130C30"/>
    <w:rsid w:val="001320BE"/>
    <w:rsid w:val="001324B1"/>
    <w:rsid w:val="001327BA"/>
    <w:rsid w:val="001347CA"/>
    <w:rsid w:val="00134A0A"/>
    <w:rsid w:val="00135DF1"/>
    <w:rsid w:val="00137EBA"/>
    <w:rsid w:val="00140B6B"/>
    <w:rsid w:val="00142223"/>
    <w:rsid w:val="00143986"/>
    <w:rsid w:val="001462B5"/>
    <w:rsid w:val="00146EB5"/>
    <w:rsid w:val="00147784"/>
    <w:rsid w:val="001503D1"/>
    <w:rsid w:val="0015191C"/>
    <w:rsid w:val="00153CBD"/>
    <w:rsid w:val="001546D1"/>
    <w:rsid w:val="0015507A"/>
    <w:rsid w:val="00156B10"/>
    <w:rsid w:val="00157138"/>
    <w:rsid w:val="0015729E"/>
    <w:rsid w:val="001613A4"/>
    <w:rsid w:val="00164191"/>
    <w:rsid w:val="001647CD"/>
    <w:rsid w:val="001659ED"/>
    <w:rsid w:val="00166C2A"/>
    <w:rsid w:val="001670D8"/>
    <w:rsid w:val="00171EDD"/>
    <w:rsid w:val="00174595"/>
    <w:rsid w:val="001747A1"/>
    <w:rsid w:val="00175781"/>
    <w:rsid w:val="001766F1"/>
    <w:rsid w:val="00176D00"/>
    <w:rsid w:val="0017760B"/>
    <w:rsid w:val="001816A5"/>
    <w:rsid w:val="00182023"/>
    <w:rsid w:val="001906CA"/>
    <w:rsid w:val="00193753"/>
    <w:rsid w:val="00193D0D"/>
    <w:rsid w:val="00194AF8"/>
    <w:rsid w:val="00194E03"/>
    <w:rsid w:val="00197563"/>
    <w:rsid w:val="001A10CF"/>
    <w:rsid w:val="001A181D"/>
    <w:rsid w:val="001A1DF9"/>
    <w:rsid w:val="001A1FF2"/>
    <w:rsid w:val="001A2DD6"/>
    <w:rsid w:val="001A67ED"/>
    <w:rsid w:val="001A72B1"/>
    <w:rsid w:val="001A7E7E"/>
    <w:rsid w:val="001A7FB9"/>
    <w:rsid w:val="001B080D"/>
    <w:rsid w:val="001B1AB6"/>
    <w:rsid w:val="001B1F20"/>
    <w:rsid w:val="001B49C8"/>
    <w:rsid w:val="001B5A47"/>
    <w:rsid w:val="001B5E4D"/>
    <w:rsid w:val="001B6FFB"/>
    <w:rsid w:val="001B7E8F"/>
    <w:rsid w:val="001C1A4B"/>
    <w:rsid w:val="001C36E6"/>
    <w:rsid w:val="001C7632"/>
    <w:rsid w:val="001D0A70"/>
    <w:rsid w:val="001D1992"/>
    <w:rsid w:val="001D21F8"/>
    <w:rsid w:val="001D23E4"/>
    <w:rsid w:val="001D2668"/>
    <w:rsid w:val="001D27C6"/>
    <w:rsid w:val="001D2C15"/>
    <w:rsid w:val="001D493A"/>
    <w:rsid w:val="001D5C40"/>
    <w:rsid w:val="001D68A1"/>
    <w:rsid w:val="001E019C"/>
    <w:rsid w:val="001E07B9"/>
    <w:rsid w:val="001E2BC3"/>
    <w:rsid w:val="001E3B46"/>
    <w:rsid w:val="001F2334"/>
    <w:rsid w:val="001F2ED4"/>
    <w:rsid w:val="001F614B"/>
    <w:rsid w:val="001F7859"/>
    <w:rsid w:val="00200215"/>
    <w:rsid w:val="00200382"/>
    <w:rsid w:val="00200934"/>
    <w:rsid w:val="00201939"/>
    <w:rsid w:val="00202F8B"/>
    <w:rsid w:val="00204AB1"/>
    <w:rsid w:val="002066FD"/>
    <w:rsid w:val="00206779"/>
    <w:rsid w:val="00207A30"/>
    <w:rsid w:val="00207C33"/>
    <w:rsid w:val="00210B48"/>
    <w:rsid w:val="00210DB6"/>
    <w:rsid w:val="00217A17"/>
    <w:rsid w:val="00220C56"/>
    <w:rsid w:val="00220E1E"/>
    <w:rsid w:val="00221064"/>
    <w:rsid w:val="00221DC9"/>
    <w:rsid w:val="00221E1D"/>
    <w:rsid w:val="00224099"/>
    <w:rsid w:val="002245BB"/>
    <w:rsid w:val="002259BB"/>
    <w:rsid w:val="00226BBC"/>
    <w:rsid w:val="002271F9"/>
    <w:rsid w:val="00230D88"/>
    <w:rsid w:val="00232E37"/>
    <w:rsid w:val="002346FD"/>
    <w:rsid w:val="002412E0"/>
    <w:rsid w:val="00241F87"/>
    <w:rsid w:val="00243F61"/>
    <w:rsid w:val="00246348"/>
    <w:rsid w:val="00246E3F"/>
    <w:rsid w:val="002476B2"/>
    <w:rsid w:val="00247932"/>
    <w:rsid w:val="00247EF7"/>
    <w:rsid w:val="002514C0"/>
    <w:rsid w:val="002536BD"/>
    <w:rsid w:val="00253D79"/>
    <w:rsid w:val="002546D2"/>
    <w:rsid w:val="00254B1C"/>
    <w:rsid w:val="00257D7D"/>
    <w:rsid w:val="00260416"/>
    <w:rsid w:val="002605F4"/>
    <w:rsid w:val="00262262"/>
    <w:rsid w:val="002625E5"/>
    <w:rsid w:val="00266007"/>
    <w:rsid w:val="00266B91"/>
    <w:rsid w:val="002705D8"/>
    <w:rsid w:val="00272C06"/>
    <w:rsid w:val="00272F0A"/>
    <w:rsid w:val="002731BD"/>
    <w:rsid w:val="00274C90"/>
    <w:rsid w:val="00275483"/>
    <w:rsid w:val="002754AB"/>
    <w:rsid w:val="002757CD"/>
    <w:rsid w:val="00275CF5"/>
    <w:rsid w:val="00275F4F"/>
    <w:rsid w:val="00276E48"/>
    <w:rsid w:val="00281039"/>
    <w:rsid w:val="00282409"/>
    <w:rsid w:val="0028259F"/>
    <w:rsid w:val="00283BDA"/>
    <w:rsid w:val="00284865"/>
    <w:rsid w:val="00285A69"/>
    <w:rsid w:val="00286282"/>
    <w:rsid w:val="00287EFE"/>
    <w:rsid w:val="00290D63"/>
    <w:rsid w:val="0029201E"/>
    <w:rsid w:val="00293405"/>
    <w:rsid w:val="0029347B"/>
    <w:rsid w:val="002953B0"/>
    <w:rsid w:val="00297F09"/>
    <w:rsid w:val="00297FED"/>
    <w:rsid w:val="002A02DF"/>
    <w:rsid w:val="002A0356"/>
    <w:rsid w:val="002A0818"/>
    <w:rsid w:val="002A0852"/>
    <w:rsid w:val="002A0A75"/>
    <w:rsid w:val="002A1EFC"/>
    <w:rsid w:val="002A25F0"/>
    <w:rsid w:val="002A5B99"/>
    <w:rsid w:val="002B1600"/>
    <w:rsid w:val="002B1DCF"/>
    <w:rsid w:val="002B4733"/>
    <w:rsid w:val="002B4DCF"/>
    <w:rsid w:val="002B7100"/>
    <w:rsid w:val="002C2766"/>
    <w:rsid w:val="002C2E9E"/>
    <w:rsid w:val="002C315B"/>
    <w:rsid w:val="002C3476"/>
    <w:rsid w:val="002C4CF1"/>
    <w:rsid w:val="002C5FF3"/>
    <w:rsid w:val="002D3A8B"/>
    <w:rsid w:val="002D3AB8"/>
    <w:rsid w:val="002D3B10"/>
    <w:rsid w:val="002D5842"/>
    <w:rsid w:val="002D7A27"/>
    <w:rsid w:val="002E573C"/>
    <w:rsid w:val="002E5780"/>
    <w:rsid w:val="002E61F8"/>
    <w:rsid w:val="002F1963"/>
    <w:rsid w:val="002F1C85"/>
    <w:rsid w:val="002F2BD0"/>
    <w:rsid w:val="002F344C"/>
    <w:rsid w:val="002F3A60"/>
    <w:rsid w:val="002F5F04"/>
    <w:rsid w:val="002F7A6F"/>
    <w:rsid w:val="00300240"/>
    <w:rsid w:val="0030134F"/>
    <w:rsid w:val="003016DE"/>
    <w:rsid w:val="003030EB"/>
    <w:rsid w:val="00305F7A"/>
    <w:rsid w:val="00307756"/>
    <w:rsid w:val="00313A4B"/>
    <w:rsid w:val="00313B74"/>
    <w:rsid w:val="003148E5"/>
    <w:rsid w:val="003160EB"/>
    <w:rsid w:val="003166E9"/>
    <w:rsid w:val="00317174"/>
    <w:rsid w:val="003175EB"/>
    <w:rsid w:val="00317DAD"/>
    <w:rsid w:val="00320E06"/>
    <w:rsid w:val="003213B9"/>
    <w:rsid w:val="00322FA2"/>
    <w:rsid w:val="00323897"/>
    <w:rsid w:val="003242F9"/>
    <w:rsid w:val="0032604B"/>
    <w:rsid w:val="00326351"/>
    <w:rsid w:val="00326CA5"/>
    <w:rsid w:val="00327C6D"/>
    <w:rsid w:val="00327D54"/>
    <w:rsid w:val="00332276"/>
    <w:rsid w:val="00334C3A"/>
    <w:rsid w:val="00336B83"/>
    <w:rsid w:val="00337AD3"/>
    <w:rsid w:val="00337C01"/>
    <w:rsid w:val="0034018A"/>
    <w:rsid w:val="00344916"/>
    <w:rsid w:val="00344B03"/>
    <w:rsid w:val="003461BB"/>
    <w:rsid w:val="0034774F"/>
    <w:rsid w:val="003509E9"/>
    <w:rsid w:val="00350F51"/>
    <w:rsid w:val="003545A6"/>
    <w:rsid w:val="0035552F"/>
    <w:rsid w:val="00355E3F"/>
    <w:rsid w:val="003566B8"/>
    <w:rsid w:val="00360796"/>
    <w:rsid w:val="00363B8D"/>
    <w:rsid w:val="003649C0"/>
    <w:rsid w:val="00373619"/>
    <w:rsid w:val="003736BC"/>
    <w:rsid w:val="003801B0"/>
    <w:rsid w:val="00381FA6"/>
    <w:rsid w:val="00382597"/>
    <w:rsid w:val="00384934"/>
    <w:rsid w:val="003854D2"/>
    <w:rsid w:val="00386E21"/>
    <w:rsid w:val="00390BE2"/>
    <w:rsid w:val="00391AA8"/>
    <w:rsid w:val="0039207B"/>
    <w:rsid w:val="00392A91"/>
    <w:rsid w:val="00395406"/>
    <w:rsid w:val="00396DD4"/>
    <w:rsid w:val="003A1A32"/>
    <w:rsid w:val="003A2416"/>
    <w:rsid w:val="003A289A"/>
    <w:rsid w:val="003A2E6F"/>
    <w:rsid w:val="003A44D2"/>
    <w:rsid w:val="003A4DC3"/>
    <w:rsid w:val="003A7E53"/>
    <w:rsid w:val="003B0D0F"/>
    <w:rsid w:val="003B32D8"/>
    <w:rsid w:val="003B3656"/>
    <w:rsid w:val="003B4260"/>
    <w:rsid w:val="003B5409"/>
    <w:rsid w:val="003B7327"/>
    <w:rsid w:val="003B7EC3"/>
    <w:rsid w:val="003C013D"/>
    <w:rsid w:val="003C1FB2"/>
    <w:rsid w:val="003C3AF5"/>
    <w:rsid w:val="003C574D"/>
    <w:rsid w:val="003C69E4"/>
    <w:rsid w:val="003D05FF"/>
    <w:rsid w:val="003D0CB6"/>
    <w:rsid w:val="003D39CD"/>
    <w:rsid w:val="003D5527"/>
    <w:rsid w:val="003D56AF"/>
    <w:rsid w:val="003D5EED"/>
    <w:rsid w:val="003D7A55"/>
    <w:rsid w:val="003E2071"/>
    <w:rsid w:val="003E38C6"/>
    <w:rsid w:val="003E4CF0"/>
    <w:rsid w:val="003E6B22"/>
    <w:rsid w:val="003E6E50"/>
    <w:rsid w:val="003F24F2"/>
    <w:rsid w:val="003F2D2D"/>
    <w:rsid w:val="003F7136"/>
    <w:rsid w:val="00403CF4"/>
    <w:rsid w:val="004041E4"/>
    <w:rsid w:val="00404E5A"/>
    <w:rsid w:val="00405394"/>
    <w:rsid w:val="00410B36"/>
    <w:rsid w:val="004116B7"/>
    <w:rsid w:val="00411C6B"/>
    <w:rsid w:val="00411E45"/>
    <w:rsid w:val="00411F9E"/>
    <w:rsid w:val="00413774"/>
    <w:rsid w:val="00414BD8"/>
    <w:rsid w:val="004160FC"/>
    <w:rsid w:val="00416661"/>
    <w:rsid w:val="004169F9"/>
    <w:rsid w:val="00420103"/>
    <w:rsid w:val="00420267"/>
    <w:rsid w:val="00420611"/>
    <w:rsid w:val="004225D8"/>
    <w:rsid w:val="00422651"/>
    <w:rsid w:val="004251E5"/>
    <w:rsid w:val="00427606"/>
    <w:rsid w:val="00432020"/>
    <w:rsid w:val="00433AED"/>
    <w:rsid w:val="00433E54"/>
    <w:rsid w:val="00442B21"/>
    <w:rsid w:val="00443AC9"/>
    <w:rsid w:val="00444779"/>
    <w:rsid w:val="004454D4"/>
    <w:rsid w:val="00447CB7"/>
    <w:rsid w:val="00451D63"/>
    <w:rsid w:val="00451F7D"/>
    <w:rsid w:val="00452695"/>
    <w:rsid w:val="00453052"/>
    <w:rsid w:val="0045362B"/>
    <w:rsid w:val="0045364C"/>
    <w:rsid w:val="0045579A"/>
    <w:rsid w:val="00460A18"/>
    <w:rsid w:val="0046205D"/>
    <w:rsid w:val="00464535"/>
    <w:rsid w:val="00464A93"/>
    <w:rsid w:val="0046642A"/>
    <w:rsid w:val="00466533"/>
    <w:rsid w:val="00466D08"/>
    <w:rsid w:val="004672C6"/>
    <w:rsid w:val="00467865"/>
    <w:rsid w:val="00467D20"/>
    <w:rsid w:val="0047001C"/>
    <w:rsid w:val="004714C6"/>
    <w:rsid w:val="00471C99"/>
    <w:rsid w:val="00471F15"/>
    <w:rsid w:val="00475348"/>
    <w:rsid w:val="00475E7F"/>
    <w:rsid w:val="00477728"/>
    <w:rsid w:val="004807DA"/>
    <w:rsid w:val="00482E11"/>
    <w:rsid w:val="00483256"/>
    <w:rsid w:val="00485330"/>
    <w:rsid w:val="00486A88"/>
    <w:rsid w:val="004921BE"/>
    <w:rsid w:val="00494298"/>
    <w:rsid w:val="00497879"/>
    <w:rsid w:val="00497CF1"/>
    <w:rsid w:val="004A04D9"/>
    <w:rsid w:val="004A6FE8"/>
    <w:rsid w:val="004A7010"/>
    <w:rsid w:val="004A7131"/>
    <w:rsid w:val="004B1066"/>
    <w:rsid w:val="004B201E"/>
    <w:rsid w:val="004B21E7"/>
    <w:rsid w:val="004B52F9"/>
    <w:rsid w:val="004B76EC"/>
    <w:rsid w:val="004C0E6E"/>
    <w:rsid w:val="004C158D"/>
    <w:rsid w:val="004C2135"/>
    <w:rsid w:val="004C30C5"/>
    <w:rsid w:val="004C31A6"/>
    <w:rsid w:val="004D2BBD"/>
    <w:rsid w:val="004D50DD"/>
    <w:rsid w:val="004D6956"/>
    <w:rsid w:val="004E060D"/>
    <w:rsid w:val="004E2224"/>
    <w:rsid w:val="004E4259"/>
    <w:rsid w:val="004E498A"/>
    <w:rsid w:val="004E4FC6"/>
    <w:rsid w:val="004E589B"/>
    <w:rsid w:val="004E5905"/>
    <w:rsid w:val="004F1A01"/>
    <w:rsid w:val="004F1E6F"/>
    <w:rsid w:val="004F22BE"/>
    <w:rsid w:val="004F2ECC"/>
    <w:rsid w:val="004F38CD"/>
    <w:rsid w:val="004F529E"/>
    <w:rsid w:val="004F7E70"/>
    <w:rsid w:val="005015E7"/>
    <w:rsid w:val="00501A2C"/>
    <w:rsid w:val="00501A4E"/>
    <w:rsid w:val="005037E1"/>
    <w:rsid w:val="00504FB8"/>
    <w:rsid w:val="00505EE9"/>
    <w:rsid w:val="00506597"/>
    <w:rsid w:val="00507152"/>
    <w:rsid w:val="0051116C"/>
    <w:rsid w:val="005112BC"/>
    <w:rsid w:val="00511DA3"/>
    <w:rsid w:val="00513152"/>
    <w:rsid w:val="0051414F"/>
    <w:rsid w:val="005147FA"/>
    <w:rsid w:val="00514A57"/>
    <w:rsid w:val="00515963"/>
    <w:rsid w:val="00520806"/>
    <w:rsid w:val="00520D11"/>
    <w:rsid w:val="00521804"/>
    <w:rsid w:val="00523526"/>
    <w:rsid w:val="00523CD5"/>
    <w:rsid w:val="00524EA3"/>
    <w:rsid w:val="005254E2"/>
    <w:rsid w:val="00525E8E"/>
    <w:rsid w:val="00527003"/>
    <w:rsid w:val="005303D7"/>
    <w:rsid w:val="00530CA2"/>
    <w:rsid w:val="00534AFE"/>
    <w:rsid w:val="005350D2"/>
    <w:rsid w:val="005367EB"/>
    <w:rsid w:val="00536E9F"/>
    <w:rsid w:val="00540765"/>
    <w:rsid w:val="0054086A"/>
    <w:rsid w:val="00541CE2"/>
    <w:rsid w:val="00542A4D"/>
    <w:rsid w:val="005438BA"/>
    <w:rsid w:val="00544854"/>
    <w:rsid w:val="00546E63"/>
    <w:rsid w:val="00554634"/>
    <w:rsid w:val="00554DD4"/>
    <w:rsid w:val="00557589"/>
    <w:rsid w:val="005628BB"/>
    <w:rsid w:val="00562CDA"/>
    <w:rsid w:val="005660F6"/>
    <w:rsid w:val="00570087"/>
    <w:rsid w:val="0057016A"/>
    <w:rsid w:val="00570862"/>
    <w:rsid w:val="005712BC"/>
    <w:rsid w:val="0057168D"/>
    <w:rsid w:val="0057268A"/>
    <w:rsid w:val="00573919"/>
    <w:rsid w:val="0058161A"/>
    <w:rsid w:val="0058183D"/>
    <w:rsid w:val="005838D3"/>
    <w:rsid w:val="00585331"/>
    <w:rsid w:val="00586180"/>
    <w:rsid w:val="0058677B"/>
    <w:rsid w:val="005876A6"/>
    <w:rsid w:val="00587CDF"/>
    <w:rsid w:val="00587F43"/>
    <w:rsid w:val="0059306A"/>
    <w:rsid w:val="00597F6B"/>
    <w:rsid w:val="005A1139"/>
    <w:rsid w:val="005A135E"/>
    <w:rsid w:val="005A16D9"/>
    <w:rsid w:val="005A30DD"/>
    <w:rsid w:val="005A31AE"/>
    <w:rsid w:val="005A3CF5"/>
    <w:rsid w:val="005A435F"/>
    <w:rsid w:val="005A43FA"/>
    <w:rsid w:val="005A4ADD"/>
    <w:rsid w:val="005A4F06"/>
    <w:rsid w:val="005A53C7"/>
    <w:rsid w:val="005A6D4A"/>
    <w:rsid w:val="005A74A7"/>
    <w:rsid w:val="005B13CA"/>
    <w:rsid w:val="005B40D8"/>
    <w:rsid w:val="005B43B9"/>
    <w:rsid w:val="005B5901"/>
    <w:rsid w:val="005B5D05"/>
    <w:rsid w:val="005B624A"/>
    <w:rsid w:val="005C03A2"/>
    <w:rsid w:val="005C1553"/>
    <w:rsid w:val="005C4668"/>
    <w:rsid w:val="005C629F"/>
    <w:rsid w:val="005D0EC6"/>
    <w:rsid w:val="005D1386"/>
    <w:rsid w:val="005D175A"/>
    <w:rsid w:val="005D2225"/>
    <w:rsid w:val="005D2346"/>
    <w:rsid w:val="005D57D6"/>
    <w:rsid w:val="005D5C0F"/>
    <w:rsid w:val="005D63C4"/>
    <w:rsid w:val="005D666D"/>
    <w:rsid w:val="005D6C7B"/>
    <w:rsid w:val="005E0495"/>
    <w:rsid w:val="005E241D"/>
    <w:rsid w:val="005E27E5"/>
    <w:rsid w:val="005E3CAB"/>
    <w:rsid w:val="005E57EA"/>
    <w:rsid w:val="005E58B0"/>
    <w:rsid w:val="005E6429"/>
    <w:rsid w:val="005E730C"/>
    <w:rsid w:val="005F1553"/>
    <w:rsid w:val="005F2EF3"/>
    <w:rsid w:val="005F43DB"/>
    <w:rsid w:val="005F629C"/>
    <w:rsid w:val="005F6AF5"/>
    <w:rsid w:val="006006F3"/>
    <w:rsid w:val="00601157"/>
    <w:rsid w:val="006027A0"/>
    <w:rsid w:val="00602A95"/>
    <w:rsid w:val="00606021"/>
    <w:rsid w:val="00607377"/>
    <w:rsid w:val="006078CD"/>
    <w:rsid w:val="00607DC6"/>
    <w:rsid w:val="006149FD"/>
    <w:rsid w:val="0061660F"/>
    <w:rsid w:val="00621021"/>
    <w:rsid w:val="00621F1C"/>
    <w:rsid w:val="00623D73"/>
    <w:rsid w:val="00624410"/>
    <w:rsid w:val="00624776"/>
    <w:rsid w:val="006247DA"/>
    <w:rsid w:val="00624834"/>
    <w:rsid w:val="006250C1"/>
    <w:rsid w:val="00625D46"/>
    <w:rsid w:val="006272AC"/>
    <w:rsid w:val="00627998"/>
    <w:rsid w:val="00631378"/>
    <w:rsid w:val="006313E4"/>
    <w:rsid w:val="00632103"/>
    <w:rsid w:val="00632838"/>
    <w:rsid w:val="00632BC8"/>
    <w:rsid w:val="006333FB"/>
    <w:rsid w:val="006341AB"/>
    <w:rsid w:val="0063486D"/>
    <w:rsid w:val="006352A6"/>
    <w:rsid w:val="00635B32"/>
    <w:rsid w:val="00637036"/>
    <w:rsid w:val="00641413"/>
    <w:rsid w:val="006430CA"/>
    <w:rsid w:val="00644425"/>
    <w:rsid w:val="00645714"/>
    <w:rsid w:val="006459BD"/>
    <w:rsid w:val="00645BBC"/>
    <w:rsid w:val="006520C2"/>
    <w:rsid w:val="006522E7"/>
    <w:rsid w:val="00652394"/>
    <w:rsid w:val="006530AB"/>
    <w:rsid w:val="00653CAB"/>
    <w:rsid w:val="0065433B"/>
    <w:rsid w:val="00656699"/>
    <w:rsid w:val="006567BB"/>
    <w:rsid w:val="00657803"/>
    <w:rsid w:val="006606BC"/>
    <w:rsid w:val="00663DA9"/>
    <w:rsid w:val="0066556A"/>
    <w:rsid w:val="00670B64"/>
    <w:rsid w:val="00672A62"/>
    <w:rsid w:val="00672D63"/>
    <w:rsid w:val="0068394D"/>
    <w:rsid w:val="0068567A"/>
    <w:rsid w:val="00685F7A"/>
    <w:rsid w:val="00685FD5"/>
    <w:rsid w:val="006871C1"/>
    <w:rsid w:val="0069000A"/>
    <w:rsid w:val="00690EFF"/>
    <w:rsid w:val="00692A3F"/>
    <w:rsid w:val="0069508D"/>
    <w:rsid w:val="00696CB6"/>
    <w:rsid w:val="006979B9"/>
    <w:rsid w:val="006A02CF"/>
    <w:rsid w:val="006A1FFA"/>
    <w:rsid w:val="006A21EA"/>
    <w:rsid w:val="006A5913"/>
    <w:rsid w:val="006A7095"/>
    <w:rsid w:val="006A7CCD"/>
    <w:rsid w:val="006B103A"/>
    <w:rsid w:val="006B104C"/>
    <w:rsid w:val="006B69F8"/>
    <w:rsid w:val="006C2286"/>
    <w:rsid w:val="006C2FA4"/>
    <w:rsid w:val="006C351E"/>
    <w:rsid w:val="006C6899"/>
    <w:rsid w:val="006C68DE"/>
    <w:rsid w:val="006D032E"/>
    <w:rsid w:val="006D3A8D"/>
    <w:rsid w:val="006D4624"/>
    <w:rsid w:val="006D4C4A"/>
    <w:rsid w:val="006D5407"/>
    <w:rsid w:val="006D74EC"/>
    <w:rsid w:val="006E007F"/>
    <w:rsid w:val="006E0A20"/>
    <w:rsid w:val="006E56D6"/>
    <w:rsid w:val="006E77FD"/>
    <w:rsid w:val="006F02AA"/>
    <w:rsid w:val="006F169D"/>
    <w:rsid w:val="006F2B83"/>
    <w:rsid w:val="006F5135"/>
    <w:rsid w:val="006F5C58"/>
    <w:rsid w:val="006F641D"/>
    <w:rsid w:val="006F74A5"/>
    <w:rsid w:val="006F75CF"/>
    <w:rsid w:val="0070007D"/>
    <w:rsid w:val="00702B07"/>
    <w:rsid w:val="0070345A"/>
    <w:rsid w:val="00703793"/>
    <w:rsid w:val="00704FBE"/>
    <w:rsid w:val="007058F9"/>
    <w:rsid w:val="007077DE"/>
    <w:rsid w:val="00710E31"/>
    <w:rsid w:val="007110A1"/>
    <w:rsid w:val="00711E67"/>
    <w:rsid w:val="0071250A"/>
    <w:rsid w:val="00713625"/>
    <w:rsid w:val="00714F5C"/>
    <w:rsid w:val="00715943"/>
    <w:rsid w:val="00717BB4"/>
    <w:rsid w:val="0072041D"/>
    <w:rsid w:val="00723027"/>
    <w:rsid w:val="007235ED"/>
    <w:rsid w:val="0072461C"/>
    <w:rsid w:val="0072562B"/>
    <w:rsid w:val="00734622"/>
    <w:rsid w:val="00736E48"/>
    <w:rsid w:val="0073724C"/>
    <w:rsid w:val="00737B75"/>
    <w:rsid w:val="00741DB2"/>
    <w:rsid w:val="007425C0"/>
    <w:rsid w:val="007439E8"/>
    <w:rsid w:val="007439ED"/>
    <w:rsid w:val="00746AE7"/>
    <w:rsid w:val="00747679"/>
    <w:rsid w:val="007504FA"/>
    <w:rsid w:val="00750654"/>
    <w:rsid w:val="00752D22"/>
    <w:rsid w:val="00754264"/>
    <w:rsid w:val="00755EAB"/>
    <w:rsid w:val="00756FC2"/>
    <w:rsid w:val="0075737E"/>
    <w:rsid w:val="007574EF"/>
    <w:rsid w:val="00761A15"/>
    <w:rsid w:val="007639A0"/>
    <w:rsid w:val="00765A4F"/>
    <w:rsid w:val="00765F97"/>
    <w:rsid w:val="007666E6"/>
    <w:rsid w:val="00766910"/>
    <w:rsid w:val="0076746D"/>
    <w:rsid w:val="00767D6B"/>
    <w:rsid w:val="0077037C"/>
    <w:rsid w:val="007735E5"/>
    <w:rsid w:val="0077398B"/>
    <w:rsid w:val="007750BC"/>
    <w:rsid w:val="007773F9"/>
    <w:rsid w:val="00780EB4"/>
    <w:rsid w:val="0078223E"/>
    <w:rsid w:val="00782E40"/>
    <w:rsid w:val="00785203"/>
    <w:rsid w:val="007857E2"/>
    <w:rsid w:val="00791BBF"/>
    <w:rsid w:val="00791F15"/>
    <w:rsid w:val="007924B7"/>
    <w:rsid w:val="00795926"/>
    <w:rsid w:val="007A054D"/>
    <w:rsid w:val="007A15E3"/>
    <w:rsid w:val="007A1EF5"/>
    <w:rsid w:val="007A2A1E"/>
    <w:rsid w:val="007A6207"/>
    <w:rsid w:val="007A7EBC"/>
    <w:rsid w:val="007B3687"/>
    <w:rsid w:val="007B5885"/>
    <w:rsid w:val="007B7C20"/>
    <w:rsid w:val="007C2166"/>
    <w:rsid w:val="007C35E1"/>
    <w:rsid w:val="007C377F"/>
    <w:rsid w:val="007C4386"/>
    <w:rsid w:val="007D023A"/>
    <w:rsid w:val="007D09C7"/>
    <w:rsid w:val="007D15C1"/>
    <w:rsid w:val="007D2F95"/>
    <w:rsid w:val="007D3834"/>
    <w:rsid w:val="007D46E9"/>
    <w:rsid w:val="007D4917"/>
    <w:rsid w:val="007D6085"/>
    <w:rsid w:val="007D780F"/>
    <w:rsid w:val="007D7CB0"/>
    <w:rsid w:val="007E110A"/>
    <w:rsid w:val="007E1799"/>
    <w:rsid w:val="007E5D1D"/>
    <w:rsid w:val="007E64EF"/>
    <w:rsid w:val="007E6985"/>
    <w:rsid w:val="007E7C39"/>
    <w:rsid w:val="007F289A"/>
    <w:rsid w:val="007F4E98"/>
    <w:rsid w:val="007F50BE"/>
    <w:rsid w:val="007F54ED"/>
    <w:rsid w:val="007F76BE"/>
    <w:rsid w:val="007F787B"/>
    <w:rsid w:val="008016A1"/>
    <w:rsid w:val="008022CB"/>
    <w:rsid w:val="0080269B"/>
    <w:rsid w:val="00804577"/>
    <w:rsid w:val="008051AC"/>
    <w:rsid w:val="00805AD0"/>
    <w:rsid w:val="00805B71"/>
    <w:rsid w:val="0081110A"/>
    <w:rsid w:val="00812C1F"/>
    <w:rsid w:val="00813857"/>
    <w:rsid w:val="00813FE6"/>
    <w:rsid w:val="008149C8"/>
    <w:rsid w:val="00814BAB"/>
    <w:rsid w:val="00815598"/>
    <w:rsid w:val="00815B71"/>
    <w:rsid w:val="008161D1"/>
    <w:rsid w:val="0082099E"/>
    <w:rsid w:val="00822860"/>
    <w:rsid w:val="008242FC"/>
    <w:rsid w:val="00824522"/>
    <w:rsid w:val="008249B3"/>
    <w:rsid w:val="00827C89"/>
    <w:rsid w:val="00830A71"/>
    <w:rsid w:val="008323D0"/>
    <w:rsid w:val="00832415"/>
    <w:rsid w:val="00832901"/>
    <w:rsid w:val="008329A4"/>
    <w:rsid w:val="00833C03"/>
    <w:rsid w:val="00834ACC"/>
    <w:rsid w:val="00836013"/>
    <w:rsid w:val="00836479"/>
    <w:rsid w:val="00836BDF"/>
    <w:rsid w:val="00837636"/>
    <w:rsid w:val="00843BE5"/>
    <w:rsid w:val="00844297"/>
    <w:rsid w:val="00844FA1"/>
    <w:rsid w:val="00845C2C"/>
    <w:rsid w:val="00847B76"/>
    <w:rsid w:val="00847F1D"/>
    <w:rsid w:val="00847F33"/>
    <w:rsid w:val="00850FD7"/>
    <w:rsid w:val="00851C9E"/>
    <w:rsid w:val="00852753"/>
    <w:rsid w:val="00852A4A"/>
    <w:rsid w:val="00857080"/>
    <w:rsid w:val="0086030C"/>
    <w:rsid w:val="008609E4"/>
    <w:rsid w:val="00862D48"/>
    <w:rsid w:val="00862DEA"/>
    <w:rsid w:val="008632B3"/>
    <w:rsid w:val="008638FB"/>
    <w:rsid w:val="00864175"/>
    <w:rsid w:val="0086670B"/>
    <w:rsid w:val="008671D8"/>
    <w:rsid w:val="00872317"/>
    <w:rsid w:val="0087267D"/>
    <w:rsid w:val="0087451F"/>
    <w:rsid w:val="00874F3D"/>
    <w:rsid w:val="0087640A"/>
    <w:rsid w:val="00877E22"/>
    <w:rsid w:val="00881B91"/>
    <w:rsid w:val="0088327A"/>
    <w:rsid w:val="0088400B"/>
    <w:rsid w:val="008845DB"/>
    <w:rsid w:val="00890BEE"/>
    <w:rsid w:val="0089225F"/>
    <w:rsid w:val="00893079"/>
    <w:rsid w:val="00893A7E"/>
    <w:rsid w:val="00893CD4"/>
    <w:rsid w:val="00894658"/>
    <w:rsid w:val="00896149"/>
    <w:rsid w:val="008971A2"/>
    <w:rsid w:val="00897C01"/>
    <w:rsid w:val="008A0528"/>
    <w:rsid w:val="008A20AA"/>
    <w:rsid w:val="008A2695"/>
    <w:rsid w:val="008A2AA1"/>
    <w:rsid w:val="008A435D"/>
    <w:rsid w:val="008A468D"/>
    <w:rsid w:val="008A533C"/>
    <w:rsid w:val="008A562C"/>
    <w:rsid w:val="008A6073"/>
    <w:rsid w:val="008A783D"/>
    <w:rsid w:val="008B0912"/>
    <w:rsid w:val="008B0A7F"/>
    <w:rsid w:val="008B1638"/>
    <w:rsid w:val="008B6F7B"/>
    <w:rsid w:val="008B743F"/>
    <w:rsid w:val="008B7A07"/>
    <w:rsid w:val="008C1F7D"/>
    <w:rsid w:val="008C30FF"/>
    <w:rsid w:val="008C41DC"/>
    <w:rsid w:val="008C4FA5"/>
    <w:rsid w:val="008C7D38"/>
    <w:rsid w:val="008D0ABF"/>
    <w:rsid w:val="008D2B70"/>
    <w:rsid w:val="008D6F9C"/>
    <w:rsid w:val="008E1BB7"/>
    <w:rsid w:val="008E2E51"/>
    <w:rsid w:val="008E2E76"/>
    <w:rsid w:val="008E2E87"/>
    <w:rsid w:val="008E383C"/>
    <w:rsid w:val="008E3CB9"/>
    <w:rsid w:val="008E4483"/>
    <w:rsid w:val="008E4E53"/>
    <w:rsid w:val="008E517C"/>
    <w:rsid w:val="008E6A94"/>
    <w:rsid w:val="008E7ECB"/>
    <w:rsid w:val="008E7F0A"/>
    <w:rsid w:val="008EBAF1"/>
    <w:rsid w:val="008F03F3"/>
    <w:rsid w:val="008F1B90"/>
    <w:rsid w:val="008F2B32"/>
    <w:rsid w:val="008F2C56"/>
    <w:rsid w:val="008F3416"/>
    <w:rsid w:val="008F35C5"/>
    <w:rsid w:val="008F7963"/>
    <w:rsid w:val="00900BB1"/>
    <w:rsid w:val="00900CF9"/>
    <w:rsid w:val="00901F0D"/>
    <w:rsid w:val="009028FD"/>
    <w:rsid w:val="009040A0"/>
    <w:rsid w:val="00905FD4"/>
    <w:rsid w:val="009070D1"/>
    <w:rsid w:val="0091090C"/>
    <w:rsid w:val="009112B6"/>
    <w:rsid w:val="0091153B"/>
    <w:rsid w:val="009124A9"/>
    <w:rsid w:val="0091656D"/>
    <w:rsid w:val="00917D85"/>
    <w:rsid w:val="0092035C"/>
    <w:rsid w:val="009215CE"/>
    <w:rsid w:val="00921E97"/>
    <w:rsid w:val="00922B09"/>
    <w:rsid w:val="00922EB5"/>
    <w:rsid w:val="009247C2"/>
    <w:rsid w:val="0092538E"/>
    <w:rsid w:val="0092646B"/>
    <w:rsid w:val="009278AE"/>
    <w:rsid w:val="00927AA9"/>
    <w:rsid w:val="00930342"/>
    <w:rsid w:val="00930E2B"/>
    <w:rsid w:val="0093481C"/>
    <w:rsid w:val="00941B48"/>
    <w:rsid w:val="009420D2"/>
    <w:rsid w:val="00945CE8"/>
    <w:rsid w:val="00947DEF"/>
    <w:rsid w:val="00950754"/>
    <w:rsid w:val="00950A50"/>
    <w:rsid w:val="00954649"/>
    <w:rsid w:val="00954A59"/>
    <w:rsid w:val="00955F6B"/>
    <w:rsid w:val="0096314B"/>
    <w:rsid w:val="00963305"/>
    <w:rsid w:val="00963CEB"/>
    <w:rsid w:val="00964C42"/>
    <w:rsid w:val="0096523E"/>
    <w:rsid w:val="00965D2E"/>
    <w:rsid w:val="009709F9"/>
    <w:rsid w:val="00971D15"/>
    <w:rsid w:val="00972112"/>
    <w:rsid w:val="009749D2"/>
    <w:rsid w:val="00975DA2"/>
    <w:rsid w:val="00980548"/>
    <w:rsid w:val="00980BD1"/>
    <w:rsid w:val="00981F3D"/>
    <w:rsid w:val="0098262D"/>
    <w:rsid w:val="009836DE"/>
    <w:rsid w:val="00984AB8"/>
    <w:rsid w:val="00984C35"/>
    <w:rsid w:val="00984C9B"/>
    <w:rsid w:val="00985048"/>
    <w:rsid w:val="009864B2"/>
    <w:rsid w:val="00986808"/>
    <w:rsid w:val="00986EDB"/>
    <w:rsid w:val="00987C64"/>
    <w:rsid w:val="00987DBB"/>
    <w:rsid w:val="00987E29"/>
    <w:rsid w:val="00987EAF"/>
    <w:rsid w:val="00990AB1"/>
    <w:rsid w:val="00993BCE"/>
    <w:rsid w:val="00993EF4"/>
    <w:rsid w:val="00995A81"/>
    <w:rsid w:val="00996958"/>
    <w:rsid w:val="00997AD1"/>
    <w:rsid w:val="009A0CA3"/>
    <w:rsid w:val="009A1285"/>
    <w:rsid w:val="009A21F4"/>
    <w:rsid w:val="009A4344"/>
    <w:rsid w:val="009A4443"/>
    <w:rsid w:val="009A453D"/>
    <w:rsid w:val="009A59ED"/>
    <w:rsid w:val="009B0905"/>
    <w:rsid w:val="009B106A"/>
    <w:rsid w:val="009B19A3"/>
    <w:rsid w:val="009B2003"/>
    <w:rsid w:val="009B3F83"/>
    <w:rsid w:val="009B7430"/>
    <w:rsid w:val="009B7623"/>
    <w:rsid w:val="009C029B"/>
    <w:rsid w:val="009C1919"/>
    <w:rsid w:val="009C5C25"/>
    <w:rsid w:val="009C5EE6"/>
    <w:rsid w:val="009C666B"/>
    <w:rsid w:val="009C76C3"/>
    <w:rsid w:val="009D12AF"/>
    <w:rsid w:val="009D3223"/>
    <w:rsid w:val="009D362E"/>
    <w:rsid w:val="009D3AE0"/>
    <w:rsid w:val="009D3E7C"/>
    <w:rsid w:val="009D44E8"/>
    <w:rsid w:val="009D4931"/>
    <w:rsid w:val="009D501D"/>
    <w:rsid w:val="009D54EC"/>
    <w:rsid w:val="009D5807"/>
    <w:rsid w:val="009D5886"/>
    <w:rsid w:val="009D73E5"/>
    <w:rsid w:val="009E4126"/>
    <w:rsid w:val="009E589B"/>
    <w:rsid w:val="009F052F"/>
    <w:rsid w:val="009F1DDF"/>
    <w:rsid w:val="009F2322"/>
    <w:rsid w:val="009F2601"/>
    <w:rsid w:val="009F2779"/>
    <w:rsid w:val="009F42C7"/>
    <w:rsid w:val="009F49BD"/>
    <w:rsid w:val="009F5BEB"/>
    <w:rsid w:val="009F7466"/>
    <w:rsid w:val="009F7FFD"/>
    <w:rsid w:val="00A020FF"/>
    <w:rsid w:val="00A02763"/>
    <w:rsid w:val="00A03930"/>
    <w:rsid w:val="00A03C0E"/>
    <w:rsid w:val="00A0620B"/>
    <w:rsid w:val="00A0788A"/>
    <w:rsid w:val="00A101F9"/>
    <w:rsid w:val="00A10796"/>
    <w:rsid w:val="00A12992"/>
    <w:rsid w:val="00A12E13"/>
    <w:rsid w:val="00A15629"/>
    <w:rsid w:val="00A1569F"/>
    <w:rsid w:val="00A1583D"/>
    <w:rsid w:val="00A161F2"/>
    <w:rsid w:val="00A214D5"/>
    <w:rsid w:val="00A223C4"/>
    <w:rsid w:val="00A22A60"/>
    <w:rsid w:val="00A23FED"/>
    <w:rsid w:val="00A25413"/>
    <w:rsid w:val="00A25686"/>
    <w:rsid w:val="00A26B10"/>
    <w:rsid w:val="00A336AE"/>
    <w:rsid w:val="00A351B9"/>
    <w:rsid w:val="00A3594E"/>
    <w:rsid w:val="00A35B5A"/>
    <w:rsid w:val="00A40568"/>
    <w:rsid w:val="00A42026"/>
    <w:rsid w:val="00A429C4"/>
    <w:rsid w:val="00A42C57"/>
    <w:rsid w:val="00A436ED"/>
    <w:rsid w:val="00A440A9"/>
    <w:rsid w:val="00A445FB"/>
    <w:rsid w:val="00A446FD"/>
    <w:rsid w:val="00A470F6"/>
    <w:rsid w:val="00A5090F"/>
    <w:rsid w:val="00A51B17"/>
    <w:rsid w:val="00A5225F"/>
    <w:rsid w:val="00A52E89"/>
    <w:rsid w:val="00A534E9"/>
    <w:rsid w:val="00A54FE6"/>
    <w:rsid w:val="00A550D0"/>
    <w:rsid w:val="00A61BCF"/>
    <w:rsid w:val="00A61EF9"/>
    <w:rsid w:val="00A643D7"/>
    <w:rsid w:val="00A649EC"/>
    <w:rsid w:val="00A65E9D"/>
    <w:rsid w:val="00A70702"/>
    <w:rsid w:val="00A70E39"/>
    <w:rsid w:val="00A7131E"/>
    <w:rsid w:val="00A717FD"/>
    <w:rsid w:val="00A76DB8"/>
    <w:rsid w:val="00A76E62"/>
    <w:rsid w:val="00A77130"/>
    <w:rsid w:val="00A7724F"/>
    <w:rsid w:val="00A805BE"/>
    <w:rsid w:val="00A8144A"/>
    <w:rsid w:val="00A82787"/>
    <w:rsid w:val="00A8369C"/>
    <w:rsid w:val="00A84553"/>
    <w:rsid w:val="00A86C49"/>
    <w:rsid w:val="00A9101B"/>
    <w:rsid w:val="00A91287"/>
    <w:rsid w:val="00A916AD"/>
    <w:rsid w:val="00A92739"/>
    <w:rsid w:val="00A92C35"/>
    <w:rsid w:val="00A933E1"/>
    <w:rsid w:val="00A93EA5"/>
    <w:rsid w:val="00A948F0"/>
    <w:rsid w:val="00A94FA6"/>
    <w:rsid w:val="00A956CC"/>
    <w:rsid w:val="00A956F2"/>
    <w:rsid w:val="00A97A4F"/>
    <w:rsid w:val="00AA0999"/>
    <w:rsid w:val="00AA0A68"/>
    <w:rsid w:val="00AA17C0"/>
    <w:rsid w:val="00AA2481"/>
    <w:rsid w:val="00AA49F4"/>
    <w:rsid w:val="00AA591E"/>
    <w:rsid w:val="00AA5C4F"/>
    <w:rsid w:val="00AA5C76"/>
    <w:rsid w:val="00AA68C5"/>
    <w:rsid w:val="00AA703E"/>
    <w:rsid w:val="00AB0ADD"/>
    <w:rsid w:val="00AB6051"/>
    <w:rsid w:val="00AB716F"/>
    <w:rsid w:val="00AB75A4"/>
    <w:rsid w:val="00AC3393"/>
    <w:rsid w:val="00AC579A"/>
    <w:rsid w:val="00AC678A"/>
    <w:rsid w:val="00AC725D"/>
    <w:rsid w:val="00AC739A"/>
    <w:rsid w:val="00AC7D03"/>
    <w:rsid w:val="00AD091A"/>
    <w:rsid w:val="00AD2DA4"/>
    <w:rsid w:val="00AD4FFB"/>
    <w:rsid w:val="00AD695F"/>
    <w:rsid w:val="00AE37E3"/>
    <w:rsid w:val="00AE5EBA"/>
    <w:rsid w:val="00AE6E70"/>
    <w:rsid w:val="00AE738D"/>
    <w:rsid w:val="00AE7DD4"/>
    <w:rsid w:val="00AF1191"/>
    <w:rsid w:val="00AF1C52"/>
    <w:rsid w:val="00AF3598"/>
    <w:rsid w:val="00AF3EBC"/>
    <w:rsid w:val="00AF4E2A"/>
    <w:rsid w:val="00B01B27"/>
    <w:rsid w:val="00B01BA9"/>
    <w:rsid w:val="00B02A1C"/>
    <w:rsid w:val="00B051BA"/>
    <w:rsid w:val="00B06240"/>
    <w:rsid w:val="00B06BB6"/>
    <w:rsid w:val="00B072AB"/>
    <w:rsid w:val="00B075D7"/>
    <w:rsid w:val="00B10E58"/>
    <w:rsid w:val="00B11F38"/>
    <w:rsid w:val="00B12B4A"/>
    <w:rsid w:val="00B151B9"/>
    <w:rsid w:val="00B153AE"/>
    <w:rsid w:val="00B168E5"/>
    <w:rsid w:val="00B169BF"/>
    <w:rsid w:val="00B215D6"/>
    <w:rsid w:val="00B21F1B"/>
    <w:rsid w:val="00B22712"/>
    <w:rsid w:val="00B22E63"/>
    <w:rsid w:val="00B2476A"/>
    <w:rsid w:val="00B24EE3"/>
    <w:rsid w:val="00B25EC3"/>
    <w:rsid w:val="00B30EC6"/>
    <w:rsid w:val="00B3187C"/>
    <w:rsid w:val="00B31DF6"/>
    <w:rsid w:val="00B32AEB"/>
    <w:rsid w:val="00B34508"/>
    <w:rsid w:val="00B37092"/>
    <w:rsid w:val="00B40663"/>
    <w:rsid w:val="00B42053"/>
    <w:rsid w:val="00B42ACA"/>
    <w:rsid w:val="00B449D0"/>
    <w:rsid w:val="00B472DE"/>
    <w:rsid w:val="00B50D08"/>
    <w:rsid w:val="00B54BF2"/>
    <w:rsid w:val="00B56216"/>
    <w:rsid w:val="00B5650B"/>
    <w:rsid w:val="00B57D37"/>
    <w:rsid w:val="00B609B9"/>
    <w:rsid w:val="00B6138E"/>
    <w:rsid w:val="00B616AF"/>
    <w:rsid w:val="00B6737B"/>
    <w:rsid w:val="00B72BA9"/>
    <w:rsid w:val="00B72E6C"/>
    <w:rsid w:val="00B730C6"/>
    <w:rsid w:val="00B742D4"/>
    <w:rsid w:val="00B74BDB"/>
    <w:rsid w:val="00B74EAC"/>
    <w:rsid w:val="00B80C34"/>
    <w:rsid w:val="00B80CB8"/>
    <w:rsid w:val="00B81250"/>
    <w:rsid w:val="00B83762"/>
    <w:rsid w:val="00B84193"/>
    <w:rsid w:val="00B84919"/>
    <w:rsid w:val="00B85334"/>
    <w:rsid w:val="00B875D0"/>
    <w:rsid w:val="00B8774A"/>
    <w:rsid w:val="00B87D4D"/>
    <w:rsid w:val="00B9274F"/>
    <w:rsid w:val="00B94036"/>
    <w:rsid w:val="00B958DA"/>
    <w:rsid w:val="00B9764A"/>
    <w:rsid w:val="00B976E0"/>
    <w:rsid w:val="00BA0986"/>
    <w:rsid w:val="00BA0F1C"/>
    <w:rsid w:val="00BA39FA"/>
    <w:rsid w:val="00BA3A50"/>
    <w:rsid w:val="00BA4D59"/>
    <w:rsid w:val="00BA6C64"/>
    <w:rsid w:val="00BA6E6B"/>
    <w:rsid w:val="00BB1B2D"/>
    <w:rsid w:val="00BB2544"/>
    <w:rsid w:val="00BB271C"/>
    <w:rsid w:val="00BC004E"/>
    <w:rsid w:val="00BC11EA"/>
    <w:rsid w:val="00BC1883"/>
    <w:rsid w:val="00BC45C6"/>
    <w:rsid w:val="00BC472C"/>
    <w:rsid w:val="00BC5BE7"/>
    <w:rsid w:val="00BC6F7D"/>
    <w:rsid w:val="00BC774B"/>
    <w:rsid w:val="00BD0ABB"/>
    <w:rsid w:val="00BD0D3F"/>
    <w:rsid w:val="00BD28E3"/>
    <w:rsid w:val="00BD3EF1"/>
    <w:rsid w:val="00BD7CA9"/>
    <w:rsid w:val="00BE0F9E"/>
    <w:rsid w:val="00BE2DF8"/>
    <w:rsid w:val="00BE50E6"/>
    <w:rsid w:val="00BE6F04"/>
    <w:rsid w:val="00BE7450"/>
    <w:rsid w:val="00BF0456"/>
    <w:rsid w:val="00BF0FE9"/>
    <w:rsid w:val="00BF14AE"/>
    <w:rsid w:val="00BF15BA"/>
    <w:rsid w:val="00BF5CDF"/>
    <w:rsid w:val="00BF5EE7"/>
    <w:rsid w:val="00BF60E6"/>
    <w:rsid w:val="00BF7977"/>
    <w:rsid w:val="00C00B53"/>
    <w:rsid w:val="00C116F6"/>
    <w:rsid w:val="00C135DA"/>
    <w:rsid w:val="00C1379C"/>
    <w:rsid w:val="00C13DB3"/>
    <w:rsid w:val="00C1517C"/>
    <w:rsid w:val="00C15E27"/>
    <w:rsid w:val="00C203BA"/>
    <w:rsid w:val="00C21177"/>
    <w:rsid w:val="00C21BCC"/>
    <w:rsid w:val="00C21C61"/>
    <w:rsid w:val="00C2244C"/>
    <w:rsid w:val="00C24FA7"/>
    <w:rsid w:val="00C30219"/>
    <w:rsid w:val="00C31732"/>
    <w:rsid w:val="00C33787"/>
    <w:rsid w:val="00C34546"/>
    <w:rsid w:val="00C34BCD"/>
    <w:rsid w:val="00C355CE"/>
    <w:rsid w:val="00C35D19"/>
    <w:rsid w:val="00C40F40"/>
    <w:rsid w:val="00C42C8E"/>
    <w:rsid w:val="00C4495F"/>
    <w:rsid w:val="00C45067"/>
    <w:rsid w:val="00C4506B"/>
    <w:rsid w:val="00C45DB3"/>
    <w:rsid w:val="00C45EFB"/>
    <w:rsid w:val="00C46559"/>
    <w:rsid w:val="00C469F9"/>
    <w:rsid w:val="00C568C4"/>
    <w:rsid w:val="00C57D77"/>
    <w:rsid w:val="00C61852"/>
    <w:rsid w:val="00C642D8"/>
    <w:rsid w:val="00C66BF0"/>
    <w:rsid w:val="00C67FCA"/>
    <w:rsid w:val="00C7114F"/>
    <w:rsid w:val="00C72C43"/>
    <w:rsid w:val="00C72EFE"/>
    <w:rsid w:val="00C735A9"/>
    <w:rsid w:val="00C742C1"/>
    <w:rsid w:val="00C75DCF"/>
    <w:rsid w:val="00C76B43"/>
    <w:rsid w:val="00C806B4"/>
    <w:rsid w:val="00C83587"/>
    <w:rsid w:val="00C83C5D"/>
    <w:rsid w:val="00C85E24"/>
    <w:rsid w:val="00C86660"/>
    <w:rsid w:val="00C86810"/>
    <w:rsid w:val="00C8768D"/>
    <w:rsid w:val="00C90D2E"/>
    <w:rsid w:val="00C91BD0"/>
    <w:rsid w:val="00C91EFC"/>
    <w:rsid w:val="00C922C9"/>
    <w:rsid w:val="00C927B8"/>
    <w:rsid w:val="00C93A24"/>
    <w:rsid w:val="00C94277"/>
    <w:rsid w:val="00C94457"/>
    <w:rsid w:val="00C948AD"/>
    <w:rsid w:val="00C94B21"/>
    <w:rsid w:val="00CA28A0"/>
    <w:rsid w:val="00CA33C9"/>
    <w:rsid w:val="00CA36C1"/>
    <w:rsid w:val="00CA650A"/>
    <w:rsid w:val="00CA730B"/>
    <w:rsid w:val="00CA7950"/>
    <w:rsid w:val="00CB0D2C"/>
    <w:rsid w:val="00CB175F"/>
    <w:rsid w:val="00CB42AB"/>
    <w:rsid w:val="00CB586E"/>
    <w:rsid w:val="00CB7A22"/>
    <w:rsid w:val="00CC0C22"/>
    <w:rsid w:val="00CC17DA"/>
    <w:rsid w:val="00CC4530"/>
    <w:rsid w:val="00CC4909"/>
    <w:rsid w:val="00CD1611"/>
    <w:rsid w:val="00CD3E88"/>
    <w:rsid w:val="00CD66C4"/>
    <w:rsid w:val="00CD786F"/>
    <w:rsid w:val="00CD7D15"/>
    <w:rsid w:val="00CD7EF8"/>
    <w:rsid w:val="00CE0253"/>
    <w:rsid w:val="00CE620F"/>
    <w:rsid w:val="00CE65DA"/>
    <w:rsid w:val="00CF0390"/>
    <w:rsid w:val="00CF569F"/>
    <w:rsid w:val="00CF611E"/>
    <w:rsid w:val="00CF6287"/>
    <w:rsid w:val="00CF760C"/>
    <w:rsid w:val="00CF7BFB"/>
    <w:rsid w:val="00CF7E0D"/>
    <w:rsid w:val="00CF9999"/>
    <w:rsid w:val="00D00580"/>
    <w:rsid w:val="00D02596"/>
    <w:rsid w:val="00D02A42"/>
    <w:rsid w:val="00D02A63"/>
    <w:rsid w:val="00D05144"/>
    <w:rsid w:val="00D104BC"/>
    <w:rsid w:val="00D108BA"/>
    <w:rsid w:val="00D11F70"/>
    <w:rsid w:val="00D12B30"/>
    <w:rsid w:val="00D1457B"/>
    <w:rsid w:val="00D15068"/>
    <w:rsid w:val="00D15A7F"/>
    <w:rsid w:val="00D168BA"/>
    <w:rsid w:val="00D16BAB"/>
    <w:rsid w:val="00D17298"/>
    <w:rsid w:val="00D17638"/>
    <w:rsid w:val="00D17DA5"/>
    <w:rsid w:val="00D2044C"/>
    <w:rsid w:val="00D208FC"/>
    <w:rsid w:val="00D25219"/>
    <w:rsid w:val="00D260AD"/>
    <w:rsid w:val="00D3372C"/>
    <w:rsid w:val="00D34BE7"/>
    <w:rsid w:val="00D35283"/>
    <w:rsid w:val="00D356F2"/>
    <w:rsid w:val="00D371A1"/>
    <w:rsid w:val="00D378DA"/>
    <w:rsid w:val="00D404C1"/>
    <w:rsid w:val="00D41247"/>
    <w:rsid w:val="00D422E9"/>
    <w:rsid w:val="00D42CAF"/>
    <w:rsid w:val="00D43B3B"/>
    <w:rsid w:val="00D440AE"/>
    <w:rsid w:val="00D451F6"/>
    <w:rsid w:val="00D517FF"/>
    <w:rsid w:val="00D51FDC"/>
    <w:rsid w:val="00D5243C"/>
    <w:rsid w:val="00D52CF7"/>
    <w:rsid w:val="00D53AF3"/>
    <w:rsid w:val="00D540FD"/>
    <w:rsid w:val="00D54AB8"/>
    <w:rsid w:val="00D5543E"/>
    <w:rsid w:val="00D5660E"/>
    <w:rsid w:val="00D56F35"/>
    <w:rsid w:val="00D578D1"/>
    <w:rsid w:val="00D60290"/>
    <w:rsid w:val="00D62356"/>
    <w:rsid w:val="00D6466B"/>
    <w:rsid w:val="00D66CC6"/>
    <w:rsid w:val="00D677B5"/>
    <w:rsid w:val="00D677C3"/>
    <w:rsid w:val="00D720DB"/>
    <w:rsid w:val="00D75003"/>
    <w:rsid w:val="00D75FFC"/>
    <w:rsid w:val="00D7758A"/>
    <w:rsid w:val="00D77924"/>
    <w:rsid w:val="00D80674"/>
    <w:rsid w:val="00D86405"/>
    <w:rsid w:val="00D90297"/>
    <w:rsid w:val="00D903CD"/>
    <w:rsid w:val="00D90C39"/>
    <w:rsid w:val="00D90D08"/>
    <w:rsid w:val="00D92686"/>
    <w:rsid w:val="00D9361B"/>
    <w:rsid w:val="00D940E5"/>
    <w:rsid w:val="00D949E1"/>
    <w:rsid w:val="00D95008"/>
    <w:rsid w:val="00D95900"/>
    <w:rsid w:val="00D9649A"/>
    <w:rsid w:val="00D97521"/>
    <w:rsid w:val="00D97953"/>
    <w:rsid w:val="00DA1983"/>
    <w:rsid w:val="00DA28C7"/>
    <w:rsid w:val="00DA2D3B"/>
    <w:rsid w:val="00DA3B2C"/>
    <w:rsid w:val="00DA4985"/>
    <w:rsid w:val="00DA53AD"/>
    <w:rsid w:val="00DB0B9F"/>
    <w:rsid w:val="00DB0C89"/>
    <w:rsid w:val="00DB1BAC"/>
    <w:rsid w:val="00DB251D"/>
    <w:rsid w:val="00DB273D"/>
    <w:rsid w:val="00DB3479"/>
    <w:rsid w:val="00DB44F4"/>
    <w:rsid w:val="00DB590B"/>
    <w:rsid w:val="00DB6026"/>
    <w:rsid w:val="00DC0A43"/>
    <w:rsid w:val="00DC10A7"/>
    <w:rsid w:val="00DC136B"/>
    <w:rsid w:val="00DC16F7"/>
    <w:rsid w:val="00DC1C6E"/>
    <w:rsid w:val="00DC3ADC"/>
    <w:rsid w:val="00DC4C36"/>
    <w:rsid w:val="00DC56FB"/>
    <w:rsid w:val="00DC700B"/>
    <w:rsid w:val="00DC718F"/>
    <w:rsid w:val="00DD0F1F"/>
    <w:rsid w:val="00DD1A7F"/>
    <w:rsid w:val="00DD4DAD"/>
    <w:rsid w:val="00DE0A8B"/>
    <w:rsid w:val="00DE215B"/>
    <w:rsid w:val="00DE32F5"/>
    <w:rsid w:val="00DE4860"/>
    <w:rsid w:val="00DE48DF"/>
    <w:rsid w:val="00DE493D"/>
    <w:rsid w:val="00DE4CA8"/>
    <w:rsid w:val="00DE5E49"/>
    <w:rsid w:val="00DF04C6"/>
    <w:rsid w:val="00DF0CC4"/>
    <w:rsid w:val="00DF408F"/>
    <w:rsid w:val="00DF517C"/>
    <w:rsid w:val="00DF635D"/>
    <w:rsid w:val="00DF751F"/>
    <w:rsid w:val="00E03748"/>
    <w:rsid w:val="00E0453C"/>
    <w:rsid w:val="00E06650"/>
    <w:rsid w:val="00E100C1"/>
    <w:rsid w:val="00E100C2"/>
    <w:rsid w:val="00E101CA"/>
    <w:rsid w:val="00E11ADB"/>
    <w:rsid w:val="00E14E84"/>
    <w:rsid w:val="00E17189"/>
    <w:rsid w:val="00E20E78"/>
    <w:rsid w:val="00E26274"/>
    <w:rsid w:val="00E31C0B"/>
    <w:rsid w:val="00E328DC"/>
    <w:rsid w:val="00E34A4E"/>
    <w:rsid w:val="00E353FD"/>
    <w:rsid w:val="00E359D9"/>
    <w:rsid w:val="00E35A50"/>
    <w:rsid w:val="00E360EE"/>
    <w:rsid w:val="00E3647A"/>
    <w:rsid w:val="00E36B5D"/>
    <w:rsid w:val="00E36C3B"/>
    <w:rsid w:val="00E37128"/>
    <w:rsid w:val="00E374F1"/>
    <w:rsid w:val="00E4015C"/>
    <w:rsid w:val="00E41D2A"/>
    <w:rsid w:val="00E44629"/>
    <w:rsid w:val="00E45469"/>
    <w:rsid w:val="00E46A56"/>
    <w:rsid w:val="00E4700A"/>
    <w:rsid w:val="00E47231"/>
    <w:rsid w:val="00E5026D"/>
    <w:rsid w:val="00E5304F"/>
    <w:rsid w:val="00E547A1"/>
    <w:rsid w:val="00E552B5"/>
    <w:rsid w:val="00E5566D"/>
    <w:rsid w:val="00E56522"/>
    <w:rsid w:val="00E56F78"/>
    <w:rsid w:val="00E6050E"/>
    <w:rsid w:val="00E60576"/>
    <w:rsid w:val="00E6129D"/>
    <w:rsid w:val="00E614CE"/>
    <w:rsid w:val="00E61821"/>
    <w:rsid w:val="00E62360"/>
    <w:rsid w:val="00E6245C"/>
    <w:rsid w:val="00E624E1"/>
    <w:rsid w:val="00E63CED"/>
    <w:rsid w:val="00E6490D"/>
    <w:rsid w:val="00E6628C"/>
    <w:rsid w:val="00E6640A"/>
    <w:rsid w:val="00E671C7"/>
    <w:rsid w:val="00E67638"/>
    <w:rsid w:val="00E67B6D"/>
    <w:rsid w:val="00E70023"/>
    <w:rsid w:val="00E715C0"/>
    <w:rsid w:val="00E7179C"/>
    <w:rsid w:val="00E82246"/>
    <w:rsid w:val="00E850EA"/>
    <w:rsid w:val="00E85518"/>
    <w:rsid w:val="00E86E4F"/>
    <w:rsid w:val="00E8723E"/>
    <w:rsid w:val="00E90F93"/>
    <w:rsid w:val="00E916F1"/>
    <w:rsid w:val="00E949F9"/>
    <w:rsid w:val="00E9710C"/>
    <w:rsid w:val="00EA0691"/>
    <w:rsid w:val="00EA256B"/>
    <w:rsid w:val="00EA2933"/>
    <w:rsid w:val="00EA6B84"/>
    <w:rsid w:val="00EA7063"/>
    <w:rsid w:val="00EA73E3"/>
    <w:rsid w:val="00EB108D"/>
    <w:rsid w:val="00EB2282"/>
    <w:rsid w:val="00EB34EE"/>
    <w:rsid w:val="00EB3AF1"/>
    <w:rsid w:val="00EB43CC"/>
    <w:rsid w:val="00EB4BAB"/>
    <w:rsid w:val="00EB58A0"/>
    <w:rsid w:val="00EB743A"/>
    <w:rsid w:val="00EC0A54"/>
    <w:rsid w:val="00EC4FD1"/>
    <w:rsid w:val="00EC67D0"/>
    <w:rsid w:val="00EC762D"/>
    <w:rsid w:val="00ED07DF"/>
    <w:rsid w:val="00ED1CA9"/>
    <w:rsid w:val="00ED232C"/>
    <w:rsid w:val="00ED38CC"/>
    <w:rsid w:val="00ED396D"/>
    <w:rsid w:val="00EE2574"/>
    <w:rsid w:val="00EE2CC4"/>
    <w:rsid w:val="00EE3330"/>
    <w:rsid w:val="00EE5178"/>
    <w:rsid w:val="00EE588A"/>
    <w:rsid w:val="00EE6D61"/>
    <w:rsid w:val="00EE756D"/>
    <w:rsid w:val="00EF1362"/>
    <w:rsid w:val="00EF290F"/>
    <w:rsid w:val="00EF6718"/>
    <w:rsid w:val="00EF7AA6"/>
    <w:rsid w:val="00F00700"/>
    <w:rsid w:val="00F01688"/>
    <w:rsid w:val="00F02637"/>
    <w:rsid w:val="00F0287E"/>
    <w:rsid w:val="00F114C5"/>
    <w:rsid w:val="00F12FC5"/>
    <w:rsid w:val="00F146A0"/>
    <w:rsid w:val="00F17E9C"/>
    <w:rsid w:val="00F200F8"/>
    <w:rsid w:val="00F23F8F"/>
    <w:rsid w:val="00F255C2"/>
    <w:rsid w:val="00F26244"/>
    <w:rsid w:val="00F2672A"/>
    <w:rsid w:val="00F273FD"/>
    <w:rsid w:val="00F3156C"/>
    <w:rsid w:val="00F316C7"/>
    <w:rsid w:val="00F31D0F"/>
    <w:rsid w:val="00F32952"/>
    <w:rsid w:val="00F3391F"/>
    <w:rsid w:val="00F33D24"/>
    <w:rsid w:val="00F3445A"/>
    <w:rsid w:val="00F347B5"/>
    <w:rsid w:val="00F428B5"/>
    <w:rsid w:val="00F43B5E"/>
    <w:rsid w:val="00F44805"/>
    <w:rsid w:val="00F4501E"/>
    <w:rsid w:val="00F454E1"/>
    <w:rsid w:val="00F477A3"/>
    <w:rsid w:val="00F47A92"/>
    <w:rsid w:val="00F47AD9"/>
    <w:rsid w:val="00F54CF6"/>
    <w:rsid w:val="00F54DFF"/>
    <w:rsid w:val="00F55CBF"/>
    <w:rsid w:val="00F56BC5"/>
    <w:rsid w:val="00F6068C"/>
    <w:rsid w:val="00F6280D"/>
    <w:rsid w:val="00F62CB3"/>
    <w:rsid w:val="00F63C95"/>
    <w:rsid w:val="00F63EE0"/>
    <w:rsid w:val="00F64A01"/>
    <w:rsid w:val="00F65949"/>
    <w:rsid w:val="00F66927"/>
    <w:rsid w:val="00F67B69"/>
    <w:rsid w:val="00F709E7"/>
    <w:rsid w:val="00F71E9B"/>
    <w:rsid w:val="00F73646"/>
    <w:rsid w:val="00F73AE2"/>
    <w:rsid w:val="00F754DB"/>
    <w:rsid w:val="00F75828"/>
    <w:rsid w:val="00F76F1D"/>
    <w:rsid w:val="00F7728A"/>
    <w:rsid w:val="00F775FB"/>
    <w:rsid w:val="00F77855"/>
    <w:rsid w:val="00F804B0"/>
    <w:rsid w:val="00F83A88"/>
    <w:rsid w:val="00F845F0"/>
    <w:rsid w:val="00F853A5"/>
    <w:rsid w:val="00F8589B"/>
    <w:rsid w:val="00F91823"/>
    <w:rsid w:val="00F918CC"/>
    <w:rsid w:val="00F91B59"/>
    <w:rsid w:val="00F9215E"/>
    <w:rsid w:val="00F93AEB"/>
    <w:rsid w:val="00F94E28"/>
    <w:rsid w:val="00F95BEF"/>
    <w:rsid w:val="00F95C15"/>
    <w:rsid w:val="00F97A19"/>
    <w:rsid w:val="00F97CFF"/>
    <w:rsid w:val="00F97E27"/>
    <w:rsid w:val="00FA09FA"/>
    <w:rsid w:val="00FA20FF"/>
    <w:rsid w:val="00FA2E15"/>
    <w:rsid w:val="00FA5AC5"/>
    <w:rsid w:val="00FA7703"/>
    <w:rsid w:val="00FB2295"/>
    <w:rsid w:val="00FB30C8"/>
    <w:rsid w:val="00FB342A"/>
    <w:rsid w:val="00FB5034"/>
    <w:rsid w:val="00FB5DE9"/>
    <w:rsid w:val="00FB7B65"/>
    <w:rsid w:val="00FC01C0"/>
    <w:rsid w:val="00FC3534"/>
    <w:rsid w:val="00FC5ECF"/>
    <w:rsid w:val="00FC63FC"/>
    <w:rsid w:val="00FC7554"/>
    <w:rsid w:val="00FD0C7B"/>
    <w:rsid w:val="00FD27BC"/>
    <w:rsid w:val="00FD3552"/>
    <w:rsid w:val="00FD495A"/>
    <w:rsid w:val="00FD4C05"/>
    <w:rsid w:val="00FD5F5A"/>
    <w:rsid w:val="00FD67B5"/>
    <w:rsid w:val="00FE0F6F"/>
    <w:rsid w:val="00FE1A66"/>
    <w:rsid w:val="00FE3E72"/>
    <w:rsid w:val="00FE68B1"/>
    <w:rsid w:val="00FF2F31"/>
    <w:rsid w:val="00FF30C6"/>
    <w:rsid w:val="00FF3198"/>
    <w:rsid w:val="00FF5E2F"/>
    <w:rsid w:val="030047ED"/>
    <w:rsid w:val="038DD9BB"/>
    <w:rsid w:val="04AE8B90"/>
    <w:rsid w:val="04CBCCE7"/>
    <w:rsid w:val="061AD905"/>
    <w:rsid w:val="06993045"/>
    <w:rsid w:val="09D94B8F"/>
    <w:rsid w:val="0F4A199E"/>
    <w:rsid w:val="1291ECC3"/>
    <w:rsid w:val="13BCF39B"/>
    <w:rsid w:val="1402B71D"/>
    <w:rsid w:val="1433E91D"/>
    <w:rsid w:val="1494F7CE"/>
    <w:rsid w:val="1543F41B"/>
    <w:rsid w:val="15B35B3C"/>
    <w:rsid w:val="15E13C3A"/>
    <w:rsid w:val="16E497E7"/>
    <w:rsid w:val="17032C27"/>
    <w:rsid w:val="1911477B"/>
    <w:rsid w:val="1A49F03E"/>
    <w:rsid w:val="1BE082FE"/>
    <w:rsid w:val="1D80189D"/>
    <w:rsid w:val="1F034726"/>
    <w:rsid w:val="1F3F6826"/>
    <w:rsid w:val="1F6BEF29"/>
    <w:rsid w:val="1FC1B236"/>
    <w:rsid w:val="205301F7"/>
    <w:rsid w:val="20542B80"/>
    <w:rsid w:val="2056AB70"/>
    <w:rsid w:val="20B62DD9"/>
    <w:rsid w:val="25AF483A"/>
    <w:rsid w:val="25C636A2"/>
    <w:rsid w:val="264F5248"/>
    <w:rsid w:val="26BCB26E"/>
    <w:rsid w:val="28282820"/>
    <w:rsid w:val="28D816CF"/>
    <w:rsid w:val="29D8B3E7"/>
    <w:rsid w:val="2A85A982"/>
    <w:rsid w:val="2D3EF4D9"/>
    <w:rsid w:val="2E3B28E4"/>
    <w:rsid w:val="3001DDCB"/>
    <w:rsid w:val="30ABF4AC"/>
    <w:rsid w:val="362B2548"/>
    <w:rsid w:val="37EEAFDE"/>
    <w:rsid w:val="38737E55"/>
    <w:rsid w:val="396C9D99"/>
    <w:rsid w:val="39D07766"/>
    <w:rsid w:val="3A0827E6"/>
    <w:rsid w:val="3C313698"/>
    <w:rsid w:val="3C33364A"/>
    <w:rsid w:val="3D2468C9"/>
    <w:rsid w:val="3FCC16F7"/>
    <w:rsid w:val="3FE876A0"/>
    <w:rsid w:val="414C4051"/>
    <w:rsid w:val="424DE218"/>
    <w:rsid w:val="43E505DD"/>
    <w:rsid w:val="44447832"/>
    <w:rsid w:val="449B3642"/>
    <w:rsid w:val="455BDCC1"/>
    <w:rsid w:val="46B47BB4"/>
    <w:rsid w:val="487B71C6"/>
    <w:rsid w:val="494430CE"/>
    <w:rsid w:val="4A7FC4B9"/>
    <w:rsid w:val="4AC3B5A4"/>
    <w:rsid w:val="4BD9B8CF"/>
    <w:rsid w:val="50350C47"/>
    <w:rsid w:val="549EC40F"/>
    <w:rsid w:val="562747A3"/>
    <w:rsid w:val="56997242"/>
    <w:rsid w:val="58273A23"/>
    <w:rsid w:val="583D0854"/>
    <w:rsid w:val="59C7A204"/>
    <w:rsid w:val="5A994E5A"/>
    <w:rsid w:val="5AC03464"/>
    <w:rsid w:val="5B8CC86B"/>
    <w:rsid w:val="5B9BA224"/>
    <w:rsid w:val="5BB82D64"/>
    <w:rsid w:val="5D16FAB4"/>
    <w:rsid w:val="5D976F5A"/>
    <w:rsid w:val="5E00306C"/>
    <w:rsid w:val="5E1212BF"/>
    <w:rsid w:val="5F28B57B"/>
    <w:rsid w:val="601464C8"/>
    <w:rsid w:val="60B5D5FF"/>
    <w:rsid w:val="60D9500E"/>
    <w:rsid w:val="6148421E"/>
    <w:rsid w:val="633AC037"/>
    <w:rsid w:val="64E0C98F"/>
    <w:rsid w:val="671A436A"/>
    <w:rsid w:val="6782D129"/>
    <w:rsid w:val="67833319"/>
    <w:rsid w:val="688B4CC8"/>
    <w:rsid w:val="69B625A1"/>
    <w:rsid w:val="6A3965B7"/>
    <w:rsid w:val="6DC36E3B"/>
    <w:rsid w:val="6E119031"/>
    <w:rsid w:val="6E967680"/>
    <w:rsid w:val="6ECACA9D"/>
    <w:rsid w:val="70332F04"/>
    <w:rsid w:val="73B56ADB"/>
    <w:rsid w:val="756FB3C8"/>
    <w:rsid w:val="75C93AE4"/>
    <w:rsid w:val="7B347AEF"/>
    <w:rsid w:val="7DABBC8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D141"/>
  <w15:docId w15:val="{C5C3835E-5340-4607-973C-261DE913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C74"/>
    <w:pPr>
      <w:widowControl w:val="0"/>
      <w:jc w:val="both"/>
    </w:pPr>
    <w:rPr>
      <w:rFonts w:ascii="Cambria" w:eastAsia="Cambria" w:hAnsi="Cambria" w:cs="Cambria"/>
      <w:w w:val="105"/>
      <w:lang w:val="en-GB"/>
    </w:rPr>
  </w:style>
  <w:style w:type="paragraph" w:styleId="Heading1">
    <w:name w:val="heading 1"/>
    <w:basedOn w:val="Normal"/>
    <w:uiPriority w:val="9"/>
    <w:qFormat/>
    <w:rsid w:val="00616FFA"/>
    <w:pPr>
      <w:spacing w:after="80"/>
      <w:outlineLvl w:val="0"/>
    </w:pPr>
    <w:rPr>
      <w:rFonts w:ascii="Arial" w:eastAsia="Arial" w:hAnsi="Arial" w:cs="Arial"/>
      <w:b/>
      <w:bCs/>
      <w:color w:val="004494"/>
      <w:sz w:val="28"/>
      <w:szCs w:val="28"/>
    </w:rPr>
  </w:style>
  <w:style w:type="paragraph" w:styleId="Heading2">
    <w:name w:val="heading 2"/>
    <w:basedOn w:val="Normal"/>
    <w:uiPriority w:val="9"/>
    <w:unhideWhenUsed/>
    <w:qFormat/>
    <w:rsid w:val="0012622F"/>
    <w:pPr>
      <w:ind w:left="100"/>
      <w:outlineLvl w:val="1"/>
    </w:pPr>
    <w:rPr>
      <w:rFonts w:ascii="Arial" w:eastAsia="Arial" w:hAnsi="Arial" w:cs="Arial"/>
      <w:b/>
      <w:sz w:val="18"/>
      <w:szCs w:val="21"/>
    </w:rPr>
  </w:style>
  <w:style w:type="paragraph" w:styleId="Heading3">
    <w:name w:val="heading 3"/>
    <w:basedOn w:val="Normal"/>
    <w:next w:val="Normal"/>
    <w:link w:val="Heading3Char"/>
    <w:uiPriority w:val="9"/>
    <w:unhideWhenUsed/>
    <w:qFormat/>
    <w:rsid w:val="00B81C5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8D5E2B"/>
    <w:rPr>
      <w:rFonts w:ascii="Cambria" w:eastAsia="Cambria" w:hAnsi="Cambria" w:cs="Cambria"/>
      <w:sz w:val="19"/>
      <w:szCs w:val="19"/>
    </w:rPr>
  </w:style>
  <w:style w:type="character" w:styleId="Hyperlink">
    <w:name w:val="Hyperlink"/>
    <w:basedOn w:val="DefaultParagraphFont"/>
    <w:uiPriority w:val="99"/>
    <w:unhideWhenUsed/>
    <w:rsid w:val="00C801F8"/>
    <w:rPr>
      <w:color w:val="0000FF" w:themeColor="hyperlink"/>
      <w:u w:val="single"/>
    </w:rPr>
  </w:style>
  <w:style w:type="character" w:customStyle="1" w:styleId="HeaderChar">
    <w:name w:val="Header Char"/>
    <w:basedOn w:val="DefaultParagraphFont"/>
    <w:link w:val="Header"/>
    <w:uiPriority w:val="99"/>
    <w:qFormat/>
    <w:rsid w:val="00D13F09"/>
    <w:rPr>
      <w:rFonts w:ascii="Cambria" w:eastAsia="Cambria" w:hAnsi="Cambria" w:cs="Cambria"/>
    </w:rPr>
  </w:style>
  <w:style w:type="character" w:customStyle="1" w:styleId="FooterChar">
    <w:name w:val="Footer Char"/>
    <w:basedOn w:val="DefaultParagraphFont"/>
    <w:link w:val="Footer"/>
    <w:uiPriority w:val="99"/>
    <w:qFormat/>
    <w:rsid w:val="00D13F09"/>
    <w:rPr>
      <w:rFonts w:ascii="Cambria" w:eastAsia="Cambria" w:hAnsi="Cambria" w:cs="Cambria"/>
    </w:rPr>
  </w:style>
  <w:style w:type="character" w:styleId="UnresolvedMention">
    <w:name w:val="Unresolved Mention"/>
    <w:basedOn w:val="DefaultParagraphFont"/>
    <w:uiPriority w:val="99"/>
    <w:semiHidden/>
    <w:unhideWhenUsed/>
    <w:qFormat/>
    <w:rsid w:val="008B7B6C"/>
    <w:rPr>
      <w:color w:val="605E5C"/>
      <w:shd w:val="clear" w:color="auto" w:fill="E1DFDD"/>
    </w:rPr>
  </w:style>
  <w:style w:type="character" w:styleId="FollowedHyperlink">
    <w:name w:val="FollowedHyperlink"/>
    <w:basedOn w:val="DefaultParagraphFont"/>
    <w:uiPriority w:val="99"/>
    <w:semiHidden/>
    <w:unhideWhenUsed/>
    <w:rsid w:val="00952539"/>
    <w:rPr>
      <w:color w:val="800080" w:themeColor="followedHyperlink"/>
      <w:u w:val="single"/>
    </w:rPr>
  </w:style>
  <w:style w:type="character" w:customStyle="1" w:styleId="FootnoteTextChar">
    <w:name w:val="Footnote Text Char"/>
    <w:basedOn w:val="DefaultParagraphFont"/>
    <w:link w:val="FootnoteText"/>
    <w:uiPriority w:val="99"/>
    <w:semiHidden/>
    <w:qFormat/>
    <w:rsid w:val="000162D5"/>
    <w:rPr>
      <w:rFonts w:ascii="Cambria" w:eastAsia="Cambria" w:hAnsi="Cambria" w:cs="Cambria"/>
      <w:sz w:val="20"/>
      <w:szCs w:val="20"/>
    </w:rPr>
  </w:style>
  <w:style w:type="character" w:customStyle="1" w:styleId="FootnoteCharacters">
    <w:name w:val="Footnote Characters"/>
    <w:basedOn w:val="DefaultParagraphFont"/>
    <w:uiPriority w:val="99"/>
    <w:semiHidden/>
    <w:unhideWhenUsed/>
    <w:qFormat/>
    <w:rsid w:val="000162D5"/>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sid w:val="000A163B"/>
    <w:rPr>
      <w:rFonts w:ascii="Cambria" w:eastAsia="Cambria" w:hAnsi="Cambria" w:cs="Cambria"/>
      <w:sz w:val="20"/>
      <w:szCs w:val="20"/>
    </w:rPr>
  </w:style>
  <w:style w:type="character" w:customStyle="1" w:styleId="EndnoteCharacters">
    <w:name w:val="Endnote Characters"/>
    <w:basedOn w:val="DefaultParagraphFont"/>
    <w:uiPriority w:val="99"/>
    <w:semiHidden/>
    <w:unhideWhenUsed/>
    <w:qFormat/>
    <w:rsid w:val="000A163B"/>
    <w:rPr>
      <w:vertAlign w:val="superscript"/>
    </w:rPr>
  </w:style>
  <w:style w:type="character" w:customStyle="1" w:styleId="EndnoteAnchor">
    <w:name w:val="Endnote Anchor"/>
    <w:rPr>
      <w:vertAlign w:val="superscript"/>
    </w:rPr>
  </w:style>
  <w:style w:type="character" w:styleId="PlaceholderText">
    <w:name w:val="Placeholder Text"/>
    <w:basedOn w:val="DefaultParagraphFont"/>
    <w:uiPriority w:val="99"/>
    <w:semiHidden/>
    <w:qFormat/>
    <w:rsid w:val="002D7F8C"/>
    <w:rPr>
      <w:color w:val="666666"/>
    </w:rPr>
  </w:style>
  <w:style w:type="character" w:customStyle="1" w:styleId="Heading3Char">
    <w:name w:val="Heading 3 Char"/>
    <w:basedOn w:val="DefaultParagraphFont"/>
    <w:link w:val="Heading3"/>
    <w:uiPriority w:val="9"/>
    <w:qFormat/>
    <w:rsid w:val="00B81C51"/>
    <w:rPr>
      <w:rFonts w:asciiTheme="majorHAnsi" w:eastAsiaTheme="majorEastAsia" w:hAnsiTheme="majorHAnsi" w:cstheme="majorBidi"/>
      <w:color w:val="243F60" w:themeColor="accent1" w:themeShade="7F"/>
      <w:w w:val="105"/>
      <w:sz w:val="24"/>
      <w:szCs w:val="24"/>
      <w:lang w:val="en-GB"/>
    </w:rPr>
  </w:style>
  <w:style w:type="character" w:styleId="CommentReference">
    <w:name w:val="annotation reference"/>
    <w:basedOn w:val="DefaultParagraphFont"/>
    <w:uiPriority w:val="99"/>
    <w:semiHidden/>
    <w:unhideWhenUsed/>
    <w:qFormat/>
    <w:rsid w:val="006C6A69"/>
    <w:rPr>
      <w:sz w:val="16"/>
      <w:szCs w:val="16"/>
    </w:rPr>
  </w:style>
  <w:style w:type="character" w:customStyle="1" w:styleId="CommentTextChar">
    <w:name w:val="Comment Text Char"/>
    <w:basedOn w:val="DefaultParagraphFont"/>
    <w:link w:val="CommentText"/>
    <w:uiPriority w:val="99"/>
    <w:qFormat/>
    <w:rsid w:val="006C6A69"/>
    <w:rPr>
      <w:rFonts w:ascii="Cambria" w:eastAsia="Cambria" w:hAnsi="Cambria" w:cs="Cambria"/>
      <w:w w:val="105"/>
      <w:sz w:val="20"/>
      <w:szCs w:val="20"/>
      <w:lang w:val="en-GB"/>
    </w:rPr>
  </w:style>
  <w:style w:type="character" w:customStyle="1" w:styleId="CommentSubjectChar">
    <w:name w:val="Comment Subject Char"/>
    <w:basedOn w:val="CommentTextChar"/>
    <w:link w:val="CommentSubject"/>
    <w:uiPriority w:val="99"/>
    <w:semiHidden/>
    <w:qFormat/>
    <w:rsid w:val="006C6A69"/>
    <w:rPr>
      <w:rFonts w:ascii="Cambria" w:eastAsia="Cambria" w:hAnsi="Cambria" w:cs="Cambria"/>
      <w:b/>
      <w:bCs/>
      <w:w w:val="105"/>
      <w:sz w:val="20"/>
      <w:szCs w:val="20"/>
      <w:lang w:val="en-GB"/>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pPr>
      <w:spacing w:before="14"/>
    </w:pPr>
    <w:rPr>
      <w:sz w:val="19"/>
      <w:szCs w:val="19"/>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106"/>
      <w:ind w:left="100"/>
    </w:pPr>
    <w:rPr>
      <w:rFonts w:ascii="Arial" w:eastAsia="Arial" w:hAnsi="Arial" w:cs="Arial"/>
      <w:b/>
      <w:bCs/>
      <w:sz w:val="35"/>
      <w:szCs w:val="35"/>
    </w:rPr>
  </w:style>
  <w:style w:type="paragraph" w:styleId="ListParagraph">
    <w:name w:val="List Paragraph"/>
    <w:basedOn w:val="Normal"/>
    <w:uiPriority w:val="1"/>
    <w:qFormat/>
    <w:pPr>
      <w:spacing w:before="96"/>
      <w:ind w:left="598" w:right="98" w:hanging="213"/>
    </w:pPr>
  </w:style>
  <w:style w:type="paragraph" w:customStyle="1" w:styleId="TableParagraph">
    <w:name w:val="Table Paragraph"/>
    <w:basedOn w:val="Normal"/>
    <w:uiPriority w:val="1"/>
    <w:qFormat/>
    <w:pPr>
      <w:spacing w:before="3"/>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13F09"/>
    <w:pPr>
      <w:tabs>
        <w:tab w:val="center" w:pos="4513"/>
        <w:tab w:val="right" w:pos="9026"/>
      </w:tabs>
    </w:pPr>
  </w:style>
  <w:style w:type="paragraph" w:styleId="Footer">
    <w:name w:val="footer"/>
    <w:basedOn w:val="Normal"/>
    <w:link w:val="FooterChar"/>
    <w:uiPriority w:val="99"/>
    <w:unhideWhenUsed/>
    <w:rsid w:val="00D13F09"/>
    <w:pPr>
      <w:tabs>
        <w:tab w:val="center" w:pos="4513"/>
        <w:tab w:val="right" w:pos="9026"/>
      </w:tabs>
    </w:pPr>
  </w:style>
  <w:style w:type="paragraph" w:styleId="FootnoteText">
    <w:name w:val="footnote text"/>
    <w:basedOn w:val="Normal"/>
    <w:link w:val="FootnoteTextChar"/>
    <w:uiPriority w:val="99"/>
    <w:semiHidden/>
    <w:unhideWhenUsed/>
    <w:rsid w:val="000162D5"/>
    <w:rPr>
      <w:sz w:val="20"/>
      <w:szCs w:val="20"/>
    </w:rPr>
  </w:style>
  <w:style w:type="paragraph" w:styleId="Bibliography">
    <w:name w:val="Bibliography"/>
    <w:basedOn w:val="Normal"/>
    <w:next w:val="Normal"/>
    <w:uiPriority w:val="37"/>
    <w:unhideWhenUsed/>
    <w:qFormat/>
    <w:rsid w:val="00E85845"/>
    <w:pPr>
      <w:tabs>
        <w:tab w:val="left" w:pos="384"/>
      </w:tabs>
      <w:spacing w:after="240"/>
      <w:ind w:left="384" w:hanging="384"/>
    </w:pPr>
  </w:style>
  <w:style w:type="paragraph" w:styleId="EndnoteText">
    <w:name w:val="endnote text"/>
    <w:basedOn w:val="Normal"/>
    <w:link w:val="EndnoteTextChar"/>
    <w:uiPriority w:val="99"/>
    <w:semiHidden/>
    <w:unhideWhenUsed/>
    <w:rsid w:val="000A163B"/>
    <w:rPr>
      <w:sz w:val="20"/>
      <w:szCs w:val="20"/>
    </w:rPr>
  </w:style>
  <w:style w:type="paragraph" w:styleId="CommentText">
    <w:name w:val="annotation text"/>
    <w:basedOn w:val="Normal"/>
    <w:link w:val="CommentTextChar"/>
    <w:uiPriority w:val="99"/>
    <w:unhideWhenUsed/>
    <w:qFormat/>
    <w:rsid w:val="006C6A69"/>
    <w:rPr>
      <w:sz w:val="20"/>
      <w:szCs w:val="20"/>
    </w:rPr>
  </w:style>
  <w:style w:type="paragraph" w:styleId="CommentSubject">
    <w:name w:val="annotation subject"/>
    <w:basedOn w:val="CommentText"/>
    <w:next w:val="CommentText"/>
    <w:link w:val="CommentSubjectChar"/>
    <w:uiPriority w:val="99"/>
    <w:semiHidden/>
    <w:unhideWhenUsed/>
    <w:qFormat/>
    <w:rsid w:val="006C6A69"/>
    <w:rPr>
      <w:b/>
      <w:bCs/>
    </w:rPr>
  </w:style>
  <w:style w:type="paragraph" w:styleId="NormalWeb">
    <w:name w:val="Normal (Web)"/>
    <w:basedOn w:val="Normal"/>
    <w:uiPriority w:val="99"/>
    <w:semiHidden/>
    <w:unhideWhenUsed/>
    <w:qFormat/>
    <w:rsid w:val="00FD5774"/>
    <w:rPr>
      <w:rFonts w:ascii="Times New Roman" w:hAnsi="Times New Roman" w:cs="Times New Roman"/>
      <w:sz w:val="24"/>
      <w:szCs w:val="24"/>
    </w:rPr>
  </w:style>
  <w:style w:type="paragraph" w:customStyle="1" w:styleId="FrameContents">
    <w:name w:val="Frame Contents"/>
    <w:basedOn w:val="Normal"/>
    <w:qFormat/>
  </w:style>
  <w:style w:type="table" w:styleId="PlainTable1">
    <w:name w:val="Plain Table 1"/>
    <w:basedOn w:val="TableNormal"/>
    <w:uiPriority w:val="41"/>
    <w:rsid w:val="008B7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D1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93"/>
    <w:rPr>
      <w:rFonts w:ascii="Segoe UI" w:eastAsia="Cambria" w:hAnsi="Segoe UI" w:cs="Segoe UI"/>
      <w:w w:val="105"/>
      <w:sz w:val="18"/>
      <w:szCs w:val="18"/>
      <w:lang w:val="en-GB"/>
    </w:rPr>
  </w:style>
  <w:style w:type="paragraph" w:styleId="Revision">
    <w:name w:val="Revision"/>
    <w:hidden/>
    <w:uiPriority w:val="99"/>
    <w:semiHidden/>
    <w:rsid w:val="009749D2"/>
    <w:pPr>
      <w:suppressAutoHyphens w:val="0"/>
    </w:pPr>
    <w:rPr>
      <w:rFonts w:ascii="Cambria" w:eastAsia="Cambria" w:hAnsi="Cambria" w:cs="Cambria"/>
      <w:w w:val="10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0589">
      <w:bodyDiv w:val="1"/>
      <w:marLeft w:val="0"/>
      <w:marRight w:val="0"/>
      <w:marTop w:val="0"/>
      <w:marBottom w:val="0"/>
      <w:divBdr>
        <w:top w:val="none" w:sz="0" w:space="0" w:color="auto"/>
        <w:left w:val="none" w:sz="0" w:space="0" w:color="auto"/>
        <w:bottom w:val="none" w:sz="0" w:space="0" w:color="auto"/>
        <w:right w:val="none" w:sz="0" w:space="0" w:color="auto"/>
      </w:divBdr>
    </w:div>
    <w:div w:id="122963063">
      <w:bodyDiv w:val="1"/>
      <w:marLeft w:val="0"/>
      <w:marRight w:val="0"/>
      <w:marTop w:val="0"/>
      <w:marBottom w:val="0"/>
      <w:divBdr>
        <w:top w:val="none" w:sz="0" w:space="0" w:color="auto"/>
        <w:left w:val="none" w:sz="0" w:space="0" w:color="auto"/>
        <w:bottom w:val="none" w:sz="0" w:space="0" w:color="auto"/>
        <w:right w:val="none" w:sz="0" w:space="0" w:color="auto"/>
      </w:divBdr>
    </w:div>
    <w:div w:id="197815018">
      <w:bodyDiv w:val="1"/>
      <w:marLeft w:val="0"/>
      <w:marRight w:val="0"/>
      <w:marTop w:val="0"/>
      <w:marBottom w:val="0"/>
      <w:divBdr>
        <w:top w:val="none" w:sz="0" w:space="0" w:color="auto"/>
        <w:left w:val="none" w:sz="0" w:space="0" w:color="auto"/>
        <w:bottom w:val="none" w:sz="0" w:space="0" w:color="auto"/>
        <w:right w:val="none" w:sz="0" w:space="0" w:color="auto"/>
      </w:divBdr>
      <w:divsChild>
        <w:div w:id="704252115">
          <w:marLeft w:val="0"/>
          <w:marRight w:val="0"/>
          <w:marTop w:val="0"/>
          <w:marBottom w:val="0"/>
          <w:divBdr>
            <w:top w:val="none" w:sz="0" w:space="0" w:color="auto"/>
            <w:left w:val="none" w:sz="0" w:space="0" w:color="auto"/>
            <w:bottom w:val="none" w:sz="0" w:space="0" w:color="auto"/>
            <w:right w:val="none" w:sz="0" w:space="0" w:color="auto"/>
          </w:divBdr>
          <w:divsChild>
            <w:div w:id="503666932">
              <w:marLeft w:val="0"/>
              <w:marRight w:val="0"/>
              <w:marTop w:val="0"/>
              <w:marBottom w:val="0"/>
              <w:divBdr>
                <w:top w:val="none" w:sz="0" w:space="0" w:color="auto"/>
                <w:left w:val="none" w:sz="0" w:space="0" w:color="auto"/>
                <w:bottom w:val="none" w:sz="0" w:space="0" w:color="auto"/>
                <w:right w:val="none" w:sz="0" w:space="0" w:color="auto"/>
              </w:divBdr>
              <w:divsChild>
                <w:div w:id="99886150">
                  <w:marLeft w:val="0"/>
                  <w:marRight w:val="0"/>
                  <w:marTop w:val="0"/>
                  <w:marBottom w:val="0"/>
                  <w:divBdr>
                    <w:top w:val="none" w:sz="0" w:space="0" w:color="auto"/>
                    <w:left w:val="none" w:sz="0" w:space="0" w:color="auto"/>
                    <w:bottom w:val="none" w:sz="0" w:space="0" w:color="auto"/>
                    <w:right w:val="none" w:sz="0" w:space="0" w:color="auto"/>
                  </w:divBdr>
                  <w:divsChild>
                    <w:div w:id="7963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6335">
      <w:bodyDiv w:val="1"/>
      <w:marLeft w:val="0"/>
      <w:marRight w:val="0"/>
      <w:marTop w:val="0"/>
      <w:marBottom w:val="0"/>
      <w:divBdr>
        <w:top w:val="none" w:sz="0" w:space="0" w:color="auto"/>
        <w:left w:val="none" w:sz="0" w:space="0" w:color="auto"/>
        <w:bottom w:val="none" w:sz="0" w:space="0" w:color="auto"/>
        <w:right w:val="none" w:sz="0" w:space="0" w:color="auto"/>
      </w:divBdr>
      <w:divsChild>
        <w:div w:id="1856263625">
          <w:marLeft w:val="0"/>
          <w:marRight w:val="0"/>
          <w:marTop w:val="0"/>
          <w:marBottom w:val="0"/>
          <w:divBdr>
            <w:top w:val="none" w:sz="0" w:space="0" w:color="auto"/>
            <w:left w:val="none" w:sz="0" w:space="0" w:color="auto"/>
            <w:bottom w:val="none" w:sz="0" w:space="0" w:color="auto"/>
            <w:right w:val="none" w:sz="0" w:space="0" w:color="auto"/>
          </w:divBdr>
          <w:divsChild>
            <w:div w:id="710108043">
              <w:marLeft w:val="0"/>
              <w:marRight w:val="0"/>
              <w:marTop w:val="0"/>
              <w:marBottom w:val="0"/>
              <w:divBdr>
                <w:top w:val="none" w:sz="0" w:space="0" w:color="auto"/>
                <w:left w:val="none" w:sz="0" w:space="0" w:color="auto"/>
                <w:bottom w:val="none" w:sz="0" w:space="0" w:color="auto"/>
                <w:right w:val="none" w:sz="0" w:space="0" w:color="auto"/>
              </w:divBdr>
              <w:divsChild>
                <w:div w:id="1212309982">
                  <w:marLeft w:val="0"/>
                  <w:marRight w:val="0"/>
                  <w:marTop w:val="0"/>
                  <w:marBottom w:val="0"/>
                  <w:divBdr>
                    <w:top w:val="none" w:sz="0" w:space="0" w:color="auto"/>
                    <w:left w:val="none" w:sz="0" w:space="0" w:color="auto"/>
                    <w:bottom w:val="none" w:sz="0" w:space="0" w:color="auto"/>
                    <w:right w:val="none" w:sz="0" w:space="0" w:color="auto"/>
                  </w:divBdr>
                  <w:divsChild>
                    <w:div w:id="1572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88770">
      <w:bodyDiv w:val="1"/>
      <w:marLeft w:val="0"/>
      <w:marRight w:val="0"/>
      <w:marTop w:val="0"/>
      <w:marBottom w:val="0"/>
      <w:divBdr>
        <w:top w:val="none" w:sz="0" w:space="0" w:color="auto"/>
        <w:left w:val="none" w:sz="0" w:space="0" w:color="auto"/>
        <w:bottom w:val="none" w:sz="0" w:space="0" w:color="auto"/>
        <w:right w:val="none" w:sz="0" w:space="0" w:color="auto"/>
      </w:divBdr>
    </w:div>
    <w:div w:id="460878592">
      <w:bodyDiv w:val="1"/>
      <w:marLeft w:val="0"/>
      <w:marRight w:val="0"/>
      <w:marTop w:val="0"/>
      <w:marBottom w:val="0"/>
      <w:divBdr>
        <w:top w:val="none" w:sz="0" w:space="0" w:color="auto"/>
        <w:left w:val="none" w:sz="0" w:space="0" w:color="auto"/>
        <w:bottom w:val="none" w:sz="0" w:space="0" w:color="auto"/>
        <w:right w:val="none" w:sz="0" w:space="0" w:color="auto"/>
      </w:divBdr>
    </w:div>
    <w:div w:id="477844700">
      <w:bodyDiv w:val="1"/>
      <w:marLeft w:val="0"/>
      <w:marRight w:val="0"/>
      <w:marTop w:val="0"/>
      <w:marBottom w:val="0"/>
      <w:divBdr>
        <w:top w:val="none" w:sz="0" w:space="0" w:color="auto"/>
        <w:left w:val="none" w:sz="0" w:space="0" w:color="auto"/>
        <w:bottom w:val="none" w:sz="0" w:space="0" w:color="auto"/>
        <w:right w:val="none" w:sz="0" w:space="0" w:color="auto"/>
      </w:divBdr>
    </w:div>
    <w:div w:id="487523700">
      <w:bodyDiv w:val="1"/>
      <w:marLeft w:val="0"/>
      <w:marRight w:val="0"/>
      <w:marTop w:val="0"/>
      <w:marBottom w:val="0"/>
      <w:divBdr>
        <w:top w:val="none" w:sz="0" w:space="0" w:color="auto"/>
        <w:left w:val="none" w:sz="0" w:space="0" w:color="auto"/>
        <w:bottom w:val="none" w:sz="0" w:space="0" w:color="auto"/>
        <w:right w:val="none" w:sz="0" w:space="0" w:color="auto"/>
      </w:divBdr>
    </w:div>
    <w:div w:id="500044794">
      <w:bodyDiv w:val="1"/>
      <w:marLeft w:val="0"/>
      <w:marRight w:val="0"/>
      <w:marTop w:val="0"/>
      <w:marBottom w:val="0"/>
      <w:divBdr>
        <w:top w:val="none" w:sz="0" w:space="0" w:color="auto"/>
        <w:left w:val="none" w:sz="0" w:space="0" w:color="auto"/>
        <w:bottom w:val="none" w:sz="0" w:space="0" w:color="auto"/>
        <w:right w:val="none" w:sz="0" w:space="0" w:color="auto"/>
      </w:divBdr>
    </w:div>
    <w:div w:id="506943291">
      <w:bodyDiv w:val="1"/>
      <w:marLeft w:val="0"/>
      <w:marRight w:val="0"/>
      <w:marTop w:val="0"/>
      <w:marBottom w:val="0"/>
      <w:divBdr>
        <w:top w:val="none" w:sz="0" w:space="0" w:color="auto"/>
        <w:left w:val="none" w:sz="0" w:space="0" w:color="auto"/>
        <w:bottom w:val="none" w:sz="0" w:space="0" w:color="auto"/>
        <w:right w:val="none" w:sz="0" w:space="0" w:color="auto"/>
      </w:divBdr>
    </w:div>
    <w:div w:id="517813186">
      <w:bodyDiv w:val="1"/>
      <w:marLeft w:val="0"/>
      <w:marRight w:val="0"/>
      <w:marTop w:val="0"/>
      <w:marBottom w:val="0"/>
      <w:divBdr>
        <w:top w:val="none" w:sz="0" w:space="0" w:color="auto"/>
        <w:left w:val="none" w:sz="0" w:space="0" w:color="auto"/>
        <w:bottom w:val="none" w:sz="0" w:space="0" w:color="auto"/>
        <w:right w:val="none" w:sz="0" w:space="0" w:color="auto"/>
      </w:divBdr>
    </w:div>
    <w:div w:id="524907093">
      <w:bodyDiv w:val="1"/>
      <w:marLeft w:val="0"/>
      <w:marRight w:val="0"/>
      <w:marTop w:val="0"/>
      <w:marBottom w:val="0"/>
      <w:divBdr>
        <w:top w:val="none" w:sz="0" w:space="0" w:color="auto"/>
        <w:left w:val="none" w:sz="0" w:space="0" w:color="auto"/>
        <w:bottom w:val="none" w:sz="0" w:space="0" w:color="auto"/>
        <w:right w:val="none" w:sz="0" w:space="0" w:color="auto"/>
      </w:divBdr>
    </w:div>
    <w:div w:id="538471868">
      <w:bodyDiv w:val="1"/>
      <w:marLeft w:val="0"/>
      <w:marRight w:val="0"/>
      <w:marTop w:val="0"/>
      <w:marBottom w:val="0"/>
      <w:divBdr>
        <w:top w:val="none" w:sz="0" w:space="0" w:color="auto"/>
        <w:left w:val="none" w:sz="0" w:space="0" w:color="auto"/>
        <w:bottom w:val="none" w:sz="0" w:space="0" w:color="auto"/>
        <w:right w:val="none" w:sz="0" w:space="0" w:color="auto"/>
      </w:divBdr>
    </w:div>
    <w:div w:id="539821512">
      <w:bodyDiv w:val="1"/>
      <w:marLeft w:val="0"/>
      <w:marRight w:val="0"/>
      <w:marTop w:val="0"/>
      <w:marBottom w:val="0"/>
      <w:divBdr>
        <w:top w:val="none" w:sz="0" w:space="0" w:color="auto"/>
        <w:left w:val="none" w:sz="0" w:space="0" w:color="auto"/>
        <w:bottom w:val="none" w:sz="0" w:space="0" w:color="auto"/>
        <w:right w:val="none" w:sz="0" w:space="0" w:color="auto"/>
      </w:divBdr>
    </w:div>
    <w:div w:id="564493251">
      <w:bodyDiv w:val="1"/>
      <w:marLeft w:val="0"/>
      <w:marRight w:val="0"/>
      <w:marTop w:val="0"/>
      <w:marBottom w:val="0"/>
      <w:divBdr>
        <w:top w:val="none" w:sz="0" w:space="0" w:color="auto"/>
        <w:left w:val="none" w:sz="0" w:space="0" w:color="auto"/>
        <w:bottom w:val="none" w:sz="0" w:space="0" w:color="auto"/>
        <w:right w:val="none" w:sz="0" w:space="0" w:color="auto"/>
      </w:divBdr>
    </w:div>
    <w:div w:id="622006489">
      <w:bodyDiv w:val="1"/>
      <w:marLeft w:val="0"/>
      <w:marRight w:val="0"/>
      <w:marTop w:val="0"/>
      <w:marBottom w:val="0"/>
      <w:divBdr>
        <w:top w:val="none" w:sz="0" w:space="0" w:color="auto"/>
        <w:left w:val="none" w:sz="0" w:space="0" w:color="auto"/>
        <w:bottom w:val="none" w:sz="0" w:space="0" w:color="auto"/>
        <w:right w:val="none" w:sz="0" w:space="0" w:color="auto"/>
      </w:divBdr>
    </w:div>
    <w:div w:id="673144307">
      <w:bodyDiv w:val="1"/>
      <w:marLeft w:val="0"/>
      <w:marRight w:val="0"/>
      <w:marTop w:val="0"/>
      <w:marBottom w:val="0"/>
      <w:divBdr>
        <w:top w:val="none" w:sz="0" w:space="0" w:color="auto"/>
        <w:left w:val="none" w:sz="0" w:space="0" w:color="auto"/>
        <w:bottom w:val="none" w:sz="0" w:space="0" w:color="auto"/>
        <w:right w:val="none" w:sz="0" w:space="0" w:color="auto"/>
      </w:divBdr>
    </w:div>
    <w:div w:id="734857952">
      <w:bodyDiv w:val="1"/>
      <w:marLeft w:val="0"/>
      <w:marRight w:val="0"/>
      <w:marTop w:val="0"/>
      <w:marBottom w:val="0"/>
      <w:divBdr>
        <w:top w:val="none" w:sz="0" w:space="0" w:color="auto"/>
        <w:left w:val="none" w:sz="0" w:space="0" w:color="auto"/>
        <w:bottom w:val="none" w:sz="0" w:space="0" w:color="auto"/>
        <w:right w:val="none" w:sz="0" w:space="0" w:color="auto"/>
      </w:divBdr>
    </w:div>
    <w:div w:id="739644676">
      <w:bodyDiv w:val="1"/>
      <w:marLeft w:val="0"/>
      <w:marRight w:val="0"/>
      <w:marTop w:val="0"/>
      <w:marBottom w:val="0"/>
      <w:divBdr>
        <w:top w:val="none" w:sz="0" w:space="0" w:color="auto"/>
        <w:left w:val="none" w:sz="0" w:space="0" w:color="auto"/>
        <w:bottom w:val="none" w:sz="0" w:space="0" w:color="auto"/>
        <w:right w:val="none" w:sz="0" w:space="0" w:color="auto"/>
      </w:divBdr>
    </w:div>
    <w:div w:id="803160862">
      <w:bodyDiv w:val="1"/>
      <w:marLeft w:val="0"/>
      <w:marRight w:val="0"/>
      <w:marTop w:val="0"/>
      <w:marBottom w:val="0"/>
      <w:divBdr>
        <w:top w:val="none" w:sz="0" w:space="0" w:color="auto"/>
        <w:left w:val="none" w:sz="0" w:space="0" w:color="auto"/>
        <w:bottom w:val="none" w:sz="0" w:space="0" w:color="auto"/>
        <w:right w:val="none" w:sz="0" w:space="0" w:color="auto"/>
      </w:divBdr>
    </w:div>
    <w:div w:id="828324951">
      <w:bodyDiv w:val="1"/>
      <w:marLeft w:val="0"/>
      <w:marRight w:val="0"/>
      <w:marTop w:val="0"/>
      <w:marBottom w:val="0"/>
      <w:divBdr>
        <w:top w:val="none" w:sz="0" w:space="0" w:color="auto"/>
        <w:left w:val="none" w:sz="0" w:space="0" w:color="auto"/>
        <w:bottom w:val="none" w:sz="0" w:space="0" w:color="auto"/>
        <w:right w:val="none" w:sz="0" w:space="0" w:color="auto"/>
      </w:divBdr>
    </w:div>
    <w:div w:id="901604133">
      <w:bodyDiv w:val="1"/>
      <w:marLeft w:val="0"/>
      <w:marRight w:val="0"/>
      <w:marTop w:val="0"/>
      <w:marBottom w:val="0"/>
      <w:divBdr>
        <w:top w:val="none" w:sz="0" w:space="0" w:color="auto"/>
        <w:left w:val="none" w:sz="0" w:space="0" w:color="auto"/>
        <w:bottom w:val="none" w:sz="0" w:space="0" w:color="auto"/>
        <w:right w:val="none" w:sz="0" w:space="0" w:color="auto"/>
      </w:divBdr>
    </w:div>
    <w:div w:id="910047464">
      <w:bodyDiv w:val="1"/>
      <w:marLeft w:val="0"/>
      <w:marRight w:val="0"/>
      <w:marTop w:val="0"/>
      <w:marBottom w:val="0"/>
      <w:divBdr>
        <w:top w:val="none" w:sz="0" w:space="0" w:color="auto"/>
        <w:left w:val="none" w:sz="0" w:space="0" w:color="auto"/>
        <w:bottom w:val="none" w:sz="0" w:space="0" w:color="auto"/>
        <w:right w:val="none" w:sz="0" w:space="0" w:color="auto"/>
      </w:divBdr>
      <w:divsChild>
        <w:div w:id="2143620121">
          <w:marLeft w:val="0"/>
          <w:marRight w:val="0"/>
          <w:marTop w:val="0"/>
          <w:marBottom w:val="0"/>
          <w:divBdr>
            <w:top w:val="none" w:sz="0" w:space="0" w:color="auto"/>
            <w:left w:val="none" w:sz="0" w:space="0" w:color="auto"/>
            <w:bottom w:val="none" w:sz="0" w:space="0" w:color="auto"/>
            <w:right w:val="none" w:sz="0" w:space="0" w:color="auto"/>
          </w:divBdr>
          <w:divsChild>
            <w:div w:id="1898665032">
              <w:marLeft w:val="0"/>
              <w:marRight w:val="0"/>
              <w:marTop w:val="0"/>
              <w:marBottom w:val="0"/>
              <w:divBdr>
                <w:top w:val="none" w:sz="0" w:space="0" w:color="auto"/>
                <w:left w:val="none" w:sz="0" w:space="0" w:color="auto"/>
                <w:bottom w:val="none" w:sz="0" w:space="0" w:color="auto"/>
                <w:right w:val="none" w:sz="0" w:space="0" w:color="auto"/>
              </w:divBdr>
              <w:divsChild>
                <w:div w:id="1958367848">
                  <w:marLeft w:val="0"/>
                  <w:marRight w:val="0"/>
                  <w:marTop w:val="0"/>
                  <w:marBottom w:val="0"/>
                  <w:divBdr>
                    <w:top w:val="none" w:sz="0" w:space="0" w:color="auto"/>
                    <w:left w:val="none" w:sz="0" w:space="0" w:color="auto"/>
                    <w:bottom w:val="none" w:sz="0" w:space="0" w:color="auto"/>
                    <w:right w:val="none" w:sz="0" w:space="0" w:color="auto"/>
                  </w:divBdr>
                  <w:divsChild>
                    <w:div w:id="18742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21042">
      <w:bodyDiv w:val="1"/>
      <w:marLeft w:val="0"/>
      <w:marRight w:val="0"/>
      <w:marTop w:val="0"/>
      <w:marBottom w:val="0"/>
      <w:divBdr>
        <w:top w:val="none" w:sz="0" w:space="0" w:color="auto"/>
        <w:left w:val="none" w:sz="0" w:space="0" w:color="auto"/>
        <w:bottom w:val="none" w:sz="0" w:space="0" w:color="auto"/>
        <w:right w:val="none" w:sz="0" w:space="0" w:color="auto"/>
      </w:divBdr>
    </w:div>
    <w:div w:id="1068721584">
      <w:bodyDiv w:val="1"/>
      <w:marLeft w:val="0"/>
      <w:marRight w:val="0"/>
      <w:marTop w:val="0"/>
      <w:marBottom w:val="0"/>
      <w:divBdr>
        <w:top w:val="none" w:sz="0" w:space="0" w:color="auto"/>
        <w:left w:val="none" w:sz="0" w:space="0" w:color="auto"/>
        <w:bottom w:val="none" w:sz="0" w:space="0" w:color="auto"/>
        <w:right w:val="none" w:sz="0" w:space="0" w:color="auto"/>
      </w:divBdr>
    </w:div>
    <w:div w:id="1156263996">
      <w:bodyDiv w:val="1"/>
      <w:marLeft w:val="0"/>
      <w:marRight w:val="0"/>
      <w:marTop w:val="0"/>
      <w:marBottom w:val="0"/>
      <w:divBdr>
        <w:top w:val="none" w:sz="0" w:space="0" w:color="auto"/>
        <w:left w:val="none" w:sz="0" w:space="0" w:color="auto"/>
        <w:bottom w:val="none" w:sz="0" w:space="0" w:color="auto"/>
        <w:right w:val="none" w:sz="0" w:space="0" w:color="auto"/>
      </w:divBdr>
    </w:div>
    <w:div w:id="1158224957">
      <w:bodyDiv w:val="1"/>
      <w:marLeft w:val="0"/>
      <w:marRight w:val="0"/>
      <w:marTop w:val="0"/>
      <w:marBottom w:val="0"/>
      <w:divBdr>
        <w:top w:val="none" w:sz="0" w:space="0" w:color="auto"/>
        <w:left w:val="none" w:sz="0" w:space="0" w:color="auto"/>
        <w:bottom w:val="none" w:sz="0" w:space="0" w:color="auto"/>
        <w:right w:val="none" w:sz="0" w:space="0" w:color="auto"/>
      </w:divBdr>
      <w:divsChild>
        <w:div w:id="101656364">
          <w:marLeft w:val="0"/>
          <w:marRight w:val="0"/>
          <w:marTop w:val="0"/>
          <w:marBottom w:val="0"/>
          <w:divBdr>
            <w:top w:val="none" w:sz="0" w:space="0" w:color="auto"/>
            <w:left w:val="none" w:sz="0" w:space="0" w:color="auto"/>
            <w:bottom w:val="none" w:sz="0" w:space="0" w:color="auto"/>
            <w:right w:val="none" w:sz="0" w:space="0" w:color="auto"/>
          </w:divBdr>
          <w:divsChild>
            <w:div w:id="861089989">
              <w:marLeft w:val="0"/>
              <w:marRight w:val="0"/>
              <w:marTop w:val="0"/>
              <w:marBottom w:val="0"/>
              <w:divBdr>
                <w:top w:val="none" w:sz="0" w:space="0" w:color="auto"/>
                <w:left w:val="none" w:sz="0" w:space="0" w:color="auto"/>
                <w:bottom w:val="none" w:sz="0" w:space="0" w:color="auto"/>
                <w:right w:val="none" w:sz="0" w:space="0" w:color="auto"/>
              </w:divBdr>
              <w:divsChild>
                <w:div w:id="1801996878">
                  <w:marLeft w:val="0"/>
                  <w:marRight w:val="0"/>
                  <w:marTop w:val="0"/>
                  <w:marBottom w:val="0"/>
                  <w:divBdr>
                    <w:top w:val="none" w:sz="0" w:space="0" w:color="auto"/>
                    <w:left w:val="none" w:sz="0" w:space="0" w:color="auto"/>
                    <w:bottom w:val="none" w:sz="0" w:space="0" w:color="auto"/>
                    <w:right w:val="none" w:sz="0" w:space="0" w:color="auto"/>
                  </w:divBdr>
                  <w:divsChild>
                    <w:div w:id="6117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0299">
      <w:bodyDiv w:val="1"/>
      <w:marLeft w:val="0"/>
      <w:marRight w:val="0"/>
      <w:marTop w:val="0"/>
      <w:marBottom w:val="0"/>
      <w:divBdr>
        <w:top w:val="none" w:sz="0" w:space="0" w:color="auto"/>
        <w:left w:val="none" w:sz="0" w:space="0" w:color="auto"/>
        <w:bottom w:val="none" w:sz="0" w:space="0" w:color="auto"/>
        <w:right w:val="none" w:sz="0" w:space="0" w:color="auto"/>
      </w:divBdr>
    </w:div>
    <w:div w:id="1226641936">
      <w:bodyDiv w:val="1"/>
      <w:marLeft w:val="0"/>
      <w:marRight w:val="0"/>
      <w:marTop w:val="0"/>
      <w:marBottom w:val="0"/>
      <w:divBdr>
        <w:top w:val="none" w:sz="0" w:space="0" w:color="auto"/>
        <w:left w:val="none" w:sz="0" w:space="0" w:color="auto"/>
        <w:bottom w:val="none" w:sz="0" w:space="0" w:color="auto"/>
        <w:right w:val="none" w:sz="0" w:space="0" w:color="auto"/>
      </w:divBdr>
    </w:div>
    <w:div w:id="1299453795">
      <w:bodyDiv w:val="1"/>
      <w:marLeft w:val="0"/>
      <w:marRight w:val="0"/>
      <w:marTop w:val="0"/>
      <w:marBottom w:val="0"/>
      <w:divBdr>
        <w:top w:val="none" w:sz="0" w:space="0" w:color="auto"/>
        <w:left w:val="none" w:sz="0" w:space="0" w:color="auto"/>
        <w:bottom w:val="none" w:sz="0" w:space="0" w:color="auto"/>
        <w:right w:val="none" w:sz="0" w:space="0" w:color="auto"/>
      </w:divBdr>
    </w:div>
    <w:div w:id="1310938555">
      <w:bodyDiv w:val="1"/>
      <w:marLeft w:val="0"/>
      <w:marRight w:val="0"/>
      <w:marTop w:val="0"/>
      <w:marBottom w:val="0"/>
      <w:divBdr>
        <w:top w:val="none" w:sz="0" w:space="0" w:color="auto"/>
        <w:left w:val="none" w:sz="0" w:space="0" w:color="auto"/>
        <w:bottom w:val="none" w:sz="0" w:space="0" w:color="auto"/>
        <w:right w:val="none" w:sz="0" w:space="0" w:color="auto"/>
      </w:divBdr>
    </w:div>
    <w:div w:id="1384014070">
      <w:bodyDiv w:val="1"/>
      <w:marLeft w:val="0"/>
      <w:marRight w:val="0"/>
      <w:marTop w:val="0"/>
      <w:marBottom w:val="0"/>
      <w:divBdr>
        <w:top w:val="none" w:sz="0" w:space="0" w:color="auto"/>
        <w:left w:val="none" w:sz="0" w:space="0" w:color="auto"/>
        <w:bottom w:val="none" w:sz="0" w:space="0" w:color="auto"/>
        <w:right w:val="none" w:sz="0" w:space="0" w:color="auto"/>
      </w:divBdr>
    </w:div>
    <w:div w:id="1410232104">
      <w:bodyDiv w:val="1"/>
      <w:marLeft w:val="0"/>
      <w:marRight w:val="0"/>
      <w:marTop w:val="0"/>
      <w:marBottom w:val="0"/>
      <w:divBdr>
        <w:top w:val="none" w:sz="0" w:space="0" w:color="auto"/>
        <w:left w:val="none" w:sz="0" w:space="0" w:color="auto"/>
        <w:bottom w:val="none" w:sz="0" w:space="0" w:color="auto"/>
        <w:right w:val="none" w:sz="0" w:space="0" w:color="auto"/>
      </w:divBdr>
    </w:div>
    <w:div w:id="1573349775">
      <w:bodyDiv w:val="1"/>
      <w:marLeft w:val="0"/>
      <w:marRight w:val="0"/>
      <w:marTop w:val="0"/>
      <w:marBottom w:val="0"/>
      <w:divBdr>
        <w:top w:val="none" w:sz="0" w:space="0" w:color="auto"/>
        <w:left w:val="none" w:sz="0" w:space="0" w:color="auto"/>
        <w:bottom w:val="none" w:sz="0" w:space="0" w:color="auto"/>
        <w:right w:val="none" w:sz="0" w:space="0" w:color="auto"/>
      </w:divBdr>
    </w:div>
    <w:div w:id="1581940265">
      <w:bodyDiv w:val="1"/>
      <w:marLeft w:val="0"/>
      <w:marRight w:val="0"/>
      <w:marTop w:val="0"/>
      <w:marBottom w:val="0"/>
      <w:divBdr>
        <w:top w:val="none" w:sz="0" w:space="0" w:color="auto"/>
        <w:left w:val="none" w:sz="0" w:space="0" w:color="auto"/>
        <w:bottom w:val="none" w:sz="0" w:space="0" w:color="auto"/>
        <w:right w:val="none" w:sz="0" w:space="0" w:color="auto"/>
      </w:divBdr>
      <w:divsChild>
        <w:div w:id="479922819">
          <w:marLeft w:val="0"/>
          <w:marRight w:val="0"/>
          <w:marTop w:val="0"/>
          <w:marBottom w:val="0"/>
          <w:divBdr>
            <w:top w:val="none" w:sz="0" w:space="0" w:color="auto"/>
            <w:left w:val="none" w:sz="0" w:space="0" w:color="auto"/>
            <w:bottom w:val="none" w:sz="0" w:space="0" w:color="auto"/>
            <w:right w:val="none" w:sz="0" w:space="0" w:color="auto"/>
          </w:divBdr>
          <w:divsChild>
            <w:div w:id="351684287">
              <w:marLeft w:val="0"/>
              <w:marRight w:val="0"/>
              <w:marTop w:val="0"/>
              <w:marBottom w:val="0"/>
              <w:divBdr>
                <w:top w:val="none" w:sz="0" w:space="0" w:color="auto"/>
                <w:left w:val="none" w:sz="0" w:space="0" w:color="auto"/>
                <w:bottom w:val="none" w:sz="0" w:space="0" w:color="auto"/>
                <w:right w:val="none" w:sz="0" w:space="0" w:color="auto"/>
              </w:divBdr>
              <w:divsChild>
                <w:div w:id="1315064881">
                  <w:marLeft w:val="0"/>
                  <w:marRight w:val="0"/>
                  <w:marTop w:val="0"/>
                  <w:marBottom w:val="0"/>
                  <w:divBdr>
                    <w:top w:val="none" w:sz="0" w:space="0" w:color="auto"/>
                    <w:left w:val="none" w:sz="0" w:space="0" w:color="auto"/>
                    <w:bottom w:val="none" w:sz="0" w:space="0" w:color="auto"/>
                    <w:right w:val="none" w:sz="0" w:space="0" w:color="auto"/>
                  </w:divBdr>
                  <w:divsChild>
                    <w:div w:id="18660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37315">
      <w:bodyDiv w:val="1"/>
      <w:marLeft w:val="0"/>
      <w:marRight w:val="0"/>
      <w:marTop w:val="0"/>
      <w:marBottom w:val="0"/>
      <w:divBdr>
        <w:top w:val="none" w:sz="0" w:space="0" w:color="auto"/>
        <w:left w:val="none" w:sz="0" w:space="0" w:color="auto"/>
        <w:bottom w:val="none" w:sz="0" w:space="0" w:color="auto"/>
        <w:right w:val="none" w:sz="0" w:space="0" w:color="auto"/>
      </w:divBdr>
    </w:div>
    <w:div w:id="1639147661">
      <w:bodyDiv w:val="1"/>
      <w:marLeft w:val="0"/>
      <w:marRight w:val="0"/>
      <w:marTop w:val="0"/>
      <w:marBottom w:val="0"/>
      <w:divBdr>
        <w:top w:val="none" w:sz="0" w:space="0" w:color="auto"/>
        <w:left w:val="none" w:sz="0" w:space="0" w:color="auto"/>
        <w:bottom w:val="none" w:sz="0" w:space="0" w:color="auto"/>
        <w:right w:val="none" w:sz="0" w:space="0" w:color="auto"/>
      </w:divBdr>
    </w:div>
    <w:div w:id="1735202322">
      <w:bodyDiv w:val="1"/>
      <w:marLeft w:val="0"/>
      <w:marRight w:val="0"/>
      <w:marTop w:val="0"/>
      <w:marBottom w:val="0"/>
      <w:divBdr>
        <w:top w:val="none" w:sz="0" w:space="0" w:color="auto"/>
        <w:left w:val="none" w:sz="0" w:space="0" w:color="auto"/>
        <w:bottom w:val="none" w:sz="0" w:space="0" w:color="auto"/>
        <w:right w:val="none" w:sz="0" w:space="0" w:color="auto"/>
      </w:divBdr>
    </w:div>
    <w:div w:id="1743597542">
      <w:bodyDiv w:val="1"/>
      <w:marLeft w:val="0"/>
      <w:marRight w:val="0"/>
      <w:marTop w:val="0"/>
      <w:marBottom w:val="0"/>
      <w:divBdr>
        <w:top w:val="none" w:sz="0" w:space="0" w:color="auto"/>
        <w:left w:val="none" w:sz="0" w:space="0" w:color="auto"/>
        <w:bottom w:val="none" w:sz="0" w:space="0" w:color="auto"/>
        <w:right w:val="none" w:sz="0" w:space="0" w:color="auto"/>
      </w:divBdr>
    </w:div>
    <w:div w:id="1861818336">
      <w:bodyDiv w:val="1"/>
      <w:marLeft w:val="0"/>
      <w:marRight w:val="0"/>
      <w:marTop w:val="0"/>
      <w:marBottom w:val="0"/>
      <w:divBdr>
        <w:top w:val="none" w:sz="0" w:space="0" w:color="auto"/>
        <w:left w:val="none" w:sz="0" w:space="0" w:color="auto"/>
        <w:bottom w:val="none" w:sz="0" w:space="0" w:color="auto"/>
        <w:right w:val="none" w:sz="0" w:space="0" w:color="auto"/>
      </w:divBdr>
    </w:div>
    <w:div w:id="1946494683">
      <w:bodyDiv w:val="1"/>
      <w:marLeft w:val="0"/>
      <w:marRight w:val="0"/>
      <w:marTop w:val="0"/>
      <w:marBottom w:val="0"/>
      <w:divBdr>
        <w:top w:val="none" w:sz="0" w:space="0" w:color="auto"/>
        <w:left w:val="none" w:sz="0" w:space="0" w:color="auto"/>
        <w:bottom w:val="none" w:sz="0" w:space="0" w:color="auto"/>
        <w:right w:val="none" w:sz="0" w:space="0" w:color="auto"/>
      </w:divBdr>
    </w:div>
    <w:div w:id="1998336729">
      <w:bodyDiv w:val="1"/>
      <w:marLeft w:val="0"/>
      <w:marRight w:val="0"/>
      <w:marTop w:val="0"/>
      <w:marBottom w:val="0"/>
      <w:divBdr>
        <w:top w:val="none" w:sz="0" w:space="0" w:color="auto"/>
        <w:left w:val="none" w:sz="0" w:space="0" w:color="auto"/>
        <w:bottom w:val="none" w:sz="0" w:space="0" w:color="auto"/>
        <w:right w:val="none" w:sz="0" w:space="0" w:color="auto"/>
      </w:divBdr>
    </w:div>
    <w:div w:id="2011518634">
      <w:bodyDiv w:val="1"/>
      <w:marLeft w:val="0"/>
      <w:marRight w:val="0"/>
      <w:marTop w:val="0"/>
      <w:marBottom w:val="0"/>
      <w:divBdr>
        <w:top w:val="none" w:sz="0" w:space="0" w:color="auto"/>
        <w:left w:val="none" w:sz="0" w:space="0" w:color="auto"/>
        <w:bottom w:val="none" w:sz="0" w:space="0" w:color="auto"/>
        <w:right w:val="none" w:sz="0" w:space="0" w:color="auto"/>
      </w:divBdr>
      <w:divsChild>
        <w:div w:id="1926835837">
          <w:marLeft w:val="0"/>
          <w:marRight w:val="0"/>
          <w:marTop w:val="0"/>
          <w:marBottom w:val="0"/>
          <w:divBdr>
            <w:top w:val="none" w:sz="0" w:space="0" w:color="auto"/>
            <w:left w:val="none" w:sz="0" w:space="0" w:color="auto"/>
            <w:bottom w:val="none" w:sz="0" w:space="0" w:color="auto"/>
            <w:right w:val="none" w:sz="0" w:space="0" w:color="auto"/>
          </w:divBdr>
          <w:divsChild>
            <w:div w:id="1375235806">
              <w:marLeft w:val="0"/>
              <w:marRight w:val="0"/>
              <w:marTop w:val="0"/>
              <w:marBottom w:val="0"/>
              <w:divBdr>
                <w:top w:val="none" w:sz="0" w:space="0" w:color="auto"/>
                <w:left w:val="none" w:sz="0" w:space="0" w:color="auto"/>
                <w:bottom w:val="none" w:sz="0" w:space="0" w:color="auto"/>
                <w:right w:val="none" w:sz="0" w:space="0" w:color="auto"/>
              </w:divBdr>
              <w:divsChild>
                <w:div w:id="705637805">
                  <w:marLeft w:val="0"/>
                  <w:marRight w:val="0"/>
                  <w:marTop w:val="0"/>
                  <w:marBottom w:val="0"/>
                  <w:divBdr>
                    <w:top w:val="none" w:sz="0" w:space="0" w:color="auto"/>
                    <w:left w:val="none" w:sz="0" w:space="0" w:color="auto"/>
                    <w:bottom w:val="none" w:sz="0" w:space="0" w:color="auto"/>
                    <w:right w:val="none" w:sz="0" w:space="0" w:color="auto"/>
                  </w:divBdr>
                  <w:divsChild>
                    <w:div w:id="2515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0720">
      <w:bodyDiv w:val="1"/>
      <w:marLeft w:val="0"/>
      <w:marRight w:val="0"/>
      <w:marTop w:val="0"/>
      <w:marBottom w:val="0"/>
      <w:divBdr>
        <w:top w:val="none" w:sz="0" w:space="0" w:color="auto"/>
        <w:left w:val="none" w:sz="0" w:space="0" w:color="auto"/>
        <w:bottom w:val="none" w:sz="0" w:space="0" w:color="auto"/>
        <w:right w:val="none" w:sz="0" w:space="0" w:color="auto"/>
      </w:divBdr>
    </w:div>
    <w:div w:id="2060081632">
      <w:bodyDiv w:val="1"/>
      <w:marLeft w:val="0"/>
      <w:marRight w:val="0"/>
      <w:marTop w:val="0"/>
      <w:marBottom w:val="0"/>
      <w:divBdr>
        <w:top w:val="none" w:sz="0" w:space="0" w:color="auto"/>
        <w:left w:val="none" w:sz="0" w:space="0" w:color="auto"/>
        <w:bottom w:val="none" w:sz="0" w:space="0" w:color="auto"/>
        <w:right w:val="none" w:sz="0" w:space="0" w:color="auto"/>
      </w:divBdr>
    </w:div>
    <w:div w:id="2142573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aury.Laridon@vub.b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open-research-europe.ec.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AD1F67BA524F43B2102CC5F4EDA5E8" ma:contentTypeVersion="10" ma:contentTypeDescription="Een nieuw document maken." ma:contentTypeScope="" ma:versionID="da1e200f42333522ca3931bdddecd22a">
  <xsd:schema xmlns:xsd="http://www.w3.org/2001/XMLSchema" xmlns:xs="http://www.w3.org/2001/XMLSchema" xmlns:p="http://schemas.microsoft.com/office/2006/metadata/properties" xmlns:ns3="f5414a59-a7c5-49af-8d8e-8dedf6574652" targetNamespace="http://schemas.microsoft.com/office/2006/metadata/properties" ma:root="true" ma:fieldsID="0d6cf7812c37a45dbb5ce959fc85a09b" ns3:_="">
    <xsd:import namespace="f5414a59-a7c5-49af-8d8e-8dedf657465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14a59-a7c5-49af-8d8e-8dedf657465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5414a59-a7c5-49af-8d8e-8dedf657465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02D4C-AF56-4969-B0B4-0A717E72C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14a59-a7c5-49af-8d8e-8dedf6574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F990B2-4E99-4107-9C6D-F127EEB655DE}">
  <ds:schemaRefs>
    <ds:schemaRef ds:uri="http://schemas.microsoft.com/office/2006/metadata/properties"/>
    <ds:schemaRef ds:uri="http://schemas.microsoft.com/office/infopath/2007/PartnerControls"/>
    <ds:schemaRef ds:uri="f5414a59-a7c5-49af-8d8e-8dedf6574652"/>
  </ds:schemaRefs>
</ds:datastoreItem>
</file>

<file path=customXml/itemProps3.xml><?xml version="1.0" encoding="utf-8"?>
<ds:datastoreItem xmlns:ds="http://schemas.openxmlformats.org/officeDocument/2006/customXml" ds:itemID="{F0864928-8F33-4755-90E0-959504E3AB5E}">
  <ds:schemaRefs>
    <ds:schemaRef ds:uri="http://schemas.openxmlformats.org/officeDocument/2006/bibliography"/>
  </ds:schemaRefs>
</ds:datastoreItem>
</file>

<file path=customXml/itemProps4.xml><?xml version="1.0" encoding="utf-8"?>
<ds:datastoreItem xmlns:ds="http://schemas.openxmlformats.org/officeDocument/2006/customXml" ds:itemID="{572C9B32-DDE2-4499-9C50-7BCC80A9A6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2119</Words>
  <Characters>11659</Characters>
  <Application>Microsoft Office Word</Application>
  <DocSecurity>0</DocSecurity>
  <Lines>97</Lines>
  <Paragraphs>27</Paragraphs>
  <ScaleCrop>false</ScaleCrop>
  <Company/>
  <LinksUpToDate>false</LinksUpToDate>
  <CharactersWithSpaces>13751</CharactersWithSpaces>
  <SharedDoc>false</SharedDoc>
  <HLinks>
    <vt:vector size="36" baseType="variant">
      <vt:variant>
        <vt:i4>2555977</vt:i4>
      </vt:variant>
      <vt:variant>
        <vt:i4>282</vt:i4>
      </vt:variant>
      <vt:variant>
        <vt:i4>0</vt:i4>
      </vt:variant>
      <vt:variant>
        <vt:i4>5</vt:i4>
      </vt:variant>
      <vt:variant>
        <vt:lpwstr>mailto:Amaury.Laridon@vub.be</vt:lpwstr>
      </vt:variant>
      <vt:variant>
        <vt:lpwstr/>
      </vt:variant>
      <vt:variant>
        <vt:i4>7274549</vt:i4>
      </vt:variant>
      <vt:variant>
        <vt:i4>273</vt:i4>
      </vt:variant>
      <vt:variant>
        <vt:i4>0</vt:i4>
      </vt:variant>
      <vt:variant>
        <vt:i4>5</vt:i4>
      </vt:variant>
      <vt:variant>
        <vt:lpwstr>https://zenodo.org/records/14514230</vt:lpwstr>
      </vt:variant>
      <vt:variant>
        <vt:lpwstr/>
      </vt:variant>
      <vt:variant>
        <vt:i4>7536651</vt:i4>
      </vt:variant>
      <vt:variant>
        <vt:i4>270</vt:i4>
      </vt:variant>
      <vt:variant>
        <vt:i4>0</vt:i4>
      </vt:variant>
      <vt:variant>
        <vt:i4>5</vt:i4>
      </vt:variant>
      <vt:variant>
        <vt:lpwstr>https://github.com/VUB-HYDR/2025_Laridon_etal_ORE</vt:lpwstr>
      </vt:variant>
      <vt:variant>
        <vt:lpwstr/>
      </vt:variant>
      <vt:variant>
        <vt:i4>2555977</vt:i4>
      </vt:variant>
      <vt:variant>
        <vt:i4>0</vt:i4>
      </vt:variant>
      <vt:variant>
        <vt:i4>0</vt:i4>
      </vt:variant>
      <vt:variant>
        <vt:i4>5</vt:i4>
      </vt:variant>
      <vt:variant>
        <vt:lpwstr>mailto:Amaury.Laridon@vub.be</vt:lpwstr>
      </vt:variant>
      <vt:variant>
        <vt:lpwstr/>
      </vt:variant>
      <vt:variant>
        <vt:i4>2359403</vt:i4>
      </vt:variant>
      <vt:variant>
        <vt:i4>9</vt:i4>
      </vt:variant>
      <vt:variant>
        <vt:i4>0</vt:i4>
      </vt:variant>
      <vt:variant>
        <vt:i4>5</vt:i4>
      </vt:variant>
      <vt:variant>
        <vt:lpwstr>https://open-research-europe.ec.europa.eu/</vt:lpwstr>
      </vt:variant>
      <vt:variant>
        <vt:lpwstr/>
      </vt:variant>
      <vt:variant>
        <vt:i4>2359403</vt:i4>
      </vt:variant>
      <vt:variant>
        <vt:i4>0</vt:i4>
      </vt:variant>
      <vt:variant>
        <vt:i4>0</vt:i4>
      </vt:variant>
      <vt:variant>
        <vt:i4>5</vt:i4>
      </vt:variant>
      <vt:variant>
        <vt:lpwstr>https://open-research-europe.ec.europa.eu/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Dignon, Ros</dc:creator>
  <cp:keywords/>
  <dc:description/>
  <cp:lastModifiedBy>Amaury Laridon</cp:lastModifiedBy>
  <cp:revision>2</cp:revision>
  <cp:lastPrinted>2025-10-17T13:40:00Z</cp:lastPrinted>
  <dcterms:created xsi:type="dcterms:W3CDTF">2025-10-17T13:42:00Z</dcterms:created>
  <dcterms:modified xsi:type="dcterms:W3CDTF">2025-10-17T13:42:00Z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0x010100C7AD1F67BA524F43B2102CC5F4EDA5E8</vt:lpwstr>
  </property>
  <property fmtid="{D5CDD505-2E9C-101B-9397-08002B2CF9AE}" pid="4" name="Created">
    <vt:filetime>2021-09-28T00:00:00Z</vt:filetime>
  </property>
  <property fmtid="{D5CDD505-2E9C-101B-9397-08002B2CF9AE}" pid="5" name="Creator">
    <vt:lpwstr>LaTeX with hyperref</vt:lpwstr>
  </property>
  <property fmtid="{D5CDD505-2E9C-101B-9397-08002B2CF9AE}" pid="6" name="LastSaved">
    <vt:filetime>2021-09-28T00:00:00Z</vt:filetime>
  </property>
  <property fmtid="{D5CDD505-2E9C-101B-9397-08002B2CF9AE}" pid="7" name="MSIP_Label_2bbab825-a111-45e4-86a1-18cee0005896_ActionId">
    <vt:lpwstr>d16f9c6f-6432-4cf9-8aae-1a8795393325</vt:lpwstr>
  </property>
  <property fmtid="{D5CDD505-2E9C-101B-9397-08002B2CF9AE}" pid="8" name="MSIP_Label_2bbab825-a111-45e4-86a1-18cee0005896_ContentBits">
    <vt:lpwstr>2</vt:lpwstr>
  </property>
  <property fmtid="{D5CDD505-2E9C-101B-9397-08002B2CF9AE}" pid="9" name="MSIP_Label_2bbab825-a111-45e4-86a1-18cee0005896_Enabled">
    <vt:lpwstr>true</vt:lpwstr>
  </property>
  <property fmtid="{D5CDD505-2E9C-101B-9397-08002B2CF9AE}" pid="10" name="MSIP_Label_2bbab825-a111-45e4-86a1-18cee0005896_Method">
    <vt:lpwstr>Standard</vt:lpwstr>
  </property>
  <property fmtid="{D5CDD505-2E9C-101B-9397-08002B2CF9AE}" pid="11" name="MSIP_Label_2bbab825-a111-45e4-86a1-18cee0005896_Name">
    <vt:lpwstr>2bbab825-a111-45e4-86a1-18cee0005896</vt:lpwstr>
  </property>
  <property fmtid="{D5CDD505-2E9C-101B-9397-08002B2CF9AE}" pid="12" name="MSIP_Label_2bbab825-a111-45e4-86a1-18cee0005896_SetDate">
    <vt:lpwstr>2023-01-04T13:02:33Z</vt:lpwstr>
  </property>
  <property fmtid="{D5CDD505-2E9C-101B-9397-08002B2CF9AE}" pid="13" name="MSIP_Label_2bbab825-a111-45e4-86a1-18cee0005896_SiteId">
    <vt:lpwstr>2567d566-604c-408a-8a60-55d0dc9d9d6b</vt:lpwstr>
  </property>
  <property fmtid="{D5CDD505-2E9C-101B-9397-08002B2CF9AE}" pid="14" name="MediaServiceImageTags">
    <vt:lpwstr/>
  </property>
  <property fmtid="{D5CDD505-2E9C-101B-9397-08002B2CF9AE}" pid="15" name="TriggerFlowInfo">
    <vt:lpwstr/>
  </property>
  <property fmtid="{D5CDD505-2E9C-101B-9397-08002B2CF9AE}" pid="16" name="ZOTERO_PREF_1">
    <vt:lpwstr>&lt;data data-version="3" zotero-version="7.0.13"&gt;&lt;session id="wEYA8MFV"/&gt;&lt;style id="http://www.zotero.org/styles/vancouver" locale="en-GB" hasBibliography="1" bibliographyStyleHasBeenSet="1"/&gt;&lt;prefs&gt;&lt;pref name="fieldType" value="Field"/&gt;&lt;pref name="automati</vt:lpwstr>
  </property>
  <property fmtid="{D5CDD505-2E9C-101B-9397-08002B2CF9AE}" pid="17" name="ZOTERO_PREF_2">
    <vt:lpwstr>cJournalAbbreviations" value="true"/&gt;&lt;pref name="dontAskDelayCitationUpdates" value="true"/&gt;&lt;/prefs&gt;&lt;/data&gt;</vt:lpwstr>
  </property>
  <property fmtid="{D5CDD505-2E9C-101B-9397-08002B2CF9AE}" pid="18" name="_ExtendedDescription">
    <vt:lpwstr/>
  </property>
</Properties>
</file>