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121" w:rsidRPr="003A43FB" w:rsidRDefault="005F3121" w:rsidP="00983F68">
      <w:pPr>
        <w:spacing w:line="480" w:lineRule="auto"/>
      </w:pPr>
      <w:r w:rsidRPr="003A43FB">
        <w:rPr>
          <w:b/>
        </w:rPr>
        <w:t xml:space="preserve">Comparing spatial prioritization methods for biodiversity conservation and ecosystem service supply in Europe - Supplementary </w:t>
      </w:r>
      <w:r w:rsidR="004D4C9A" w:rsidRPr="003A43FB">
        <w:rPr>
          <w:b/>
        </w:rPr>
        <w:t>Material</w:t>
      </w:r>
    </w:p>
    <w:p w:rsidR="005F3121" w:rsidRPr="00137E6F" w:rsidRDefault="005F3121" w:rsidP="00983F68">
      <w:pPr>
        <w:spacing w:line="480" w:lineRule="auto"/>
        <w:rPr>
          <w:lang w:val="fi-FI"/>
        </w:rPr>
      </w:pPr>
      <w:r w:rsidRPr="00137E6F">
        <w:rPr>
          <w:b/>
          <w:lang w:val="fi-FI"/>
        </w:rPr>
        <w:t>Joona Lehtomäki</w:t>
      </w:r>
      <w:r w:rsidRPr="00137E6F">
        <w:rPr>
          <w:lang w:val="fi-FI"/>
        </w:rPr>
        <w:t xml:space="preserve">, </w:t>
      </w:r>
      <w:proofErr w:type="spellStart"/>
      <w:r w:rsidRPr="00137E6F">
        <w:rPr>
          <w:b/>
          <w:lang w:val="fi-FI"/>
        </w:rPr>
        <w:t>Luigi</w:t>
      </w:r>
      <w:proofErr w:type="spellEnd"/>
      <w:r w:rsidRPr="00137E6F">
        <w:rPr>
          <w:b/>
          <w:lang w:val="fi-FI"/>
        </w:rPr>
        <w:t xml:space="preserve"> </w:t>
      </w:r>
      <w:proofErr w:type="spellStart"/>
      <w:r w:rsidRPr="00137E6F">
        <w:rPr>
          <w:b/>
          <w:lang w:val="fi-FI"/>
        </w:rPr>
        <w:t>Maiorano</w:t>
      </w:r>
      <w:proofErr w:type="spellEnd"/>
      <w:r w:rsidRPr="00137E6F">
        <w:rPr>
          <w:lang w:val="fi-FI"/>
        </w:rPr>
        <w:t xml:space="preserve"> and </w:t>
      </w:r>
      <w:r w:rsidRPr="00137E6F">
        <w:rPr>
          <w:b/>
          <w:lang w:val="fi-FI"/>
        </w:rPr>
        <w:t xml:space="preserve">Peter </w:t>
      </w:r>
      <w:proofErr w:type="spellStart"/>
      <w:r w:rsidRPr="00137E6F">
        <w:rPr>
          <w:b/>
          <w:lang w:val="fi-FI"/>
        </w:rPr>
        <w:t>verburg</w:t>
      </w:r>
      <w:proofErr w:type="spellEnd"/>
    </w:p>
    <w:p w:rsidR="00552A8B" w:rsidRPr="00137E6F" w:rsidRDefault="00552A8B" w:rsidP="00983F68">
      <w:pPr>
        <w:spacing w:line="480" w:lineRule="auto"/>
        <w:rPr>
          <w:lang w:val="fi-FI"/>
        </w:rPr>
      </w:pPr>
    </w:p>
    <w:p w:rsidR="00983F68" w:rsidRPr="00AA5C65" w:rsidRDefault="003A43FB" w:rsidP="00AA5C65">
      <w:pPr>
        <w:pStyle w:val="Heading1"/>
      </w:pPr>
      <w:r w:rsidRPr="00AA5C65">
        <w:t>1. Prioritization analysis including costs</w:t>
      </w:r>
    </w:p>
    <w:p w:rsidR="00AA7765" w:rsidRDefault="00AA7765" w:rsidP="00AA7765"/>
    <w:p w:rsidR="00631180" w:rsidRDefault="00F90ADB" w:rsidP="00AA7765">
      <w:r>
        <w:t xml:space="preserve">Accounting for various types of costs is often required for real-life conservation prioritization especially when different management actions are considered </w:t>
      </w:r>
      <w:r>
        <w:fldChar w:fldCharType="begin" w:fldLock="1"/>
      </w:r>
      <w:r w:rsidR="00C1732B">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fldChar w:fldCharType="separate"/>
      </w:r>
      <w:r w:rsidRPr="00F90ADB">
        <w:rPr>
          <w:noProof/>
        </w:rPr>
        <w:t>(Evans et al. 2015)</w:t>
      </w:r>
      <w:r>
        <w:fldChar w:fldCharType="end"/>
      </w:r>
      <w:r w:rsidR="00A261D2">
        <w:t xml:space="preserve">. </w:t>
      </w:r>
      <w:r w:rsidR="00DF37D8">
        <w:t xml:space="preserve">While </w:t>
      </w:r>
      <w:r w:rsidR="00E25330">
        <w:t xml:space="preserve">cost-efficient </w:t>
      </w:r>
      <w:r w:rsidR="00B7639F">
        <w:t xml:space="preserve">prioritization can be more desirable </w:t>
      </w:r>
      <w:r w:rsidR="00117F17">
        <w:t xml:space="preserve">in supporting e.g. land-use decisions, </w:t>
      </w:r>
      <w:r w:rsidR="00895B09">
        <w:t>including costs in the prioritization always means suboptimal solutions for the considere</w:t>
      </w:r>
      <w:r w:rsidR="00434ED9">
        <w:t xml:space="preserve">d biodiversity and ES features </w:t>
      </w:r>
      <w:r w:rsidR="00434ED9">
        <w:fldChar w:fldCharType="begin" w:fldLock="1"/>
      </w:r>
      <w:r w:rsidR="00F21DD0">
        <w:instrText>ADDIN CSL_CITATION { "citationItems" : [ { "id" : "ITEM-1", "itemData" : { "DOI" : "10.1111/j.1523-1739.2010.01539.x", "ISSN" : "1523-1739", "PMID" : "20575989", "abstract" : "Recent literature on systematic conservation planning has focused strongly on economics. It is a necessary component of efficient conservation planning because the question is about effective resource allocation. Nevertheless, there is an increasing tendency toward economic factors overriding biological considerations. Focusing too narrowly on economic cost may lead us back toward solutions resembling those obtained by opportunistic choice of areas, the avoidance of which was the motivation for development of systematic approaches. Moreover, there are many overlooked difficulties in incorporating economic considerations reliably into conservation planning because available economic data and the free market are complex. For instance, economies based on free markets tend to be shortsighted, whereas biodiversity conservation aims far into the future. Although economic data are necessary, they should not be relied on too heavily or considered separately from other sociopolitical factors. We suggest focusing on development of more-comprehensive ecological-economic modeling, while not forgetting the importance of purely biological analyses that are needed as a point of reference for evaluating conservation outcomes.", "author" : [ { "dropping-particle" : "", "family" : "Arponen", "given" : "Anni", "non-dropping-particle" : "", "parse-names" : false, "suffix" : "" }, { "dropping-particle" : "", "family" : "Cabeza", "given" : "Mar", "non-dropping-particle" : "", "parse-names" : false, "suffix" : "" }, { "dropping-particle" : "", "family" : "Eklund", "given" : "Johanna", "non-dropping-particle" : "", "parse-names" : false, "suffix" : "" }, { "dropping-particle" : "", "family" : "Kujala", "given" : "Heini", "non-dropping-particle" : "", "parse-names" : false, "suffix" : "" }, { "dropping-particle" : "", "family" : "Lehtom\u00e4ki", "given" : "Joona", "non-dropping-particle" : "", "parse-names" : false, "suffix" : "" } ], "container-title" : "Conservation Biology", "id" : "ITEM-1", "issue" : "5", "issued" : { "date-parts" : [ [ "2010", "10" ] ] }, "note" : "From Duplicate 2 ( \n\n\nCosts of integrating economics and conservation planning.\n\n\n- Arponen, Anni; Cabeza, Mar; Eklund, Johanna; Kujala, Heini; Lehtom\u00e4ki, Joona )\n\n", "page" : "1198-204", "title" : "Costs of integrating economics and conservation planning", "type" : "article-journal", "volume" : "24" }, "uris" : [ "http://www.mendeley.com/documents/?uuid=4db7bd71-2467-4575-8b02-ce94e3ca6ec3" ] } ], "mendeley" : { "formattedCitation" : "(Arponen et al. 2010)", "plainTextFormattedCitation" : "(Arponen et al. 2010)", "previouslyFormattedCitation" : "(Arponen et al. 2010)" }, "properties" : { "noteIndex" : 0 }, "schema" : "https://github.com/citation-style-language/schema/raw/master/csl-citation.json" }</w:instrText>
      </w:r>
      <w:r w:rsidR="00434ED9">
        <w:fldChar w:fldCharType="separate"/>
      </w:r>
      <w:r w:rsidR="00434ED9" w:rsidRPr="00434ED9">
        <w:rPr>
          <w:noProof/>
        </w:rPr>
        <w:t>(Arponen et al. 2010)</w:t>
      </w:r>
      <w:r w:rsidR="00434ED9">
        <w:fldChar w:fldCharType="end"/>
      </w:r>
      <w:r w:rsidR="00434ED9">
        <w:t xml:space="preserve">. </w:t>
      </w:r>
      <w:r w:rsidR="00F21DD0">
        <w:t xml:space="preserve">Thus, it is always advisable to run the prioritization with and without costs to establish the “cost of including the costs” in the prioritization </w:t>
      </w:r>
      <w:r w:rsidR="00F21DD0">
        <w:fldChar w:fldCharType="begin" w:fldLock="1"/>
      </w:r>
      <w:r w:rsidR="00F21DD0">
        <w:instrText>ADDIN CSL_CITATION { "citationItems" : [ { "id" : "ITEM-1", "itemData" : { "DOI" : "10.1111/j.1523-1739.2010.01539.x", "ISSN" : "1523-1739", "PMID" : "20575989", "abstract" : "Recent literature on systematic conservation planning has focused strongly on economics. It is a necessary component of efficient conservation planning because the question is about effective resource allocation. Nevertheless, there is an increasing tendency toward economic factors overriding biological considerations. Focusing too narrowly on economic cost may lead us back toward solutions resembling those obtained by opportunistic choice of areas, the avoidance of which was the motivation for development of systematic approaches. Moreover, there are many overlooked difficulties in incorporating economic considerations reliably into conservation planning because available economic data and the free market are complex. For instance, economies based on free markets tend to be shortsighted, whereas biodiversity conservation aims far into the future. Although economic data are necessary, they should not be relied on too heavily or considered separately from other sociopolitical factors. We suggest focusing on development of more-comprehensive ecological-economic modeling, while not forgetting the importance of purely biological analyses that are needed as a point of reference for evaluating conservation outcomes.", "author" : [ { "dropping-particle" : "", "family" : "Arponen", "given" : "Anni", "non-dropping-particle" : "", "parse-names" : false, "suffix" : "" }, { "dropping-particle" : "", "family" : "Cabeza", "given" : "Mar", "non-dropping-particle" : "", "parse-names" : false, "suffix" : "" }, { "dropping-particle" : "", "family" : "Eklund", "given" : "Johanna", "non-dropping-particle" : "", "parse-names" : false, "suffix" : "" }, { "dropping-particle" : "", "family" : "Kujala", "given" : "Heini", "non-dropping-particle" : "", "parse-names" : false, "suffix" : "" }, { "dropping-particle" : "", "family" : "Lehtom\u00e4ki", "given" : "Joona", "non-dropping-particle" : "", "parse-names" : false, "suffix" : "" } ], "container-title" : "Conservation Biology", "id" : "ITEM-1", "issue" : "5", "issued" : { "date-parts" : [ [ "2010", "10" ] ] }, "note" : "From Duplicate 2 ( \n\n\nCosts of integrating economics and conservation planning.\n\n\n- Arponen, Anni; Cabeza, Mar; Eklund, Johanna; Kujala, Heini; Lehtom\u00e4ki, Joona )\n\n", "page" : "1198-204", "title" : "Costs of integrating economics and conservation planning", "type" : "article-journal", "volume" : "24" }, "uris" : [ "http://www.mendeley.com/documents/?uuid=4db7bd71-2467-4575-8b02-ce94e3ca6ec3" ] }, { "id" : "ITEM-2",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"ITEM-2",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"(Arponen et al. 2010; Kukkala and Moilanen 2016)", "plainTextFormattedCitation" : "(Arponen et al. 2010; Kukkala and Moilanen 2016)" }, "properties" : { "noteIndex" : 0 }, "schema" : "https://github.com/citation-style-language/schema/raw/master/csl-citation.json" }</w:instrText>
      </w:r>
      <w:r w:rsidR="00F21DD0">
        <w:fldChar w:fldCharType="separate"/>
      </w:r>
      <w:r w:rsidR="00F21DD0" w:rsidRPr="00F21DD0">
        <w:rPr>
          <w:noProof/>
        </w:rPr>
        <w:t>(Arponen et al. 2010; Kukkala and Moilanen 2016)</w:t>
      </w:r>
      <w:r w:rsidR="00F21DD0">
        <w:fldChar w:fldCharType="end"/>
      </w:r>
      <w:r w:rsidR="00F21DD0">
        <w:t xml:space="preserve">. </w:t>
      </w:r>
      <w:r w:rsidR="00525CD5">
        <w:t>However, diff</w:t>
      </w:r>
      <w:r w:rsidR="00336D2C">
        <w:t>erent prioritization methods</w:t>
      </w:r>
      <w:r w:rsidR="00C4171E">
        <w:t xml:space="preserve"> deal with costs differently </w:t>
      </w:r>
      <w:r w:rsidR="0014226B">
        <w:t>and therefore the selection of method matters.</w:t>
      </w:r>
      <w:bookmarkStart w:id="0" w:name="_GoBack"/>
      <w:bookmarkEnd w:id="0"/>
      <w:r w:rsidR="00525CD5">
        <w:t xml:space="preserve"> </w:t>
      </w:r>
    </w:p>
    <w:p w:rsidR="00192243" w:rsidRDefault="00192243" w:rsidP="00192243"/>
    <w:p w:rsidR="00192243" w:rsidRPr="00192243" w:rsidRDefault="00192243" w:rsidP="00192243"/>
    <w:p w:rsidR="00C3638F" w:rsidRPr="00AA5C65" w:rsidRDefault="00C3638F" w:rsidP="00AA5C65">
      <w:pPr>
        <w:pStyle w:val="Heading2"/>
      </w:pPr>
      <w:r w:rsidRPr="00AA5C65">
        <w:t>1.1 Data and methods</w:t>
      </w:r>
    </w:p>
    <w:p w:rsidR="006C6E0E" w:rsidRDefault="006C6E0E" w:rsidP="00AA7765"/>
    <w:p w:rsidR="006F00B6" w:rsidRDefault="00137E6F" w:rsidP="006F00B6">
      <w:r>
        <w:rPr>
          <w:noProof/>
        </w:rPr>
        <w:drawing>
          <wp:anchor distT="0" distB="0" distL="114300" distR="114300" simplePos="0" relativeHeight="251658240" behindDoc="0" locked="0" layoutInCell="1" allowOverlap="1">
            <wp:simplePos x="914400" y="3526971"/>
            <wp:positionH relativeFrom="column">
              <wp:align>left</wp:align>
            </wp:positionH>
            <wp:positionV relativeFrom="paragraph">
              <wp:align>top</wp:align>
            </wp:positionV>
            <wp:extent cx="3657600" cy="3657600"/>
            <wp:effectExtent l="0" t="0" r="0" b="0"/>
            <wp:wrapSquare wrapText="bothSides"/>
            <wp:docPr id="7" name="Picture 7" descr="E:\Projects\VU\OPERAs\SP2\priocomp\reports\figures\figureS02\01_figure_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S02\01_figure_S0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anchor>
        </w:drawing>
      </w:r>
      <w:r w:rsidR="00D31965">
        <w:br w:type="textWrapping" w:clear="all"/>
      </w:r>
    </w:p>
    <w:p w:rsidR="006F00B6" w:rsidRPr="006F00B6" w:rsidRDefault="006F00B6" w:rsidP="006F00B6"/>
    <w:p w:rsidR="00C3638F" w:rsidRDefault="00C3638F" w:rsidP="00AA5C65">
      <w:pPr>
        <w:pStyle w:val="Heading2"/>
      </w:pPr>
      <w:r>
        <w:t>1.2 Results</w:t>
      </w:r>
    </w:p>
    <w:p w:rsidR="00C3638F" w:rsidRDefault="00A844AA" w:rsidP="00983F68">
      <w:pPr>
        <w:spacing w:line="480" w:lineRule="auto"/>
      </w:pPr>
      <w:r>
        <w:rPr>
          <w:noProof/>
        </w:rPr>
        <w:drawing>
          <wp:inline distT="0" distB="0" distL="0" distR="0">
            <wp:extent cx="5727700" cy="5727700"/>
            <wp:effectExtent l="0" t="0" r="6350" b="6350"/>
            <wp:docPr id="1" name="Picture 1" descr="E:\Projects\VU\OPERAs\SP2\priocomp\reports\figures\figure03\03_figure_03_main_c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3\03_figure_03_main_cost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A844AA" w:rsidRDefault="00A844AA" w:rsidP="00983F68">
      <w:pPr>
        <w:spacing w:line="480" w:lineRule="auto"/>
      </w:pPr>
      <w:r>
        <w:rPr>
          <w:noProof/>
        </w:rPr>
        <w:lastRenderedPageBreak/>
        <w:drawing>
          <wp:inline distT="0" distB="0" distL="0" distR="0">
            <wp:extent cx="5727700" cy="3433445"/>
            <wp:effectExtent l="0" t="0" r="6350" b="0"/>
            <wp:docPr id="2" name="Picture 2" descr="E:\Projects\VU\OPERAs\SP2\priocomp\reports\figures\figure04\06_figure_04_c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VU\OPERAs\SP2\priocomp\reports\figures\figure04\06_figure_04_cost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rsidR="0021031D" w:rsidRDefault="0021031D" w:rsidP="00983F68">
      <w:pPr>
        <w:spacing w:line="480" w:lineRule="auto"/>
      </w:pPr>
    </w:p>
    <w:p w:rsidR="0021031D" w:rsidRDefault="006F00B6" w:rsidP="00983F68">
      <w:pPr>
        <w:spacing w:line="480" w:lineRule="auto"/>
      </w:pPr>
      <w:r>
        <w:rPr>
          <w:noProof/>
        </w:rPr>
        <w:lastRenderedPageBreak/>
        <w:drawing>
          <wp:inline distT="0" distB="0" distL="0" distR="0">
            <wp:extent cx="5727700" cy="6517005"/>
            <wp:effectExtent l="0" t="0" r="6350" b="0"/>
            <wp:docPr id="3" name="Picture 3" descr="E:\Projects\VU\OPERAs\SP2\priocomp\reports\figures\figure05\10_figure_05_costs_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5\10_figure_05_costs_combin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6517005"/>
                    </a:xfrm>
                    <a:prstGeom prst="rect">
                      <a:avLst/>
                    </a:prstGeom>
                    <a:noFill/>
                    <a:ln>
                      <a:noFill/>
                    </a:ln>
                  </pic:spPr>
                </pic:pic>
              </a:graphicData>
            </a:graphic>
          </wp:inline>
        </w:drawing>
      </w:r>
    </w:p>
    <w:p w:rsidR="006F00B6" w:rsidRDefault="006F00B6" w:rsidP="00983F68">
      <w:pPr>
        <w:spacing w:line="480" w:lineRule="auto"/>
      </w:pPr>
      <w:r>
        <w:rPr>
          <w:noProof/>
        </w:rPr>
        <w:lastRenderedPageBreak/>
        <w:drawing>
          <wp:inline distT="0" distB="0" distL="0" distR="0">
            <wp:extent cx="5486400" cy="8229600"/>
            <wp:effectExtent l="0" t="0" r="0" b="0"/>
            <wp:docPr id="4" name="Picture 4" descr="E:\Projects\VU\OPERAs\SP2\priocomp\reports\figures\figure06\03_figure_06_costs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6\03_figure_06_costs_method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rsidR="006F00B6" w:rsidRDefault="006F00B6" w:rsidP="00983F68">
      <w:pPr>
        <w:spacing w:line="480" w:lineRule="auto"/>
      </w:pPr>
      <w:r>
        <w:rPr>
          <w:noProof/>
        </w:rPr>
        <w:lastRenderedPageBreak/>
        <w:drawing>
          <wp:inline distT="0" distB="0" distL="0" distR="0">
            <wp:extent cx="5486400" cy="5486400"/>
            <wp:effectExtent l="0" t="0" r="0" b="0"/>
            <wp:docPr id="5" name="Picture 5" descr="E:\Projects\VU\OPERAs\SP2\priocomp\reports\figures\figure06\04_figure_06_just_c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6\04_figure_06_just_cos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333E1F" w:rsidRDefault="00333E1F" w:rsidP="00333E1F">
      <w:pPr>
        <w:pStyle w:val="Heading2"/>
      </w:pPr>
      <w:r>
        <w:t>1.3 Discussion</w:t>
      </w:r>
    </w:p>
    <w:p w:rsidR="00333E1F" w:rsidRDefault="00333E1F" w:rsidP="00333E1F"/>
    <w:p w:rsidR="00333E1F" w:rsidRDefault="00333E1F" w:rsidP="00333E1F">
      <w:pPr>
        <w:pStyle w:val="Heading1"/>
      </w:pPr>
      <w:r>
        <w:t>2. References</w:t>
      </w:r>
    </w:p>
    <w:p w:rsidR="00F21DD0" w:rsidRPr="00F21DD0" w:rsidRDefault="00C1732B" w:rsidP="00F21DD0">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00F21DD0" w:rsidRPr="00F21DD0">
        <w:rPr>
          <w:noProof/>
          <w:szCs w:val="24"/>
        </w:rPr>
        <w:t>Arponen A, Cabeza M, Eklund J, et al (2010) Costs of integrating economics and conservation planning. Conserv Biol 24:1198–204. doi: 10.1111/j.1523-1739.2010.01539.x</w:t>
      </w:r>
    </w:p>
    <w:p w:rsidR="00F21DD0" w:rsidRPr="00F21DD0" w:rsidRDefault="00F21DD0" w:rsidP="00F21DD0">
      <w:pPr>
        <w:widowControl w:val="0"/>
        <w:autoSpaceDE w:val="0"/>
        <w:autoSpaceDN w:val="0"/>
        <w:adjustRightInd w:val="0"/>
        <w:ind w:left="480" w:hanging="480"/>
        <w:rPr>
          <w:noProof/>
          <w:szCs w:val="24"/>
        </w:rPr>
      </w:pPr>
      <w:r w:rsidRPr="00F21DD0">
        <w:rPr>
          <w:noProof/>
          <w:szCs w:val="24"/>
        </w:rPr>
        <w:t>Evans MC, Tulloch AIT, Law EA, et al (2015) Clear consideration of costs, condition and conservation benefits yields better planning outcomes. Biol Conserv 191:716–727. doi: 10.1016/j.biocon.2015.08.023</w:t>
      </w:r>
    </w:p>
    <w:p w:rsidR="00F21DD0" w:rsidRPr="00F21DD0" w:rsidRDefault="00F21DD0" w:rsidP="00F21DD0">
      <w:pPr>
        <w:widowControl w:val="0"/>
        <w:autoSpaceDE w:val="0"/>
        <w:autoSpaceDN w:val="0"/>
        <w:adjustRightInd w:val="0"/>
        <w:ind w:left="480" w:hanging="480"/>
        <w:rPr>
          <w:noProof/>
        </w:rPr>
      </w:pPr>
      <w:r w:rsidRPr="00F21DD0">
        <w:rPr>
          <w:noProof/>
          <w:szCs w:val="24"/>
        </w:rPr>
        <w:t>Kukkala AS, Moilanen A (2016) Ecosystem services and connectivity in spatial conservation prioritization. Landsc Ecol. doi: 10.1007/s10980-016-0446-y</w:t>
      </w:r>
    </w:p>
    <w:p w:rsidR="00333E1F" w:rsidRPr="00333E1F" w:rsidRDefault="00C1732B" w:rsidP="00333E1F">
      <w:r>
        <w:fldChar w:fldCharType="end"/>
      </w:r>
    </w:p>
    <w:sectPr w:rsidR="00333E1F" w:rsidRPr="00333E1F" w:rsidSect="00174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657"/>
    <w:rsid w:val="00113C38"/>
    <w:rsid w:val="00117F17"/>
    <w:rsid w:val="00137E6F"/>
    <w:rsid w:val="0014226B"/>
    <w:rsid w:val="001745DB"/>
    <w:rsid w:val="00192243"/>
    <w:rsid w:val="001A2657"/>
    <w:rsid w:val="0021031D"/>
    <w:rsid w:val="00333E1F"/>
    <w:rsid w:val="00336D2C"/>
    <w:rsid w:val="003A43FB"/>
    <w:rsid w:val="00434ED9"/>
    <w:rsid w:val="004D4C9A"/>
    <w:rsid w:val="00525CD5"/>
    <w:rsid w:val="00552A8B"/>
    <w:rsid w:val="005B70D9"/>
    <w:rsid w:val="005F3121"/>
    <w:rsid w:val="00631180"/>
    <w:rsid w:val="006C6E0E"/>
    <w:rsid w:val="006F00B6"/>
    <w:rsid w:val="0070510D"/>
    <w:rsid w:val="00734A17"/>
    <w:rsid w:val="00895B09"/>
    <w:rsid w:val="00983F68"/>
    <w:rsid w:val="00A261D2"/>
    <w:rsid w:val="00A62A51"/>
    <w:rsid w:val="00A844AA"/>
    <w:rsid w:val="00AA5C65"/>
    <w:rsid w:val="00AA7765"/>
    <w:rsid w:val="00B7639F"/>
    <w:rsid w:val="00BC4646"/>
    <w:rsid w:val="00BD36C1"/>
    <w:rsid w:val="00C1732B"/>
    <w:rsid w:val="00C3638F"/>
    <w:rsid w:val="00C4171E"/>
    <w:rsid w:val="00D04BDB"/>
    <w:rsid w:val="00D31965"/>
    <w:rsid w:val="00D809BD"/>
    <w:rsid w:val="00DF37D8"/>
    <w:rsid w:val="00E25330"/>
    <w:rsid w:val="00F21DD0"/>
    <w:rsid w:val="00F90ADB"/>
  </w:rsids>
  <m:mathPr>
    <m:mathFont m:val="Cambria Math"/>
    <m:brkBin m:val="before"/>
    <m:brkBinSub m:val="--"/>
    <m:smallFrac m:val="0"/>
    <m:dispDef/>
    <m:lMargin m:val="0"/>
    <m:rMargin m:val="0"/>
    <m:defJc m:val="centerGroup"/>
    <m:wrapIndent m:val="1440"/>
    <m:intLim m:val="subSup"/>
    <m:naryLim m:val="undOvr"/>
  </m:mathPr>
  <w:themeFontLang w:val="fi-FI"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40313"/>
  <w15:chartTrackingRefBased/>
  <w15:docId w15:val="{D4CFBAF1-526F-488F-9B59-271EAEC7D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3121"/>
    <w:pPr>
      <w:suppressAutoHyphens/>
      <w:spacing w:after="0" w:line="360" w:lineRule="auto"/>
      <w:textAlignment w:val="baseline"/>
    </w:pPr>
    <w:rPr>
      <w:rFonts w:ascii="Calibri" w:eastAsia="Calibri" w:hAnsi="Calibri"/>
      <w:kern w:val="1"/>
    </w:rPr>
  </w:style>
  <w:style w:type="paragraph" w:styleId="Heading1">
    <w:name w:val="heading 1"/>
    <w:basedOn w:val="Normal"/>
    <w:next w:val="Normal"/>
    <w:link w:val="Heading1Char"/>
    <w:uiPriority w:val="9"/>
    <w:qFormat/>
    <w:rsid w:val="00AA5C65"/>
    <w:pPr>
      <w:keepNext/>
      <w:keepLines/>
      <w:spacing w:before="240"/>
      <w:outlineLvl w:val="0"/>
    </w:pPr>
    <w:rPr>
      <w:rFonts w:asciiTheme="minorHAnsi" w:eastAsiaTheme="majorEastAsia" w:hAnsiTheme="minorHAnsi" w:cstheme="majorBidi"/>
      <w:b/>
    </w:rPr>
  </w:style>
  <w:style w:type="paragraph" w:styleId="Heading2">
    <w:name w:val="heading 2"/>
    <w:basedOn w:val="Normal"/>
    <w:next w:val="Normal"/>
    <w:link w:val="Heading2Char"/>
    <w:uiPriority w:val="9"/>
    <w:unhideWhenUsed/>
    <w:qFormat/>
    <w:rsid w:val="00AA5C65"/>
    <w:pPr>
      <w:keepNext/>
      <w:keepLines/>
      <w:spacing w:before="40"/>
      <w:outlineLvl w:val="1"/>
    </w:pPr>
    <w:rPr>
      <w:rFonts w:asciiTheme="minorHAnsi" w:eastAsiaTheme="majorEastAsia" w:hAnsiTheme="min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52A8B"/>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character" w:customStyle="1" w:styleId="HeaderChar">
    <w:name w:val="Header Char"/>
    <w:basedOn w:val="DefaultParagraphFont"/>
    <w:link w:val="Header"/>
    <w:rsid w:val="00552A8B"/>
    <w:rPr>
      <w:rFonts w:ascii="Calibri" w:eastAsia="Droid Sans Fallback" w:hAnsi="Calibri" w:cs="Mangal"/>
      <w:color w:val="00000A"/>
      <w:kern w:val="1"/>
      <w:sz w:val="24"/>
      <w:szCs w:val="21"/>
      <w:lang w:eastAsia="zh-CN" w:bidi="hi-IN"/>
    </w:rPr>
  </w:style>
  <w:style w:type="paragraph" w:styleId="ListParagraph">
    <w:name w:val="List Paragraph"/>
    <w:basedOn w:val="Normal"/>
    <w:uiPriority w:val="34"/>
    <w:qFormat/>
    <w:rsid w:val="003A43FB"/>
    <w:pPr>
      <w:ind w:left="720"/>
      <w:contextualSpacing/>
    </w:pPr>
  </w:style>
  <w:style w:type="character" w:customStyle="1" w:styleId="Heading1Char">
    <w:name w:val="Heading 1 Char"/>
    <w:basedOn w:val="DefaultParagraphFont"/>
    <w:link w:val="Heading1"/>
    <w:uiPriority w:val="9"/>
    <w:rsid w:val="00AA5C65"/>
    <w:rPr>
      <w:rFonts w:eastAsiaTheme="majorEastAsia" w:hAnsiTheme="minorHAnsi" w:cstheme="majorBidi"/>
      <w:b/>
      <w:kern w:val="1"/>
    </w:rPr>
  </w:style>
  <w:style w:type="character" w:customStyle="1" w:styleId="Heading2Char">
    <w:name w:val="Heading 2 Char"/>
    <w:basedOn w:val="DefaultParagraphFont"/>
    <w:link w:val="Heading2"/>
    <w:uiPriority w:val="9"/>
    <w:rsid w:val="00AA5C65"/>
    <w:rPr>
      <w:rFonts w:eastAsiaTheme="majorEastAsia" w:hAnsiTheme="minorHAnsi" w:cstheme="majorBidi"/>
      <w:b/>
      <w:kern w:val="1"/>
    </w:rPr>
  </w:style>
  <w:style w:type="paragraph" w:styleId="NoSpacing">
    <w:name w:val="No Spacing"/>
    <w:uiPriority w:val="1"/>
    <w:qFormat/>
    <w:rsid w:val="00333E1F"/>
    <w:pPr>
      <w:suppressAutoHyphens/>
      <w:spacing w:after="0" w:line="240" w:lineRule="auto"/>
      <w:textAlignment w:val="baseline"/>
    </w:pPr>
    <w:rPr>
      <w:rFonts w:ascii="Calibri" w:eastAsia="Calibri" w:hAnsi="Calibri"/>
      <w:ker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A9775-E961-4E66-B99C-9890BB548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TotalTime>
  <Pages>7</Pages>
  <Words>1497</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Joona Lehtomäki</dc:creator>
  <cp:keywords/>
  <dc:description/>
  <cp:lastModifiedBy>Joona Lehtomäki</cp:lastModifiedBy>
  <cp:revision>23</cp:revision>
  <dcterms:created xsi:type="dcterms:W3CDTF">2017-06-08T11:27:00Z</dcterms:created>
  <dcterms:modified xsi:type="dcterms:W3CDTF">2017-06-29T12:54:00Z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