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8CF663B" w14:textId="0F504A0C" w:rsidR="00C62B39" w:rsidRPr="00440F65" w:rsidRDefault="00C62B39" w:rsidP="00065B55">
      <w:pPr>
        <w:spacing w:line="480" w:lineRule="auto"/>
      </w:pPr>
      <w:r w:rsidRPr="00440F65">
        <w:rPr>
          <w:b/>
        </w:rPr>
        <w:t>Comparing spatial prioritization methods for biodiversity conservation and ecosystem service supply in Europe</w:t>
      </w:r>
      <w:r w:rsidR="005462B0">
        <w:rPr>
          <w:b/>
        </w:rPr>
        <w:t xml:space="preserve"> – Electronic Supplementary Material</w:t>
      </w:r>
    </w:p>
    <w:p w14:paraId="2791C412" w14:textId="77777777" w:rsidR="00C62B39" w:rsidRPr="00AA2CE6" w:rsidRDefault="00C62B39" w:rsidP="00065B55">
      <w:pPr>
        <w:spacing w:line="480" w:lineRule="auto"/>
        <w:rPr>
          <w:lang w:val="fi-FI"/>
        </w:rPr>
      </w:pPr>
      <w:r w:rsidRPr="00AA2CE6">
        <w:rPr>
          <w:b/>
          <w:lang w:val="fi-FI"/>
        </w:rPr>
        <w:t>Joona Lehtomäki</w:t>
      </w:r>
      <w:r w:rsidRPr="00AA2CE6">
        <w:rPr>
          <w:b/>
          <w:vertAlign w:val="superscript"/>
          <w:lang w:val="fi-FI"/>
        </w:rPr>
        <w:t>1*</w:t>
      </w:r>
      <w:r w:rsidRPr="00AA2CE6">
        <w:rPr>
          <w:lang w:val="fi-FI"/>
        </w:rPr>
        <w:t xml:space="preserve">, </w:t>
      </w:r>
      <w:r w:rsidRPr="00AA2CE6">
        <w:rPr>
          <w:b/>
          <w:lang w:val="fi-FI"/>
        </w:rPr>
        <w:t>Luigi Maiorano</w:t>
      </w:r>
      <w:r w:rsidRPr="00AA2CE6">
        <w:rPr>
          <w:b/>
          <w:vertAlign w:val="superscript"/>
          <w:lang w:val="fi-FI"/>
        </w:rPr>
        <w:t>2</w:t>
      </w:r>
      <w:r w:rsidRPr="00AA2CE6">
        <w:rPr>
          <w:lang w:val="fi-FI"/>
        </w:rPr>
        <w:t xml:space="preserve"> and </w:t>
      </w:r>
      <w:r w:rsidRPr="00AA2CE6">
        <w:rPr>
          <w:b/>
          <w:lang w:val="fi-FI"/>
        </w:rPr>
        <w:t>Peter verburg</w:t>
      </w:r>
      <w:r w:rsidRPr="00AA2CE6">
        <w:rPr>
          <w:b/>
          <w:vertAlign w:val="superscript"/>
          <w:lang w:val="fi-FI"/>
        </w:rPr>
        <w:t>1</w:t>
      </w:r>
    </w:p>
    <w:p w14:paraId="1E1BA9D4" w14:textId="77777777" w:rsidR="00C62B39" w:rsidRPr="00AA2CE6" w:rsidRDefault="00C62B39" w:rsidP="00065B55">
      <w:pPr>
        <w:spacing w:line="480" w:lineRule="auto"/>
        <w:rPr>
          <w:lang w:val="fi-FI"/>
        </w:rPr>
      </w:pPr>
    </w:p>
    <w:p w14:paraId="43E6ED8C" w14:textId="3C7B7196" w:rsidR="00C62B39" w:rsidRPr="00894000" w:rsidRDefault="00C563DD" w:rsidP="00065B55">
      <w:pPr>
        <w:pStyle w:val="Heading1"/>
        <w:spacing w:line="480" w:lineRule="auto"/>
      </w:pPr>
      <w:r w:rsidRPr="00894000">
        <w:t>Including a proxy of costs into the prioritization</w:t>
      </w:r>
    </w:p>
    <w:p w14:paraId="66C15A70" w14:textId="2AAC2FE7" w:rsidR="00894000" w:rsidRDefault="00894000" w:rsidP="00065B55">
      <w:pPr>
        <w:spacing w:line="480" w:lineRule="auto"/>
      </w:pPr>
    </w:p>
    <w:p w14:paraId="2AB676D4" w14:textId="4F5D5E9F" w:rsidR="00894000" w:rsidRDefault="00894000" w:rsidP="00065B55">
      <w:pPr>
        <w:pStyle w:val="Heading2"/>
      </w:pPr>
      <w:r>
        <w:t>Cost data</w:t>
      </w:r>
    </w:p>
    <w:p w14:paraId="4C03DDF1" w14:textId="43945BF1" w:rsidR="00894000" w:rsidRDefault="00894000" w:rsidP="00065B55">
      <w:pPr>
        <w:spacing w:line="480" w:lineRule="auto"/>
      </w:pPr>
    </w:p>
    <w:p w14:paraId="2D981693" w14:textId="2F4AF134" w:rsidR="00921FA4" w:rsidRDefault="00921FA4" w:rsidP="00065B55">
      <w:pPr>
        <w:spacing w:line="480" w:lineRule="auto"/>
      </w:pPr>
      <w:r>
        <w:rPr>
          <w:color w:val="000000"/>
        </w:rPr>
        <w:t>To approximate the cost of the prioritization, we created an index based on spatially explicit population density data acquired from the European Environment Agency (</w:t>
      </w:r>
      <w:r w:rsidRPr="004F5A96">
        <w:rPr>
          <w:b/>
          <w:color w:val="000000"/>
        </w:rPr>
        <w:t>REF</w:t>
      </w:r>
      <w:r>
        <w:rPr>
          <w:color w:val="000000"/>
        </w:rPr>
        <w:t xml:space="preserve">). We first translated the population density data to the same geospatial extent and CRS as the BD and ES features, log-transformed the data, and finally smoothed the resulting raster using a single-pass median filter as implemented in SciPy </w:t>
      </w:r>
      <w:r>
        <w:rPr>
          <w:color w:val="000000"/>
        </w:rPr>
        <w:fldChar w:fldCharType="begin" w:fldLock="1"/>
      </w:r>
      <w:r w:rsidR="00730FCE">
        <w:rPr>
          <w:color w:val="000000"/>
        </w:rPr>
        <w:instrText>ADDIN CSL_CITATION { "citationItems" : [ { "id" : "ITEM-1", "itemData" : {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"id" : "ITEM-1", "issued" : { "date-parts" : [ [ "2001" ] ] }, "note" : "From Duplicate 1 (SciPy: Open source scientific tools for Python - Jones, Eric; Oliphant, Travis; Peterson, Pearu)\n\n[Online; accessed 2016-10-31]", "title" : "SciPy: Open source scientific tools for Python", "type" : "article" }, "prefix" : "version 0.18.1, ", "uris" : [ "http://www.mendeley.com/documents/?uuid=29eedc07-eaf1-43ed-88ed-a84815ef147e" ] } ], "mendeley" : { "formattedCitation" : "(version 0.18.1, Jones et al. 2001)", "plainTextFormattedCitation" : "(version 0.18.1, Jones et al. 2001)", "previouslyFormattedCitation" : "(version 0.18.1, Jones et al. 2001)" }, "properties" : { "noteIndex" : 0 }, "schema" : "https://github.com/citation-style-language/schema/raw/master/csl-citation.json" }</w:instrText>
      </w:r>
      <w:r>
        <w:rPr>
          <w:color w:val="000000"/>
        </w:rPr>
        <w:fldChar w:fldCharType="separate"/>
      </w:r>
      <w:r w:rsidRPr="004E3A4E">
        <w:rPr>
          <w:noProof/>
          <w:color w:val="000000"/>
        </w:rPr>
        <w:t>(version 0.18.1, Jones et al. 2001)</w:t>
      </w:r>
      <w:r>
        <w:rPr>
          <w:color w:val="000000"/>
        </w:rPr>
        <w:fldChar w:fldCharType="end"/>
      </w:r>
      <w:r>
        <w:rPr>
          <w:color w:val="000000"/>
        </w:rPr>
        <w:t xml:space="preserve"> (</w:t>
      </w:r>
      <w:r w:rsidRPr="00917CA4">
        <w:rPr>
          <w:b/>
          <w:color w:val="000000"/>
        </w:rPr>
        <w:t>Fig. S2</w:t>
      </w:r>
      <w:r>
        <w:rPr>
          <w:color w:val="000000"/>
        </w:rPr>
        <w:t>).</w:t>
      </w:r>
    </w:p>
    <w:p w14:paraId="152A02E2" w14:textId="77777777" w:rsidR="00921FA4" w:rsidRDefault="00921FA4" w:rsidP="00065B55">
      <w:pPr>
        <w:spacing w:line="480" w:lineRule="auto"/>
      </w:pPr>
    </w:p>
    <w:p w14:paraId="6C48915E" w14:textId="623F122E" w:rsidR="00894000" w:rsidRDefault="00894000" w:rsidP="00065B55">
      <w:pPr>
        <w:pStyle w:val="Heading2"/>
      </w:pPr>
      <w:r>
        <w:t>Implementing costs in the different prioritization methods</w:t>
      </w:r>
    </w:p>
    <w:p w14:paraId="28A9634D" w14:textId="488E5E31" w:rsidR="008800B0" w:rsidRDefault="008800B0" w:rsidP="00065B55">
      <w:pPr>
        <w:spacing w:line="480" w:lineRule="auto"/>
      </w:pPr>
    </w:p>
    <w:p w14:paraId="18C0467C" w14:textId="50A38F23" w:rsidR="00730FCE" w:rsidRDefault="00730FCE" w:rsidP="00065B55">
      <w:pPr>
        <w:spacing w:line="480" w:lineRule="auto"/>
      </w:pPr>
      <w:r>
        <w:t>In the following sections, we describe how costs were technically included in each of the three prioritization methods.</w:t>
      </w:r>
    </w:p>
    <w:p w14:paraId="7120407F" w14:textId="77777777" w:rsidR="00730FCE" w:rsidRDefault="00730FCE" w:rsidP="00065B55">
      <w:pPr>
        <w:spacing w:line="480" w:lineRule="auto"/>
      </w:pPr>
    </w:p>
    <w:p w14:paraId="59A1DB4A" w14:textId="501EC9EF" w:rsidR="00015EF9" w:rsidRDefault="00015EF9" w:rsidP="00065B55">
      <w:pPr>
        <w:pStyle w:val="Heading3"/>
        <w:spacing w:line="480" w:lineRule="auto"/>
      </w:pPr>
      <w:r>
        <w:t>RWR</w:t>
      </w:r>
    </w:p>
    <w:p w14:paraId="4835BAFA" w14:textId="26B67F63" w:rsidR="00015EF9" w:rsidRDefault="00015EF9" w:rsidP="00065B55">
      <w:pPr>
        <w:spacing w:line="480" w:lineRule="auto"/>
      </w:pPr>
    </w:p>
    <w:p w14:paraId="4241D20E" w14:textId="0F7DCC83" w:rsidR="00015EF9" w:rsidRDefault="00015EF9" w:rsidP="00065B55">
      <w:pPr>
        <w:spacing w:line="480" w:lineRule="auto"/>
      </w:pPr>
      <w:r>
        <w:rPr>
          <w:color w:val="000000"/>
        </w:rPr>
        <w:t xml:space="preserve">To our knowledge, there is no published conceptualization and/or implementation of RWR which would also account for costs as part of prioritization. Here, we use a simple cost-derived penalty to adjust RWR score. </w:t>
      </w:r>
      <w:r w:rsidR="00C60259">
        <w:rPr>
          <w:color w:val="000000"/>
        </w:rPr>
        <w:t>We processed all the prioritization features a</w:t>
      </w:r>
      <w:r w:rsidR="00164E37">
        <w:rPr>
          <w:color w:val="000000"/>
        </w:rPr>
        <w:t xml:space="preserve">s </w:t>
      </w:r>
      <w:r w:rsidR="00C60259">
        <w:rPr>
          <w:color w:val="000000"/>
        </w:rPr>
        <w:t>in</w:t>
      </w:r>
      <w:r w:rsidR="00164E37">
        <w:rPr>
          <w:color w:val="000000"/>
        </w:rPr>
        <w:t xml:space="preserve"> the non-cost ve</w:t>
      </w:r>
      <w:r w:rsidR="00C60259">
        <w:rPr>
          <w:color w:val="000000"/>
        </w:rPr>
        <w:t xml:space="preserve">rsion of our RWR implementation up until the </w:t>
      </w:r>
      <w:r w:rsidR="00C60259">
        <w:rPr>
          <w:color w:val="000000"/>
        </w:rPr>
        <w:lastRenderedPageBreak/>
        <w:t xml:space="preserve">ranking and normalization phase. Before this phase, we </w:t>
      </w:r>
      <w:r>
        <w:rPr>
          <w:color w:val="000000"/>
        </w:rPr>
        <w:t>performed occurrence level normalization (see equation 3</w:t>
      </w:r>
      <w:r w:rsidR="00164E37">
        <w:rPr>
          <w:color w:val="000000"/>
        </w:rPr>
        <w:t xml:space="preserve"> in the main text</w:t>
      </w:r>
      <w:r>
        <w:rPr>
          <w:color w:val="000000"/>
        </w:rPr>
        <w:t xml:space="preserve">) </w:t>
      </w:r>
      <w:r w:rsidR="00C60259">
        <w:rPr>
          <w:color w:val="000000"/>
        </w:rPr>
        <w:t>also on</w:t>
      </w:r>
      <w:r>
        <w:rPr>
          <w:color w:val="000000"/>
        </w:rPr>
        <w:t xml:space="preserve"> the cost index feature, after which we subtracted it from the RWR score feature. After penalizing the RWR score feature with the cost index, the resulting score is ranked and rescaled into range [0, 1] to produce the final priority rank map.</w:t>
      </w:r>
    </w:p>
    <w:p w14:paraId="08844A09" w14:textId="77777777" w:rsidR="00CB04D9" w:rsidRDefault="00CB04D9" w:rsidP="00065B55">
      <w:pPr>
        <w:spacing w:line="480" w:lineRule="auto"/>
      </w:pPr>
    </w:p>
    <w:p w14:paraId="1207B5CB" w14:textId="1D0C30D4" w:rsidR="00CB04D9" w:rsidRDefault="00CB04D9" w:rsidP="00065B55">
      <w:pPr>
        <w:spacing w:line="480" w:lineRule="auto"/>
      </w:pPr>
      <w:r>
        <w:t>[ADD MATHEMATICAL NOTATION</w:t>
      </w:r>
      <w:r>
        <w:t>?</w:t>
      </w:r>
      <w:r>
        <w:t>]</w:t>
      </w:r>
    </w:p>
    <w:p w14:paraId="5AB8AAC4" w14:textId="2290D3BE" w:rsidR="00015EF9" w:rsidRDefault="00015EF9" w:rsidP="00065B55">
      <w:pPr>
        <w:spacing w:line="480" w:lineRule="auto"/>
      </w:pPr>
    </w:p>
    <w:p w14:paraId="2917D7EC" w14:textId="77777777" w:rsidR="00CB04D9" w:rsidRDefault="00CB04D9" w:rsidP="00065B55">
      <w:pPr>
        <w:spacing w:line="480" w:lineRule="auto"/>
      </w:pPr>
    </w:p>
    <w:p w14:paraId="62A0357D" w14:textId="3DA1ED7F" w:rsidR="00015EF9" w:rsidRDefault="00015EF9" w:rsidP="00065B55">
      <w:pPr>
        <w:pStyle w:val="Heading3"/>
        <w:spacing w:line="480" w:lineRule="auto"/>
      </w:pPr>
      <w:r>
        <w:t>ZON</w:t>
      </w:r>
    </w:p>
    <w:p w14:paraId="0820FA74" w14:textId="66256C75" w:rsidR="00015EF9" w:rsidRDefault="00015EF9" w:rsidP="00065B55">
      <w:pPr>
        <w:spacing w:line="480" w:lineRule="auto"/>
      </w:pPr>
    </w:p>
    <w:p w14:paraId="44BEA7EF" w14:textId="5E774C60" w:rsidR="0049431D" w:rsidRDefault="0049431D" w:rsidP="00065B55">
      <w:pPr>
        <w:spacing w:line="480" w:lineRule="auto"/>
      </w:pPr>
      <w:r>
        <w:rPr>
          <w:color w:val="000000"/>
        </w:rPr>
        <w:t xml:space="preserve">Zonation is capable of accounting for costs in </w:t>
      </w:r>
      <w:r>
        <w:rPr>
          <w:color w:val="000000"/>
        </w:rPr>
        <w:t>two</w:t>
      </w:r>
      <w:r>
        <w:rPr>
          <w:color w:val="000000"/>
        </w:rPr>
        <w:t xml:space="preserve"> ways</w:t>
      </w:r>
      <w:r>
        <w:rPr>
          <w:color w:val="000000"/>
        </w:rPr>
        <w:t xml:space="preserve">: as an actual cost layer and as a negatively weighted prioritization features. Former has more drastic effect on the prioritization outcome </w:t>
      </w:r>
      <w:r>
        <w:rPr>
          <w:color w:val="000000"/>
        </w:rPr>
        <w:fldChar w:fldCharType="begin" w:fldLock="1"/>
      </w:r>
      <w:r>
        <w:rPr>
          <w:color w:val="000000"/>
        </w:rPr>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"uris" : [ "http://www.mendeley.com/documents/?uuid=029b32f4-1603-430d-8712-b4cd2d591ca8" ] } ], "mendeley" : { "formattedCitation" : "(Moilanen et al. 2014)", "plainTextFormattedCitation" : "(Moilanen et al. 2014)" }, "properties" : { "noteIndex" : 0 }, "schema" : "https://github.com/citation-style-language/schema/raw/master/csl-citation.json" }</w:instrText>
      </w:r>
      <w:r>
        <w:rPr>
          <w:color w:val="000000"/>
        </w:rPr>
        <w:fldChar w:fldCharType="separate"/>
      </w:r>
      <w:r w:rsidRPr="0049431D">
        <w:rPr>
          <w:noProof/>
          <w:color w:val="000000"/>
        </w:rPr>
        <w:t>(Moilanen et al. 2014)</w:t>
      </w:r>
      <w:r>
        <w:rPr>
          <w:color w:val="000000"/>
        </w:rPr>
        <w:fldChar w:fldCharType="end"/>
      </w:r>
      <w:r>
        <w:rPr>
          <w:color w:val="000000"/>
        </w:rPr>
        <w:t>, and to retain as much similarity to RWR and ILP, we chose to use the latter option to represent costs in Zonation.</w:t>
      </w:r>
      <w:r>
        <w:rPr>
          <w:color w:val="000000"/>
        </w:rPr>
        <w:t xml:space="preserve"> </w:t>
      </w:r>
      <w:r>
        <w:rPr>
          <w:color w:val="000000"/>
        </w:rPr>
        <w:t>T</w:t>
      </w:r>
      <w:r w:rsidR="008A50FD">
        <w:rPr>
          <w:color w:val="000000"/>
        </w:rPr>
        <w:t>h</w:t>
      </w:r>
      <w:r>
        <w:rPr>
          <w:color w:val="000000"/>
        </w:rPr>
        <w:t>us</w:t>
      </w:r>
      <w:r>
        <w:rPr>
          <w:color w:val="000000"/>
        </w:rPr>
        <w:t>, the cost index feature was entered into the prioritization with negative weight equal to the aggregate weight of each of the feature groups (i.e. -1).</w:t>
      </w:r>
    </w:p>
    <w:p w14:paraId="53A7EC7E" w14:textId="77777777" w:rsidR="0049431D" w:rsidRDefault="0049431D" w:rsidP="00065B55">
      <w:pPr>
        <w:spacing w:line="480" w:lineRule="auto"/>
      </w:pPr>
    </w:p>
    <w:p w14:paraId="64A239BA" w14:textId="54712C5D" w:rsidR="00015EF9" w:rsidRDefault="00015EF9" w:rsidP="00065B55">
      <w:pPr>
        <w:pStyle w:val="Heading3"/>
        <w:spacing w:line="480" w:lineRule="auto"/>
      </w:pPr>
      <w:r>
        <w:t>ILP</w:t>
      </w:r>
    </w:p>
    <w:p w14:paraId="3E716496" w14:textId="5FA0F1A2" w:rsidR="00015EF9" w:rsidRDefault="00015EF9" w:rsidP="00065B55">
      <w:pPr>
        <w:spacing w:line="480" w:lineRule="auto"/>
      </w:pPr>
    </w:p>
    <w:p w14:paraId="3C62BB7A" w14:textId="1A7BAA98" w:rsidR="00124FA4" w:rsidRDefault="00A97DE4" w:rsidP="00065B55">
      <w:pPr>
        <w:spacing w:line="480" w:lineRule="auto"/>
      </w:pPr>
      <w:r>
        <w:t>W</w:t>
      </w:r>
      <w:r>
        <w:t xml:space="preserve">e </w:t>
      </w:r>
      <w:r>
        <w:t xml:space="preserve">extended the non-costs </w:t>
      </w:r>
      <w:r>
        <w:t xml:space="preserve">formulated </w:t>
      </w:r>
      <w:r>
        <w:t xml:space="preserve">of </w:t>
      </w:r>
      <w:r>
        <w:t xml:space="preserve">the optimization problem as </w:t>
      </w:r>
      <w:r>
        <w:t xml:space="preserve">a </w:t>
      </w:r>
      <w:r>
        <w:t xml:space="preserve">multi-objective problem in which </w:t>
      </w:r>
      <w:r>
        <w:t xml:space="preserve">we set two objectives: maximize the representation levels of all (occurrence normalized features) while minimizing the cost with the constraint of </w:t>
      </w:r>
      <w:r w:rsidR="00796EC3" w:rsidRPr="00440F65">
        <w:t xml:space="preserve">keeping the number of selected cells below a given </w:t>
      </w:r>
      <w:r w:rsidR="00A41DB6">
        <w:t xml:space="preserve">(area target) </w:t>
      </w:r>
      <w:r w:rsidR="00796EC3" w:rsidRPr="00440F65">
        <w:t>threshold</w:t>
      </w:r>
      <w:r w:rsidR="00796EC3">
        <w:t xml:space="preserve">. </w:t>
      </w:r>
    </w:p>
    <w:p w14:paraId="154C5A5E" w14:textId="7DC8AF62" w:rsidR="003C35BF" w:rsidRDefault="003C35BF" w:rsidP="00065B55">
      <w:pPr>
        <w:spacing w:line="480" w:lineRule="auto"/>
      </w:pPr>
    </w:p>
    <w:p w14:paraId="16FD4C06" w14:textId="61918751" w:rsidR="003C35BF" w:rsidRDefault="003C35BF" w:rsidP="00065B55">
      <w:pPr>
        <w:spacing w:line="480" w:lineRule="auto"/>
      </w:pPr>
      <w:r>
        <w:t>[ADD MATHEMATICAL NOTATION]</w:t>
      </w:r>
    </w:p>
    <w:p w14:paraId="06DBC725" w14:textId="77777777" w:rsidR="00124FA4" w:rsidRDefault="00124FA4" w:rsidP="00065B55">
      <w:pPr>
        <w:spacing w:line="480" w:lineRule="auto"/>
      </w:pPr>
    </w:p>
    <w:p w14:paraId="56D2DF49" w14:textId="2F73EFBA" w:rsidR="008800B0" w:rsidRPr="00814C41" w:rsidRDefault="008800B0" w:rsidP="00065B55">
      <w:pPr>
        <w:pStyle w:val="Heading2"/>
      </w:pPr>
      <w:r w:rsidRPr="00814C41">
        <w:t>Results</w:t>
      </w:r>
    </w:p>
    <w:p w14:paraId="6037CBCD" w14:textId="3C804047" w:rsidR="0036323A" w:rsidRDefault="0036323A" w:rsidP="00134698">
      <w:pPr>
        <w:suppressAutoHyphens w:val="0"/>
        <w:spacing w:line="480" w:lineRule="auto"/>
        <w:textAlignment w:val="auto"/>
      </w:pPr>
    </w:p>
    <w:p w14:paraId="1C937BAB" w14:textId="0A6B7424" w:rsidR="007E33DA" w:rsidRDefault="0036323A" w:rsidP="00065B55">
      <w:pPr>
        <w:suppressAutoHyphens w:val="0"/>
        <w:spacing w:line="480" w:lineRule="auto"/>
        <w:jc w:val="center"/>
        <w:textAlignment w:val="auto"/>
        <w:rPr>
          <w:b/>
          <w:iCs/>
        </w:rPr>
      </w:pPr>
      <w:r w:rsidRPr="0036323A">
        <w:rPr>
          <w:b/>
          <w:iCs/>
          <w:noProof/>
        </w:rPr>
        <w:lastRenderedPageBreak/>
        <mc:AlternateContent>
          <mc:Choice Requires="wps">
            <w:drawing>
              <wp:anchor distT="45720" distB="45720" distL="114300" distR="114300" simplePos="0" relativeHeight="251659264" behindDoc="0" locked="0" layoutInCell="1" allowOverlap="1" wp14:anchorId="6CB90603" wp14:editId="035C9554">
                <wp:simplePos x="0" y="0"/>
                <wp:positionH relativeFrom="column">
                  <wp:posOffset>1100758</wp:posOffset>
                </wp:positionH>
                <wp:positionV relativeFrom="paragraph">
                  <wp:posOffset>150688</wp:posOffset>
                </wp:positionV>
                <wp:extent cx="1351721" cy="285750"/>
                <wp:effectExtent l="0" t="0" r="127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721" cy="285750"/>
                        </a:xfrm>
                        <a:prstGeom prst="rect">
                          <a:avLst/>
                        </a:prstGeom>
                        <a:solidFill>
                          <a:srgbClr val="FFFFFF"/>
                        </a:solidFill>
                        <a:ln w="9525">
                          <a:noFill/>
                          <a:miter lim="800000"/>
                          <a:headEnd/>
                          <a:tailEnd/>
                        </a:ln>
                      </wps:spPr>
                      <wps:txbx>
                        <w:txbxContent>
                          <w:p w14:paraId="1B505DB7" w14:textId="0CE7B4ED" w:rsidR="00814C41" w:rsidRPr="0036323A" w:rsidRDefault="00814C41">
                            <w:pPr>
                              <w:rPr>
                                <w:rFonts w:ascii="Arial" w:hAnsi="Arial" w:cs="Arial"/>
                                <w:sz w:val="28"/>
                                <w:szCs w:val="28"/>
                              </w:rPr>
                            </w:pPr>
                            <w:r w:rsidRPr="0036323A">
                              <w:rPr>
                                <w:rFonts w:ascii="Arial" w:hAnsi="Arial" w:cs="Arial"/>
                                <w:sz w:val="28"/>
                                <w:szCs w:val="28"/>
                              </w:rPr>
                              <w:t>Cost index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B90603" id="_x0000_t202" coordsize="21600,21600" o:spt="202" path="m,l,21600r21600,l21600,xe">
                <v:stroke joinstyle="miter"/>
                <v:path gradientshapeok="t" o:connecttype="rect"/>
              </v:shapetype>
              <v:shape id="Text Box 2" o:spid="_x0000_s1026" type="#_x0000_t202" style="position:absolute;left:0;text-align:left;margin-left:86.65pt;margin-top:11.85pt;width:106.45pt;height:2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" stroked="f">
                <v:textbox>
                  <w:txbxContent>
                    <w:p w14:paraId="1B505DB7" w14:textId="0CE7B4ED" w:rsidR="00814C41" w:rsidRPr="0036323A" w:rsidRDefault="00814C41">
                      <w:pPr>
                        <w:rPr>
                          <w:rFonts w:ascii="Arial" w:hAnsi="Arial" w:cs="Arial"/>
                          <w:sz w:val="28"/>
                          <w:szCs w:val="28"/>
                        </w:rPr>
                      </w:pPr>
                      <w:r w:rsidRPr="0036323A">
                        <w:rPr>
                          <w:rFonts w:ascii="Arial" w:hAnsi="Arial" w:cs="Arial"/>
                          <w:sz w:val="28"/>
                          <w:szCs w:val="28"/>
                        </w:rPr>
                        <w:t>Cost index</w:t>
                      </w:r>
                    </w:p>
                  </w:txbxContent>
                </v:textbox>
              </v:shape>
            </w:pict>
          </mc:Fallback>
        </mc:AlternateContent>
      </w:r>
      <w:r>
        <w:rPr>
          <w:b/>
          <w:iCs/>
          <w:noProof/>
        </w:rPr>
        <w:drawing>
          <wp:inline distT="0" distB="0" distL="0" distR="0" wp14:anchorId="74DF2AC5" wp14:editId="65C7A06B">
            <wp:extent cx="4921857" cy="4921857"/>
            <wp:effectExtent l="0" t="0" r="0" b="0"/>
            <wp:docPr id="2" name="Picture 2" descr="E:\Projects\VU\OPERAs\SP2\priocomp\reports\figures\figureS02\01_figure_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VU\OPERAs\SP2\priocomp\reports\figures\figureS02\01_figure_S0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21857" cy="4921857"/>
                    </a:xfrm>
                    <a:prstGeom prst="rect">
                      <a:avLst/>
                    </a:prstGeom>
                    <a:noFill/>
                    <a:ln>
                      <a:noFill/>
                    </a:ln>
                  </pic:spPr>
                </pic:pic>
              </a:graphicData>
            </a:graphic>
          </wp:inline>
        </w:drawing>
      </w:r>
    </w:p>
    <w:p w14:paraId="30A8201D" w14:textId="16CF856A" w:rsidR="001A3C86" w:rsidRPr="00426456" w:rsidRDefault="00134698" w:rsidP="00065B55">
      <w:pPr>
        <w:spacing w:line="480" w:lineRule="auto"/>
        <w:rPr>
          <w:b/>
          <w:color w:val="000000"/>
        </w:rPr>
      </w:pPr>
      <w:r>
        <w:rPr>
          <w:b/>
          <w:color w:val="000000"/>
        </w:rPr>
        <w:t>Figure S1</w:t>
      </w:r>
      <w:r w:rsidR="001A3C86" w:rsidRPr="00426456">
        <w:rPr>
          <w:b/>
          <w:color w:val="000000"/>
        </w:rPr>
        <w:t xml:space="preserve">. </w:t>
      </w:r>
      <w:r w:rsidR="001A3C86" w:rsidRPr="00426456">
        <w:rPr>
          <w:color w:val="000000"/>
        </w:rPr>
        <w:t>The cost index feature used in the prioritization.</w:t>
      </w:r>
      <w:r w:rsidR="001A3C86">
        <w:rPr>
          <w:color w:val="000000"/>
        </w:rPr>
        <w:t xml:space="preserve"> Index is a smoothed and log-transformed version of the population density estimate for Europe.</w:t>
      </w:r>
    </w:p>
    <w:p w14:paraId="575350DC" w14:textId="77777777" w:rsidR="001A3C86" w:rsidRDefault="001A3C86" w:rsidP="00065B55">
      <w:pPr>
        <w:suppressAutoHyphens w:val="0"/>
        <w:spacing w:line="480" w:lineRule="auto"/>
        <w:jc w:val="center"/>
        <w:textAlignment w:val="auto"/>
        <w:rPr>
          <w:b/>
          <w:iCs/>
        </w:rPr>
      </w:pPr>
    </w:p>
    <w:p w14:paraId="3904D21D" w14:textId="77777777" w:rsidR="001D7177" w:rsidRDefault="007E33DA" w:rsidP="00065B55">
      <w:pPr>
        <w:suppressAutoHyphens w:val="0"/>
        <w:spacing w:line="480" w:lineRule="auto"/>
        <w:jc w:val="center"/>
        <w:textAlignment w:val="auto"/>
        <w:rPr>
          <w:iCs/>
        </w:rPr>
      </w:pPr>
      <w:r>
        <w:rPr>
          <w:b/>
          <w:iCs/>
        </w:rPr>
        <w:br w:type="page"/>
      </w:r>
      <w:r w:rsidR="001D7177" w:rsidRPr="001D7177">
        <w:rPr>
          <w:iCs/>
        </w:rPr>
        <w:lastRenderedPageBreak/>
        <w:t>Figure S3.</w:t>
      </w:r>
    </w:p>
    <w:p w14:paraId="12E33258" w14:textId="77777777" w:rsidR="001D7177" w:rsidRDefault="001D7177" w:rsidP="00065B55">
      <w:pPr>
        <w:suppressAutoHyphens w:val="0"/>
        <w:spacing w:line="480" w:lineRule="auto"/>
        <w:jc w:val="center"/>
        <w:textAlignment w:val="auto"/>
        <w:rPr>
          <w:iCs/>
        </w:rPr>
      </w:pPr>
    </w:p>
    <w:p w14:paraId="4E30F7DE" w14:textId="77777777" w:rsidR="001A3C86" w:rsidRDefault="001D7177" w:rsidP="00065B55">
      <w:pPr>
        <w:suppressAutoHyphens w:val="0"/>
        <w:spacing w:line="480" w:lineRule="auto"/>
        <w:jc w:val="center"/>
        <w:textAlignment w:val="auto"/>
        <w:rPr>
          <w:iCs/>
        </w:rPr>
      </w:pPr>
      <w:r>
        <w:rPr>
          <w:iCs/>
          <w:noProof/>
        </w:rPr>
        <w:drawing>
          <wp:inline distT="0" distB="0" distL="0" distR="0" wp14:anchorId="71E35624" wp14:editId="54BF9AB4">
            <wp:extent cx="6324968" cy="5542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VU\OPERAs\SP2\priocomp\reports\figures\figure02\04_figure_02_nocosts.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324968" cy="5542280"/>
                    </a:xfrm>
                    <a:prstGeom prst="rect">
                      <a:avLst/>
                    </a:prstGeom>
                    <a:noFill/>
                    <a:ln>
                      <a:noFill/>
                    </a:ln>
                  </pic:spPr>
                </pic:pic>
              </a:graphicData>
            </a:graphic>
          </wp:inline>
        </w:drawing>
      </w:r>
    </w:p>
    <w:p w14:paraId="4981340C" w14:textId="1AAD03B1" w:rsidR="001A3C86" w:rsidRPr="009B2141" w:rsidRDefault="00134698" w:rsidP="00065B55">
      <w:pPr>
        <w:spacing w:line="480" w:lineRule="auto"/>
      </w:pPr>
      <w:r>
        <w:rPr>
          <w:b/>
          <w:bCs/>
        </w:rPr>
        <w:t>Figure S2</w:t>
      </w:r>
      <w:r w:rsidR="001A3C86" w:rsidRPr="00440F65">
        <w:rPr>
          <w:b/>
          <w:bCs/>
        </w:rPr>
        <w:t xml:space="preserve">. </w:t>
      </w:r>
      <w:r w:rsidR="001A3C86" w:rsidRPr="00440F65">
        <w:t>Priority rank maps (spatial solutions) for the nine analysis variants in the study</w:t>
      </w:r>
      <w:r w:rsidR="001A3C86">
        <w:t xml:space="preserve"> </w:t>
      </w:r>
      <w:r w:rsidR="00AB5359">
        <w:t>including</w:t>
      </w:r>
      <w:r w:rsidR="001A3C86">
        <w:t xml:space="preserve"> the effects of cost</w:t>
      </w:r>
      <w:r w:rsidR="001A3C86" w:rsidRPr="00440F65">
        <w:t>. The maps are grouped by method used (RWR, ZON and ILP) in columns, and by data groups (ALL, ES, BD) in rows. The color scale indicates rank priorities from the lowest 20% (in blue) to the highest 2% (in red).</w:t>
      </w:r>
    </w:p>
    <w:p w14:paraId="27B67C87" w14:textId="5EF73ECC" w:rsidR="001D7177" w:rsidRDefault="001D7177" w:rsidP="00065B55">
      <w:pPr>
        <w:suppressAutoHyphens w:val="0"/>
        <w:spacing w:line="480" w:lineRule="auto"/>
        <w:jc w:val="center"/>
        <w:textAlignment w:val="auto"/>
        <w:rPr>
          <w:iCs/>
        </w:rPr>
      </w:pPr>
      <w:r w:rsidRPr="001D7177">
        <w:rPr>
          <w:iCs/>
        </w:rPr>
        <w:br w:type="page"/>
      </w:r>
    </w:p>
    <w:p w14:paraId="1B03A14B" w14:textId="77777777" w:rsidR="00065B55" w:rsidRDefault="00065B55" w:rsidP="00065B55">
      <w:pPr>
        <w:spacing w:line="480" w:lineRule="auto"/>
        <w:rPr>
          <w:b/>
          <w:bCs/>
          <w:noProof/>
        </w:rPr>
      </w:pPr>
    </w:p>
    <w:p w14:paraId="5692CE2F" w14:textId="3AF3189A" w:rsidR="00065B55" w:rsidRDefault="00065B55" w:rsidP="00065B55">
      <w:pPr>
        <w:spacing w:line="480" w:lineRule="auto"/>
        <w:jc w:val="center"/>
        <w:rPr>
          <w:b/>
          <w:bCs/>
        </w:rPr>
      </w:pPr>
      <w:r>
        <w:rPr>
          <w:b/>
          <w:bCs/>
          <w:noProof/>
        </w:rPr>
        <w:drawing>
          <wp:inline distT="0" distB="0" distL="0" distR="0" wp14:anchorId="5CD812CB" wp14:editId="70612C50">
            <wp:extent cx="4475574" cy="6742707"/>
            <wp:effectExtent l="0" t="0" r="1270" b="1270"/>
            <wp:docPr id="3" name="Picture 3" descr="E:\Projects\VU\OPERAs\SP2\priocomp\reports\figures\figure06\03_figure_06_costs_meth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VU\OPERAs\SP2\priocomp\reports\figures\figure06\03_figure_06_costs_methods.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797" t="7536" r="5217" b="3089"/>
                    <a:stretch/>
                  </pic:blipFill>
                  <pic:spPr bwMode="auto">
                    <a:xfrm>
                      <a:off x="0" y="0"/>
                      <a:ext cx="4476586" cy="6744232"/>
                    </a:xfrm>
                    <a:prstGeom prst="rect">
                      <a:avLst/>
                    </a:prstGeom>
                    <a:noFill/>
                    <a:ln>
                      <a:noFill/>
                    </a:ln>
                    <a:extLst>
                      <a:ext uri="{53640926-AAD7-44D8-BBD7-CCE9431645EC}">
                        <a14:shadowObscured xmlns:a14="http://schemas.microsoft.com/office/drawing/2010/main"/>
                      </a:ext>
                    </a:extLst>
                  </pic:spPr>
                </pic:pic>
              </a:graphicData>
            </a:graphic>
          </wp:inline>
        </w:drawing>
      </w:r>
    </w:p>
    <w:p w14:paraId="19D8FAF1" w14:textId="77777777" w:rsidR="00065B55" w:rsidRDefault="00065B55" w:rsidP="00065B55">
      <w:pPr>
        <w:spacing w:line="480" w:lineRule="auto"/>
        <w:rPr>
          <w:b/>
          <w:bCs/>
        </w:rPr>
      </w:pPr>
    </w:p>
    <w:p w14:paraId="7CBF3B17" w14:textId="78C14F62" w:rsidR="00065B55" w:rsidRPr="00440F65" w:rsidRDefault="00080162" w:rsidP="00065B55">
      <w:pPr>
        <w:spacing w:line="480" w:lineRule="auto"/>
      </w:pPr>
      <w:r>
        <w:rPr>
          <w:b/>
          <w:bCs/>
        </w:rPr>
        <w:t>Figure S3</w:t>
      </w:r>
      <w:r w:rsidR="00065B55" w:rsidRPr="00440F65">
        <w:rPr>
          <w:b/>
          <w:bCs/>
        </w:rPr>
        <w:t>.</w:t>
      </w:r>
      <w:r w:rsidR="00065B55" w:rsidRPr="00440F65">
        <w:t xml:space="preserve"> The performance </w:t>
      </w:r>
      <w:r w:rsidR="00065B55">
        <w:t>of different spatial prioritization methods per feature group</w:t>
      </w:r>
      <w:r w:rsidR="00065B55">
        <w:t xml:space="preserve"> when including costs in the prioritization</w:t>
      </w:r>
      <w:r w:rsidR="00065B55" w:rsidRPr="00440F65">
        <w:t xml:space="preserve">. Solid lines </w:t>
      </w:r>
      <w:r w:rsidR="00065B55">
        <w:t xml:space="preserve">show the median value of how much a given fraction of the landscape </w:t>
      </w:r>
      <w:r w:rsidR="00065B55" w:rsidRPr="00440F65">
        <w:t xml:space="preserve">(x-axis) covers </w:t>
      </w:r>
      <w:r w:rsidR="00065B55">
        <w:t xml:space="preserve">of the feature occurrence levels </w:t>
      </w:r>
      <w:r w:rsidR="00065B55" w:rsidRPr="00440F65">
        <w:t>(y-axis)</w:t>
      </w:r>
      <w:r w:rsidR="00065B55">
        <w:t xml:space="preserve"> in a given feature group. The grey shaded area is delineated by upper (75%) and lower (25%) quartiles and hence show the performance distribution of 50% of features within the group. Dashed line indicates the minimum and dot-dashed line the maximum over all features within the group. Panels show feature-group performance per spatial prioritization methods used: RWR (</w:t>
      </w:r>
      <w:r w:rsidR="00065B55" w:rsidRPr="000716C7">
        <w:rPr>
          <w:b/>
        </w:rPr>
        <w:t>A</w:t>
      </w:r>
      <w:r w:rsidR="00065B55">
        <w:t xml:space="preserve"> and </w:t>
      </w:r>
      <w:r w:rsidR="00065B55" w:rsidRPr="000716C7">
        <w:rPr>
          <w:b/>
        </w:rPr>
        <w:t>B</w:t>
      </w:r>
      <w:r w:rsidR="00065B55">
        <w:t>), ZON (</w:t>
      </w:r>
      <w:r w:rsidR="00065B55" w:rsidRPr="000716C7">
        <w:rPr>
          <w:b/>
        </w:rPr>
        <w:t>C</w:t>
      </w:r>
      <w:r w:rsidR="00065B55">
        <w:t xml:space="preserve"> and </w:t>
      </w:r>
      <w:r w:rsidR="00065B55" w:rsidRPr="000716C7">
        <w:rPr>
          <w:b/>
        </w:rPr>
        <w:t>D</w:t>
      </w:r>
      <w:r w:rsidR="00065B55">
        <w:t>), and ILP (</w:t>
      </w:r>
      <w:r w:rsidR="00065B55" w:rsidRPr="000716C7">
        <w:rPr>
          <w:b/>
        </w:rPr>
        <w:t>E</w:t>
      </w:r>
      <w:r w:rsidR="00065B55">
        <w:t xml:space="preserve"> and </w:t>
      </w:r>
      <w:r w:rsidR="00065B55" w:rsidRPr="000716C7">
        <w:rPr>
          <w:b/>
        </w:rPr>
        <w:t>F</w:t>
      </w:r>
      <w:r w:rsidR="00065B55">
        <w:t>).</w:t>
      </w:r>
      <w:r w:rsidR="00065B55" w:rsidRPr="00440F65">
        <w:t xml:space="preserve"> The vertical dotted line </w:t>
      </w:r>
      <w:r w:rsidR="00065B55">
        <w:t>and purple shading indicate</w:t>
      </w:r>
      <w:r w:rsidR="00065B55" w:rsidRPr="00440F65">
        <w:t xml:space="preserve"> the top 10% fraction of the solution.</w:t>
      </w:r>
    </w:p>
    <w:p w14:paraId="60D068D9" w14:textId="4CCB2E05" w:rsidR="00065B55" w:rsidRDefault="00065B55" w:rsidP="00065B55">
      <w:pPr>
        <w:suppressAutoHyphens w:val="0"/>
        <w:spacing w:line="480" w:lineRule="auto"/>
        <w:textAlignment w:val="auto"/>
        <w:rPr>
          <w:iCs/>
        </w:rPr>
      </w:pPr>
    </w:p>
    <w:p w14:paraId="167F4DD5" w14:textId="0F854012" w:rsidR="007E33DA" w:rsidRDefault="007E33DA" w:rsidP="00065B55">
      <w:pPr>
        <w:suppressAutoHyphens w:val="0"/>
        <w:spacing w:line="480" w:lineRule="auto"/>
        <w:jc w:val="center"/>
        <w:textAlignment w:val="auto"/>
        <w:rPr>
          <w:iCs/>
        </w:rPr>
      </w:pPr>
    </w:p>
    <w:p w14:paraId="05F7B035" w14:textId="21EFE77C" w:rsidR="007E33DA" w:rsidRDefault="007E33DA" w:rsidP="00065B55">
      <w:pPr>
        <w:suppressAutoHyphens w:val="0"/>
        <w:spacing w:line="480" w:lineRule="auto"/>
        <w:jc w:val="center"/>
        <w:textAlignment w:val="auto"/>
        <w:rPr>
          <w:iCs/>
        </w:rPr>
      </w:pPr>
      <w:r>
        <w:rPr>
          <w:iCs/>
          <w:noProof/>
        </w:rPr>
        <w:drawing>
          <wp:inline distT="0" distB="0" distL="0" distR="0" wp14:anchorId="23737751" wp14:editId="5145E239">
            <wp:extent cx="4850079" cy="4921858"/>
            <wp:effectExtent l="0" t="0" r="8255" b="0"/>
            <wp:docPr id="6" name="Picture 6" descr="E:\Projects\VU\OPERAs\SP2\priocomp\reports\figures\figure06\04_figure_06_just_co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jects\VU\OPERAs\SP2\priocomp\reports\figures\figure06\04_figure_06_just_costs.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508" t="4348" r="6088" b="5938"/>
                    <a:stretch/>
                  </pic:blipFill>
                  <pic:spPr bwMode="auto">
                    <a:xfrm>
                      <a:off x="0" y="0"/>
                      <a:ext cx="4850282" cy="4922064"/>
                    </a:xfrm>
                    <a:prstGeom prst="rect">
                      <a:avLst/>
                    </a:prstGeom>
                    <a:noFill/>
                    <a:ln>
                      <a:noFill/>
                    </a:ln>
                    <a:extLst>
                      <a:ext uri="{53640926-AAD7-44D8-BBD7-CCE9431645EC}">
                        <a14:shadowObscured xmlns:a14="http://schemas.microsoft.com/office/drawing/2010/main"/>
                      </a:ext>
                    </a:extLst>
                  </pic:spPr>
                </pic:pic>
              </a:graphicData>
            </a:graphic>
          </wp:inline>
        </w:drawing>
      </w:r>
      <w:r w:rsidR="00426456">
        <w:rPr>
          <w:iCs/>
        </w:rPr>
        <w:t>o</w:t>
      </w:r>
    </w:p>
    <w:p w14:paraId="02BFA51C" w14:textId="2E3B26E1" w:rsidR="00C62B39" w:rsidRPr="005B493A" w:rsidRDefault="00780415" w:rsidP="00065B55">
      <w:pPr>
        <w:spacing w:line="480" w:lineRule="auto"/>
        <w:rPr>
          <w:b/>
          <w:color w:val="000000"/>
        </w:rPr>
        <w:sectPr w:rsidR="00C62B39" w:rsidRPr="005B493A">
          <w:type w:val="continuous"/>
          <w:pgSz w:w="12240" w:h="15840"/>
          <w:pgMar w:top="1417" w:right="1134" w:bottom="1417" w:left="1134" w:header="720" w:footer="720" w:gutter="0"/>
          <w:lnNumType w:countBy="1" w:distance="283" w:restart="continuous"/>
          <w:cols w:space="720"/>
          <w:docGrid w:linePitch="240" w:charSpace="-2049"/>
        </w:sectPr>
      </w:pPr>
      <w:r>
        <w:rPr>
          <w:b/>
          <w:color w:val="000000"/>
        </w:rPr>
        <w:t>Figure S4</w:t>
      </w:r>
      <w:bookmarkStart w:id="0" w:name="_GoBack"/>
      <w:bookmarkEnd w:id="0"/>
      <w:r w:rsidR="00F60430" w:rsidRPr="00426456">
        <w:rPr>
          <w:b/>
          <w:color w:val="000000"/>
        </w:rPr>
        <w:t xml:space="preserve">. </w:t>
      </w:r>
      <w:r w:rsidR="00F60430" w:rsidRPr="00307121">
        <w:rPr>
          <w:color w:val="000000"/>
        </w:rPr>
        <w:t>Cost of different prioritization solutions.</w:t>
      </w:r>
      <w:r w:rsidR="00F60430">
        <w:rPr>
          <w:color w:val="000000"/>
        </w:rPr>
        <w:t xml:space="preserve"> Curves show the relative cost of a given fraction of the landscape per prioritization method: ILP (lime green), RWR (turquoise) and ZON (purple). Dotted lines show the cost from solutions in which costs are not part of the prioritization, solid lines where costs are part of prioritization. </w:t>
      </w:r>
      <w:r w:rsidR="00D77BFE">
        <w:br/>
      </w:r>
    </w:p>
    <w:p w14:paraId="4539BC2A" w14:textId="6EA5713C" w:rsidR="00C62B39" w:rsidRDefault="00730FCE" w:rsidP="00065B55">
      <w:pPr>
        <w:pStyle w:val="Heading1"/>
        <w:spacing w:line="480" w:lineRule="auto"/>
      </w:pPr>
      <w:r>
        <w:t>References</w:t>
      </w:r>
    </w:p>
    <w:p w14:paraId="44E83A69" w14:textId="1BB30F6D" w:rsidR="0049431D" w:rsidRPr="0049431D" w:rsidRDefault="00730FCE" w:rsidP="00065B55">
      <w:pPr>
        <w:widowControl w:val="0"/>
        <w:autoSpaceDE w:val="0"/>
        <w:autoSpaceDN w:val="0"/>
        <w:adjustRightInd w:val="0"/>
        <w:spacing w:line="480" w:lineRule="auto"/>
        <w:ind w:left="480" w:hanging="480"/>
        <w:rPr>
          <w:noProof/>
          <w:szCs w:val="24"/>
        </w:rPr>
      </w:pPr>
      <w:r>
        <w:fldChar w:fldCharType="begin" w:fldLock="1"/>
      </w:r>
      <w:r>
        <w:instrText xml:space="preserve">ADDIN Mendeley Bibliography CSL_BIBLIOGRAPHY </w:instrText>
      </w:r>
      <w:r>
        <w:fldChar w:fldCharType="separate"/>
      </w:r>
      <w:r w:rsidR="0049431D" w:rsidRPr="0049431D">
        <w:rPr>
          <w:noProof/>
          <w:szCs w:val="24"/>
        </w:rPr>
        <w:t xml:space="preserve">Jones E, Oliphant T, Peterson P (2001) SciPy: Open source scientific tools for Python. </w:t>
      </w:r>
    </w:p>
    <w:p w14:paraId="1C15A18B" w14:textId="77777777" w:rsidR="0049431D" w:rsidRPr="0049431D" w:rsidRDefault="0049431D" w:rsidP="00065B55">
      <w:pPr>
        <w:widowControl w:val="0"/>
        <w:autoSpaceDE w:val="0"/>
        <w:autoSpaceDN w:val="0"/>
        <w:adjustRightInd w:val="0"/>
        <w:spacing w:line="480" w:lineRule="auto"/>
        <w:ind w:left="480" w:hanging="480"/>
        <w:rPr>
          <w:noProof/>
        </w:rPr>
      </w:pPr>
      <w:r w:rsidRPr="0049431D">
        <w:rPr>
          <w:noProof/>
          <w:szCs w:val="24"/>
        </w:rPr>
        <w:t>Moilanen A, Pouzols FM, Meller L, et al (2014) Zonation spatial conservation planning methods and software v. 4, user manual. Helsinki</w:t>
      </w:r>
    </w:p>
    <w:p w14:paraId="5BF5F784" w14:textId="04ACFF96" w:rsidR="00730FCE" w:rsidRPr="00730FCE" w:rsidRDefault="00730FCE" w:rsidP="00065B55">
      <w:pPr>
        <w:spacing w:line="480" w:lineRule="auto"/>
      </w:pPr>
      <w:r>
        <w:fldChar w:fldCharType="end"/>
      </w:r>
    </w:p>
    <w:sectPr w:rsidR="00730FCE" w:rsidRPr="00730FCE" w:rsidSect="00730FCE">
      <w:type w:val="continuous"/>
      <w:pgSz w:w="12240" w:h="15840"/>
      <w:pgMar w:top="1417" w:right="1134" w:bottom="1417" w:left="1134" w:header="720" w:footer="720" w:gutter="0"/>
      <w:lnNumType w:countBy="1" w:distance="283" w:restart="continuous"/>
      <w:cols w:space="708"/>
      <w:docGrid w:linePitch="24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064CF0" w14:textId="77777777" w:rsidR="00814C41" w:rsidRDefault="00814C41" w:rsidP="00800C3E">
      <w:pPr>
        <w:spacing w:line="240" w:lineRule="auto"/>
      </w:pPr>
      <w:r>
        <w:separator/>
      </w:r>
    </w:p>
  </w:endnote>
  <w:endnote w:type="continuationSeparator" w:id="0">
    <w:p w14:paraId="0E9E9115" w14:textId="77777777" w:rsidR="00814C41" w:rsidRDefault="00814C41" w:rsidP="00800C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Droid Sans Fallback">
    <w:charset w:val="01"/>
    <w:family w:val="auto"/>
    <w:pitch w:val="variable"/>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OpenSymbol">
    <w:altName w:val="Arial Unicode MS"/>
    <w:charset w:val="02"/>
    <w:family w:val="auto"/>
    <w:pitch w:val="default"/>
  </w:font>
  <w:font w:name="Liberation Sans">
    <w:altName w:val="Arial"/>
    <w:charset w:val="01"/>
    <w:family w:val="swiss"/>
    <w:pitch w:val="variable"/>
  </w:font>
  <w:font w:name="Droid Sans Devanagari">
    <w:altName w:val="Segoe UI"/>
    <w:charset w:val="01"/>
    <w:family w:val="auto"/>
    <w:pitch w:val="variable"/>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B25DCD" w14:textId="77777777" w:rsidR="00814C41" w:rsidRDefault="00814C41" w:rsidP="00800C3E">
      <w:pPr>
        <w:spacing w:line="240" w:lineRule="auto"/>
      </w:pPr>
      <w:r>
        <w:separator/>
      </w:r>
    </w:p>
  </w:footnote>
  <w:footnote w:type="continuationSeparator" w:id="0">
    <w:p w14:paraId="3DB2A9C7" w14:textId="77777777" w:rsidR="00814C41" w:rsidRDefault="00814C41" w:rsidP="00800C3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Num8"/>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 w15:restartNumberingAfterBreak="0">
    <w:nsid w:val="00000002"/>
    <w:multiLevelType w:val="multilevel"/>
    <w:tmpl w:val="00000002"/>
    <w:name w:val="WWNum10"/>
    <w:lvl w:ilvl="0">
      <w:start w:val="1"/>
      <w:numFmt w:val="bullet"/>
      <w:lvlText w:val=""/>
      <w:lvlJc w:val="left"/>
      <w:pPr>
        <w:tabs>
          <w:tab w:val="num" w:pos="0"/>
        </w:tabs>
        <w:ind w:left="720" w:hanging="360"/>
      </w:pPr>
      <w:rPr>
        <w:rFonts w:ascii="Symbol" w:hAnsi="Symbol"/>
      </w:rPr>
    </w:lvl>
    <w:lvl w:ilvl="1">
      <w:start w:val="1"/>
      <w:numFmt w:val="lowerRoman"/>
      <w:lvlText w:val="%2."/>
      <w:lvlJc w:val="right"/>
      <w:pPr>
        <w:tabs>
          <w:tab w:val="num" w:pos="0"/>
        </w:tabs>
        <w:ind w:left="1440" w:hanging="360"/>
      </w:p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15:restartNumberingAfterBreak="0">
    <w:nsid w:val="00000003"/>
    <w:multiLevelType w:val="multilevel"/>
    <w:tmpl w:val="0000000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826"/>
    <w:rsid w:val="00000C24"/>
    <w:rsid w:val="00011707"/>
    <w:rsid w:val="0001373E"/>
    <w:rsid w:val="00015EF9"/>
    <w:rsid w:val="00016BD0"/>
    <w:rsid w:val="00030523"/>
    <w:rsid w:val="000310A5"/>
    <w:rsid w:val="00033E60"/>
    <w:rsid w:val="0004326B"/>
    <w:rsid w:val="00043B1C"/>
    <w:rsid w:val="000448BF"/>
    <w:rsid w:val="00057628"/>
    <w:rsid w:val="00060A60"/>
    <w:rsid w:val="00065B55"/>
    <w:rsid w:val="0007164C"/>
    <w:rsid w:val="000716C7"/>
    <w:rsid w:val="00075288"/>
    <w:rsid w:val="00077321"/>
    <w:rsid w:val="000775C2"/>
    <w:rsid w:val="00080162"/>
    <w:rsid w:val="000859AE"/>
    <w:rsid w:val="000A2074"/>
    <w:rsid w:val="000A3BB1"/>
    <w:rsid w:val="000B6EC1"/>
    <w:rsid w:val="000E2848"/>
    <w:rsid w:val="000E4526"/>
    <w:rsid w:val="000F370D"/>
    <w:rsid w:val="00107871"/>
    <w:rsid w:val="001109F4"/>
    <w:rsid w:val="00124FA4"/>
    <w:rsid w:val="00127D6D"/>
    <w:rsid w:val="00134698"/>
    <w:rsid w:val="00144A01"/>
    <w:rsid w:val="00164E37"/>
    <w:rsid w:val="00164FED"/>
    <w:rsid w:val="001657AB"/>
    <w:rsid w:val="00191AF7"/>
    <w:rsid w:val="001A3C86"/>
    <w:rsid w:val="001A6958"/>
    <w:rsid w:val="001D3418"/>
    <w:rsid w:val="001D45C9"/>
    <w:rsid w:val="001D7177"/>
    <w:rsid w:val="001E0086"/>
    <w:rsid w:val="001F4CB1"/>
    <w:rsid w:val="002050DA"/>
    <w:rsid w:val="00206419"/>
    <w:rsid w:val="00210D0E"/>
    <w:rsid w:val="0023389C"/>
    <w:rsid w:val="00254F03"/>
    <w:rsid w:val="0026572C"/>
    <w:rsid w:val="00274798"/>
    <w:rsid w:val="00274827"/>
    <w:rsid w:val="00286B13"/>
    <w:rsid w:val="00290EED"/>
    <w:rsid w:val="002916C3"/>
    <w:rsid w:val="002A64CF"/>
    <w:rsid w:val="002C35E7"/>
    <w:rsid w:val="002D3C4B"/>
    <w:rsid w:val="00307121"/>
    <w:rsid w:val="00314948"/>
    <w:rsid w:val="003207C8"/>
    <w:rsid w:val="003321B9"/>
    <w:rsid w:val="00346030"/>
    <w:rsid w:val="00353921"/>
    <w:rsid w:val="00355A50"/>
    <w:rsid w:val="0036323A"/>
    <w:rsid w:val="00393C73"/>
    <w:rsid w:val="003A5783"/>
    <w:rsid w:val="003A5A11"/>
    <w:rsid w:val="003A5D8D"/>
    <w:rsid w:val="003A5F62"/>
    <w:rsid w:val="003B57F5"/>
    <w:rsid w:val="003B75D0"/>
    <w:rsid w:val="003C35BF"/>
    <w:rsid w:val="003D186E"/>
    <w:rsid w:val="003D2216"/>
    <w:rsid w:val="003E6875"/>
    <w:rsid w:val="003F3DCE"/>
    <w:rsid w:val="00426456"/>
    <w:rsid w:val="0043590D"/>
    <w:rsid w:val="00440F65"/>
    <w:rsid w:val="004421D6"/>
    <w:rsid w:val="00446075"/>
    <w:rsid w:val="004561E0"/>
    <w:rsid w:val="00466CE2"/>
    <w:rsid w:val="0048629A"/>
    <w:rsid w:val="00487493"/>
    <w:rsid w:val="0049431D"/>
    <w:rsid w:val="00496390"/>
    <w:rsid w:val="004A0150"/>
    <w:rsid w:val="004A5716"/>
    <w:rsid w:val="004A63F9"/>
    <w:rsid w:val="004B0B49"/>
    <w:rsid w:val="004D644E"/>
    <w:rsid w:val="004E3A4E"/>
    <w:rsid w:val="004E64BF"/>
    <w:rsid w:val="004F5A96"/>
    <w:rsid w:val="005369DE"/>
    <w:rsid w:val="005462B0"/>
    <w:rsid w:val="005838A1"/>
    <w:rsid w:val="00584437"/>
    <w:rsid w:val="0059088A"/>
    <w:rsid w:val="00590E59"/>
    <w:rsid w:val="005A5421"/>
    <w:rsid w:val="005B493A"/>
    <w:rsid w:val="005D1F4C"/>
    <w:rsid w:val="005D678A"/>
    <w:rsid w:val="00607326"/>
    <w:rsid w:val="00633FEF"/>
    <w:rsid w:val="00657CBD"/>
    <w:rsid w:val="00662FB9"/>
    <w:rsid w:val="00670532"/>
    <w:rsid w:val="0068161B"/>
    <w:rsid w:val="00686430"/>
    <w:rsid w:val="00687828"/>
    <w:rsid w:val="006A536B"/>
    <w:rsid w:val="006B30BF"/>
    <w:rsid w:val="006B78E9"/>
    <w:rsid w:val="006C481B"/>
    <w:rsid w:val="006C7504"/>
    <w:rsid w:val="006D4144"/>
    <w:rsid w:val="006D55F2"/>
    <w:rsid w:val="006E5407"/>
    <w:rsid w:val="00706622"/>
    <w:rsid w:val="00712079"/>
    <w:rsid w:val="007272AD"/>
    <w:rsid w:val="00730FCE"/>
    <w:rsid w:val="00731BB1"/>
    <w:rsid w:val="00737A36"/>
    <w:rsid w:val="00767933"/>
    <w:rsid w:val="00773934"/>
    <w:rsid w:val="007768DA"/>
    <w:rsid w:val="0077773F"/>
    <w:rsid w:val="00780415"/>
    <w:rsid w:val="007846C0"/>
    <w:rsid w:val="00792EC0"/>
    <w:rsid w:val="00796766"/>
    <w:rsid w:val="00796EC3"/>
    <w:rsid w:val="007A3924"/>
    <w:rsid w:val="007B55BA"/>
    <w:rsid w:val="007B5E4A"/>
    <w:rsid w:val="007C4504"/>
    <w:rsid w:val="007D6674"/>
    <w:rsid w:val="007E33DA"/>
    <w:rsid w:val="007F4C90"/>
    <w:rsid w:val="008008FB"/>
    <w:rsid w:val="00800C3E"/>
    <w:rsid w:val="00814C41"/>
    <w:rsid w:val="00827559"/>
    <w:rsid w:val="0083186F"/>
    <w:rsid w:val="00832595"/>
    <w:rsid w:val="008434C5"/>
    <w:rsid w:val="00844E1A"/>
    <w:rsid w:val="00860A2B"/>
    <w:rsid w:val="00870F71"/>
    <w:rsid w:val="0087193E"/>
    <w:rsid w:val="00874EDD"/>
    <w:rsid w:val="008800B0"/>
    <w:rsid w:val="00890096"/>
    <w:rsid w:val="00894000"/>
    <w:rsid w:val="008A50FD"/>
    <w:rsid w:val="008B3593"/>
    <w:rsid w:val="008C1F20"/>
    <w:rsid w:val="008E6EE0"/>
    <w:rsid w:val="009007E7"/>
    <w:rsid w:val="00912039"/>
    <w:rsid w:val="00917CA4"/>
    <w:rsid w:val="00921FA4"/>
    <w:rsid w:val="0092618C"/>
    <w:rsid w:val="00931FC1"/>
    <w:rsid w:val="00940080"/>
    <w:rsid w:val="00950751"/>
    <w:rsid w:val="00950E76"/>
    <w:rsid w:val="0095617E"/>
    <w:rsid w:val="00960A5D"/>
    <w:rsid w:val="009612D7"/>
    <w:rsid w:val="00964D1C"/>
    <w:rsid w:val="00995094"/>
    <w:rsid w:val="00997B4A"/>
    <w:rsid w:val="009B2141"/>
    <w:rsid w:val="009B35ED"/>
    <w:rsid w:val="009C0C98"/>
    <w:rsid w:val="009C6FA7"/>
    <w:rsid w:val="009C7CDC"/>
    <w:rsid w:val="009D199E"/>
    <w:rsid w:val="009E31EB"/>
    <w:rsid w:val="009E79CA"/>
    <w:rsid w:val="009F2990"/>
    <w:rsid w:val="00A118D7"/>
    <w:rsid w:val="00A120F1"/>
    <w:rsid w:val="00A35F8D"/>
    <w:rsid w:val="00A4013D"/>
    <w:rsid w:val="00A40F46"/>
    <w:rsid w:val="00A41DB6"/>
    <w:rsid w:val="00A53F39"/>
    <w:rsid w:val="00A83205"/>
    <w:rsid w:val="00A95A5F"/>
    <w:rsid w:val="00A97DE4"/>
    <w:rsid w:val="00AA2CE6"/>
    <w:rsid w:val="00AB163E"/>
    <w:rsid w:val="00AB2036"/>
    <w:rsid w:val="00AB5359"/>
    <w:rsid w:val="00AC34F7"/>
    <w:rsid w:val="00AE6E35"/>
    <w:rsid w:val="00B2351B"/>
    <w:rsid w:val="00B35933"/>
    <w:rsid w:val="00B550AB"/>
    <w:rsid w:val="00B86EB7"/>
    <w:rsid w:val="00B954B4"/>
    <w:rsid w:val="00BA205B"/>
    <w:rsid w:val="00BB1875"/>
    <w:rsid w:val="00BB3279"/>
    <w:rsid w:val="00BB6C5C"/>
    <w:rsid w:val="00BC57CE"/>
    <w:rsid w:val="00C01BFD"/>
    <w:rsid w:val="00C2632E"/>
    <w:rsid w:val="00C27437"/>
    <w:rsid w:val="00C32A0C"/>
    <w:rsid w:val="00C378DD"/>
    <w:rsid w:val="00C563DD"/>
    <w:rsid w:val="00C60259"/>
    <w:rsid w:val="00C62B39"/>
    <w:rsid w:val="00C72EF5"/>
    <w:rsid w:val="00CA50B2"/>
    <w:rsid w:val="00CB04D9"/>
    <w:rsid w:val="00CB0CB6"/>
    <w:rsid w:val="00CB12B4"/>
    <w:rsid w:val="00CF14C6"/>
    <w:rsid w:val="00D031A1"/>
    <w:rsid w:val="00D03E50"/>
    <w:rsid w:val="00D15353"/>
    <w:rsid w:val="00D30D18"/>
    <w:rsid w:val="00D31B33"/>
    <w:rsid w:val="00D421DF"/>
    <w:rsid w:val="00D43E81"/>
    <w:rsid w:val="00D4781E"/>
    <w:rsid w:val="00D47B3C"/>
    <w:rsid w:val="00D77BFE"/>
    <w:rsid w:val="00D93444"/>
    <w:rsid w:val="00DA0C92"/>
    <w:rsid w:val="00DB21C5"/>
    <w:rsid w:val="00DE6BD9"/>
    <w:rsid w:val="00DF4A90"/>
    <w:rsid w:val="00DF7826"/>
    <w:rsid w:val="00E23041"/>
    <w:rsid w:val="00E24ED0"/>
    <w:rsid w:val="00E31860"/>
    <w:rsid w:val="00E45AC3"/>
    <w:rsid w:val="00E5057C"/>
    <w:rsid w:val="00E50D48"/>
    <w:rsid w:val="00E51042"/>
    <w:rsid w:val="00E72277"/>
    <w:rsid w:val="00E7424D"/>
    <w:rsid w:val="00E7760C"/>
    <w:rsid w:val="00E82D62"/>
    <w:rsid w:val="00EA30BA"/>
    <w:rsid w:val="00EB2CED"/>
    <w:rsid w:val="00EE0002"/>
    <w:rsid w:val="00EF3130"/>
    <w:rsid w:val="00F04B64"/>
    <w:rsid w:val="00F05AF3"/>
    <w:rsid w:val="00F60430"/>
    <w:rsid w:val="00F731A3"/>
    <w:rsid w:val="00F77D40"/>
    <w:rsid w:val="00F925B7"/>
    <w:rsid w:val="00FD2A17"/>
    <w:rsid w:val="00FE03D9"/>
    <w:rsid w:val="00FE4983"/>
    <w:rsid w:val="00FE5B57"/>
    <w:rsid w:val="00FF1E7B"/>
    <w:rsid w:val="00FF41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57758259"/>
  <w15:chartTrackingRefBased/>
  <w15:docId w15:val="{8A8A1DDC-16F4-4A41-9824-C8EFAB5A2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uppressAutoHyphens/>
      <w:spacing w:line="360" w:lineRule="auto"/>
      <w:textAlignment w:val="baseline"/>
    </w:pPr>
    <w:rPr>
      <w:rFonts w:ascii="Calibri" w:eastAsia="Calibri" w:hAnsi="Calibri"/>
      <w:kern w:val="1"/>
      <w:sz w:val="22"/>
      <w:szCs w:val="22"/>
    </w:rPr>
  </w:style>
  <w:style w:type="paragraph" w:styleId="Heading1">
    <w:name w:val="heading 1"/>
    <w:basedOn w:val="Normal"/>
    <w:next w:val="Normal"/>
    <w:qFormat/>
    <w:rsid w:val="00894000"/>
    <w:pPr>
      <w:outlineLvl w:val="0"/>
    </w:pPr>
    <w:rPr>
      <w:b/>
      <w:sz w:val="24"/>
      <w:szCs w:val="24"/>
    </w:rPr>
  </w:style>
  <w:style w:type="paragraph" w:styleId="Heading2">
    <w:name w:val="heading 2"/>
    <w:basedOn w:val="Normal"/>
    <w:next w:val="Normal"/>
    <w:qFormat/>
    <w:rsid w:val="00B35933"/>
    <w:pPr>
      <w:spacing w:line="480" w:lineRule="auto"/>
      <w:outlineLvl w:val="1"/>
    </w:pPr>
    <w:rPr>
      <w:b/>
      <w:bCs/>
    </w:rPr>
  </w:style>
  <w:style w:type="paragraph" w:styleId="Heading3">
    <w:name w:val="heading 3"/>
    <w:basedOn w:val="Normal"/>
    <w:next w:val="Normal"/>
    <w:qFormat/>
    <w:pPr>
      <w:outlineLvl w:val="2"/>
    </w:pPr>
  </w:style>
  <w:style w:type="paragraph" w:styleId="Heading4">
    <w:name w:val="heading 4"/>
    <w:basedOn w:val="Normal"/>
    <w:next w:val="BodyText"/>
    <w:qFormat/>
    <w:pPr>
      <w:keepNext/>
      <w:keepLines/>
      <w:suppressAutoHyphens w:val="0"/>
      <w:spacing w:before="200" w:line="240" w:lineRule="auto"/>
      <w:textAlignment w:val="auto"/>
      <w:outlineLvl w:val="3"/>
    </w:pPr>
    <w:rPr>
      <w:rFonts w:ascii="Calibri Light" w:hAnsi="Calibri Light"/>
      <w:b/>
      <w:bCs/>
      <w:color w:val="5B9BD5"/>
      <w:sz w:val="24"/>
      <w:szCs w:val="24"/>
    </w:rPr>
  </w:style>
  <w:style w:type="paragraph" w:styleId="Heading5">
    <w:name w:val="heading 5"/>
    <w:basedOn w:val="Normal"/>
    <w:next w:val="BodyText"/>
    <w:qFormat/>
    <w:pPr>
      <w:keepNext/>
      <w:keepLines/>
      <w:suppressAutoHyphens w:val="0"/>
      <w:spacing w:before="200" w:line="240" w:lineRule="auto"/>
      <w:textAlignment w:val="auto"/>
      <w:outlineLvl w:val="4"/>
    </w:pPr>
    <w:rPr>
      <w:rFonts w:ascii="Calibri Light" w:hAnsi="Calibri Light"/>
      <w:i/>
      <w:iCs/>
      <w:color w:val="5B9BD5"/>
      <w:sz w:val="24"/>
      <w:szCs w:val="24"/>
    </w:rPr>
  </w:style>
  <w:style w:type="paragraph" w:styleId="Heading6">
    <w:name w:val="heading 6"/>
    <w:basedOn w:val="Normal"/>
    <w:next w:val="BodyText"/>
    <w:qFormat/>
    <w:pPr>
      <w:keepNext/>
      <w:keepLines/>
      <w:suppressAutoHyphens w:val="0"/>
      <w:spacing w:before="200" w:line="240" w:lineRule="auto"/>
      <w:textAlignment w:val="auto"/>
      <w:outlineLvl w:val="5"/>
    </w:pPr>
    <w:rPr>
      <w:rFonts w:ascii="Calibri Light" w:hAnsi="Calibri Light"/>
      <w:color w:val="5B9BD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rPr>
      <w:rFonts w:eastAsia="Droid Sans Fallback" w:cs="Mangal"/>
      <w:color w:val="00000A"/>
      <w:kern w:val="1"/>
      <w:sz w:val="24"/>
      <w:szCs w:val="21"/>
      <w:lang w:val="en-US" w:eastAsia="zh-CN" w:bidi="hi-IN"/>
    </w:rPr>
  </w:style>
  <w:style w:type="character" w:customStyle="1" w:styleId="FooterChar">
    <w:name w:val="Footer Char"/>
    <w:basedOn w:val="DefaultParagraphFont"/>
  </w:style>
  <w:style w:type="character" w:styleId="Hyperlink">
    <w:name w:val="Hyperlink"/>
    <w:rPr>
      <w:color w:val="0563C1"/>
      <w:u w:val="single"/>
    </w:rPr>
  </w:style>
  <w:style w:type="character" w:customStyle="1" w:styleId="Heading1Char">
    <w:name w:val="Heading 1 Char"/>
    <w:rPr>
      <w:b/>
      <w:lang w:val="en-GB"/>
    </w:rPr>
  </w:style>
  <w:style w:type="character" w:customStyle="1" w:styleId="CommentReference1">
    <w:name w:val="Comment Reference1"/>
    <w:rPr>
      <w:sz w:val="16"/>
      <w:szCs w:val="16"/>
    </w:rPr>
  </w:style>
  <w:style w:type="character" w:customStyle="1" w:styleId="CommentTextChar">
    <w:name w:val="Comment Text Char"/>
    <w:rPr>
      <w:sz w:val="20"/>
      <w:szCs w:val="20"/>
    </w:rPr>
  </w:style>
  <w:style w:type="character" w:customStyle="1" w:styleId="CommentSubjectChar">
    <w:name w:val="Comment Subject Char"/>
    <w:rPr>
      <w:b/>
      <w:bCs/>
      <w:sz w:val="20"/>
      <w:szCs w:val="20"/>
    </w:rPr>
  </w:style>
  <w:style w:type="character" w:customStyle="1" w:styleId="BalloonTextChar">
    <w:name w:val="Balloon Text Char"/>
    <w:rPr>
      <w:rFonts w:ascii="Segoe UI" w:hAnsi="Segoe UI" w:cs="Segoe UI"/>
      <w:sz w:val="18"/>
      <w:szCs w:val="18"/>
    </w:rPr>
  </w:style>
  <w:style w:type="character" w:customStyle="1" w:styleId="Heading3Char">
    <w:name w:val="Heading 3 Char"/>
    <w:rPr>
      <w:lang w:val="en-GB"/>
    </w:rPr>
  </w:style>
  <w:style w:type="character" w:customStyle="1" w:styleId="Heading2Char">
    <w:name w:val="Heading 2 Char"/>
    <w:rPr>
      <w:i/>
    </w:rPr>
  </w:style>
  <w:style w:type="character" w:customStyle="1" w:styleId="Heading4Char">
    <w:name w:val="Heading 4 Char"/>
    <w:rPr>
      <w:rFonts w:ascii="Calibri Light" w:eastAsia="Calibri" w:hAnsi="Calibri Light" w:cs="Times New Roman"/>
      <w:b/>
      <w:bCs/>
      <w:color w:val="5B9BD5"/>
      <w:sz w:val="24"/>
      <w:szCs w:val="24"/>
      <w:lang w:val="en-US"/>
    </w:rPr>
  </w:style>
  <w:style w:type="character" w:customStyle="1" w:styleId="Heading5Char">
    <w:name w:val="Heading 5 Char"/>
    <w:rPr>
      <w:rFonts w:ascii="Calibri Light" w:eastAsia="Calibri" w:hAnsi="Calibri Light" w:cs="Times New Roman"/>
      <w:i/>
      <w:iCs/>
      <w:color w:val="5B9BD5"/>
      <w:sz w:val="24"/>
      <w:szCs w:val="24"/>
      <w:lang w:val="en-US"/>
    </w:rPr>
  </w:style>
  <w:style w:type="character" w:customStyle="1" w:styleId="Heading6Char">
    <w:name w:val="Heading 6 Char"/>
    <w:rPr>
      <w:rFonts w:ascii="Calibri Light" w:eastAsia="Calibri" w:hAnsi="Calibri Light" w:cs="Times New Roman"/>
      <w:color w:val="5B9BD5"/>
      <w:sz w:val="24"/>
      <w:szCs w:val="24"/>
      <w:lang w:val="en-US"/>
    </w:rPr>
  </w:style>
  <w:style w:type="character" w:customStyle="1" w:styleId="BodyTextChar">
    <w:name w:val="Body Text Char"/>
    <w:rPr>
      <w:rFonts w:ascii="Calibri" w:eastAsia="Calibri" w:hAnsi="Calibri" w:cs="Times New Roman"/>
      <w:sz w:val="24"/>
      <w:szCs w:val="24"/>
      <w:lang w:val="en-US"/>
    </w:rPr>
  </w:style>
  <w:style w:type="character" w:customStyle="1" w:styleId="TitleChar">
    <w:name w:val="Title Char"/>
    <w:rPr>
      <w:rFonts w:ascii="Calibri Light" w:eastAsia="Calibri" w:hAnsi="Calibri Light" w:cs="Times New Roman"/>
      <w:b/>
      <w:bCs/>
      <w:color w:val="2C6EAB"/>
      <w:sz w:val="36"/>
      <w:szCs w:val="36"/>
      <w:lang w:val="en-US"/>
    </w:rPr>
  </w:style>
  <w:style w:type="character" w:customStyle="1" w:styleId="SubtitleChar">
    <w:name w:val="Subtitle Char"/>
    <w:rPr>
      <w:rFonts w:ascii="Calibri Light" w:eastAsia="Calibri" w:hAnsi="Calibri Light" w:cs="Times New Roman"/>
      <w:b/>
      <w:bCs/>
      <w:color w:val="2C6EAB"/>
      <w:sz w:val="30"/>
      <w:szCs w:val="30"/>
      <w:lang w:val="en-US"/>
    </w:rPr>
  </w:style>
  <w:style w:type="character" w:customStyle="1" w:styleId="DateChar">
    <w:name w:val="Date Char"/>
    <w:rPr>
      <w:rFonts w:ascii="Calibri" w:eastAsia="Calibri" w:hAnsi="Calibri" w:cs="Times New Roman"/>
      <w:sz w:val="24"/>
      <w:szCs w:val="24"/>
      <w:lang w:val="en-US"/>
    </w:rPr>
  </w:style>
  <w:style w:type="character" w:customStyle="1" w:styleId="FootnoteTextChar">
    <w:name w:val="Footnote Text Char"/>
    <w:rPr>
      <w:rFonts w:ascii="Calibri" w:eastAsia="Calibri" w:hAnsi="Calibri" w:cs="Times New Roman"/>
      <w:sz w:val="24"/>
      <w:szCs w:val="24"/>
      <w:lang w:val="en-US"/>
    </w:rPr>
  </w:style>
  <w:style w:type="character" w:customStyle="1" w:styleId="CaptionChar">
    <w:name w:val="Caption Char"/>
    <w:rPr>
      <w:b/>
      <w:iCs/>
      <w:sz w:val="18"/>
      <w:szCs w:val="18"/>
      <w:lang w:val="en-GB"/>
    </w:rPr>
  </w:style>
  <w:style w:type="character" w:customStyle="1" w:styleId="VerbatimChar">
    <w:name w:val="Verbatim Char"/>
    <w:rPr>
      <w:rFonts w:ascii="Consolas" w:hAnsi="Consolas"/>
      <w:b/>
      <w:iCs/>
      <w:sz w:val="18"/>
      <w:szCs w:val="18"/>
      <w:lang w:val="en-GB"/>
    </w:rPr>
  </w:style>
  <w:style w:type="character" w:customStyle="1" w:styleId="FootnoteReference1">
    <w:name w:val="Footnote Reference1"/>
    <w:rPr>
      <w:b/>
      <w:iCs/>
      <w:sz w:val="18"/>
      <w:szCs w:val="18"/>
      <w:vertAlign w:val="superscript"/>
      <w:lang w:val="en-GB"/>
    </w:rPr>
  </w:style>
  <w:style w:type="character" w:customStyle="1" w:styleId="KeywordTok">
    <w:name w:val="KeywordTok"/>
    <w:rPr>
      <w:rFonts w:ascii="Consolas" w:hAnsi="Consolas"/>
      <w:b w:val="0"/>
      <w:iCs/>
      <w:color w:val="007020"/>
      <w:sz w:val="18"/>
      <w:szCs w:val="18"/>
      <w:lang w:val="en-GB"/>
    </w:rPr>
  </w:style>
  <w:style w:type="character" w:customStyle="1" w:styleId="DataTypeTok">
    <w:name w:val="DataTypeTok"/>
    <w:rPr>
      <w:rFonts w:ascii="Consolas" w:hAnsi="Consolas"/>
      <w:b/>
      <w:iCs/>
      <w:color w:val="902000"/>
      <w:sz w:val="18"/>
      <w:szCs w:val="18"/>
      <w:lang w:val="en-GB"/>
    </w:rPr>
  </w:style>
  <w:style w:type="character" w:customStyle="1" w:styleId="DecValTok">
    <w:name w:val="DecValTok"/>
    <w:rPr>
      <w:rFonts w:ascii="Consolas" w:hAnsi="Consolas"/>
      <w:b/>
      <w:iCs/>
      <w:color w:val="40A070"/>
      <w:sz w:val="18"/>
      <w:szCs w:val="18"/>
      <w:lang w:val="en-GB"/>
    </w:rPr>
  </w:style>
  <w:style w:type="character" w:customStyle="1" w:styleId="BaseNTok">
    <w:name w:val="BaseNTok"/>
    <w:rPr>
      <w:rFonts w:ascii="Consolas" w:hAnsi="Consolas"/>
      <w:b/>
      <w:iCs/>
      <w:color w:val="40A070"/>
      <w:sz w:val="18"/>
      <w:szCs w:val="18"/>
      <w:lang w:val="en-GB"/>
    </w:rPr>
  </w:style>
  <w:style w:type="character" w:customStyle="1" w:styleId="FloatTok">
    <w:name w:val="FloatTok"/>
    <w:rPr>
      <w:rFonts w:ascii="Consolas" w:hAnsi="Consolas"/>
      <w:b/>
      <w:iCs/>
      <w:color w:val="40A070"/>
      <w:sz w:val="18"/>
      <w:szCs w:val="18"/>
      <w:lang w:val="en-GB"/>
    </w:rPr>
  </w:style>
  <w:style w:type="character" w:customStyle="1" w:styleId="ConstantTok">
    <w:name w:val="ConstantTok"/>
    <w:rPr>
      <w:rFonts w:ascii="Consolas" w:hAnsi="Consolas"/>
      <w:b/>
      <w:iCs/>
      <w:color w:val="880000"/>
      <w:sz w:val="18"/>
      <w:szCs w:val="18"/>
      <w:lang w:val="en-GB"/>
    </w:rPr>
  </w:style>
  <w:style w:type="character" w:customStyle="1" w:styleId="CharTok">
    <w:name w:val="CharTok"/>
    <w:rPr>
      <w:rFonts w:ascii="Consolas" w:hAnsi="Consolas"/>
      <w:b/>
      <w:iCs/>
      <w:color w:val="4070A0"/>
      <w:sz w:val="18"/>
      <w:szCs w:val="18"/>
      <w:lang w:val="en-GB"/>
    </w:rPr>
  </w:style>
  <w:style w:type="character" w:customStyle="1" w:styleId="SpecialCharTok">
    <w:name w:val="SpecialCharTok"/>
    <w:rPr>
      <w:rFonts w:ascii="Consolas" w:hAnsi="Consolas"/>
      <w:b/>
      <w:iCs/>
      <w:color w:val="4070A0"/>
      <w:sz w:val="18"/>
      <w:szCs w:val="18"/>
      <w:lang w:val="en-GB"/>
    </w:rPr>
  </w:style>
  <w:style w:type="character" w:customStyle="1" w:styleId="StringTok">
    <w:name w:val="StringTok"/>
    <w:rPr>
      <w:rFonts w:ascii="Consolas" w:hAnsi="Consolas"/>
      <w:b/>
      <w:iCs/>
      <w:color w:val="4070A0"/>
      <w:sz w:val="18"/>
      <w:szCs w:val="18"/>
      <w:lang w:val="en-GB"/>
    </w:rPr>
  </w:style>
  <w:style w:type="character" w:customStyle="1" w:styleId="VerbatimStringTok">
    <w:name w:val="VerbatimStringTok"/>
    <w:rPr>
      <w:rFonts w:ascii="Consolas" w:hAnsi="Consolas"/>
      <w:b/>
      <w:iCs/>
      <w:color w:val="4070A0"/>
      <w:sz w:val="18"/>
      <w:szCs w:val="18"/>
      <w:lang w:val="en-GB"/>
    </w:rPr>
  </w:style>
  <w:style w:type="character" w:customStyle="1" w:styleId="SpecialStringTok">
    <w:name w:val="SpecialStringTok"/>
    <w:rPr>
      <w:rFonts w:ascii="Consolas" w:hAnsi="Consolas"/>
      <w:b/>
      <w:iCs/>
      <w:color w:val="BB6688"/>
      <w:sz w:val="18"/>
      <w:szCs w:val="18"/>
      <w:lang w:val="en-GB"/>
    </w:rPr>
  </w:style>
  <w:style w:type="character" w:customStyle="1" w:styleId="ImportTok">
    <w:name w:val="ImportTok"/>
    <w:rPr>
      <w:rFonts w:ascii="Consolas" w:hAnsi="Consolas"/>
      <w:b/>
      <w:iCs/>
      <w:sz w:val="18"/>
      <w:szCs w:val="18"/>
      <w:lang w:val="en-GB"/>
    </w:rPr>
  </w:style>
  <w:style w:type="character" w:customStyle="1" w:styleId="CommentTok">
    <w:name w:val="CommentTok"/>
    <w:rPr>
      <w:rFonts w:ascii="Consolas" w:hAnsi="Consolas"/>
      <w:b/>
      <w:i/>
      <w:iCs/>
      <w:color w:val="60A0B0"/>
      <w:sz w:val="18"/>
      <w:szCs w:val="18"/>
      <w:lang w:val="en-GB"/>
    </w:rPr>
  </w:style>
  <w:style w:type="character" w:customStyle="1" w:styleId="DocumentationTok">
    <w:name w:val="DocumentationTok"/>
    <w:rPr>
      <w:rFonts w:ascii="Consolas" w:hAnsi="Consolas"/>
      <w:b/>
      <w:i/>
      <w:iCs/>
      <w:color w:val="BA2121"/>
      <w:sz w:val="18"/>
      <w:szCs w:val="18"/>
      <w:lang w:val="en-GB"/>
    </w:rPr>
  </w:style>
  <w:style w:type="character" w:customStyle="1" w:styleId="AnnotationTok">
    <w:name w:val="AnnotationTok"/>
    <w:rPr>
      <w:rFonts w:ascii="Consolas" w:hAnsi="Consolas"/>
      <w:b w:val="0"/>
      <w:i/>
      <w:iCs/>
      <w:color w:val="60A0B0"/>
      <w:sz w:val="18"/>
      <w:szCs w:val="18"/>
      <w:lang w:val="en-GB"/>
    </w:rPr>
  </w:style>
  <w:style w:type="character" w:customStyle="1" w:styleId="CommentVarTok">
    <w:name w:val="CommentVarTok"/>
    <w:rPr>
      <w:rFonts w:ascii="Consolas" w:hAnsi="Consolas"/>
      <w:b w:val="0"/>
      <w:i/>
      <w:iCs/>
      <w:color w:val="60A0B0"/>
      <w:sz w:val="18"/>
      <w:szCs w:val="18"/>
      <w:lang w:val="en-GB"/>
    </w:rPr>
  </w:style>
  <w:style w:type="character" w:customStyle="1" w:styleId="OtherTok">
    <w:name w:val="OtherTok"/>
    <w:rPr>
      <w:rFonts w:ascii="Consolas" w:hAnsi="Consolas"/>
      <w:b/>
      <w:iCs/>
      <w:color w:val="007020"/>
      <w:sz w:val="18"/>
      <w:szCs w:val="18"/>
      <w:lang w:val="en-GB"/>
    </w:rPr>
  </w:style>
  <w:style w:type="character" w:customStyle="1" w:styleId="FunctionTok">
    <w:name w:val="FunctionTok"/>
    <w:rPr>
      <w:rFonts w:ascii="Consolas" w:hAnsi="Consolas"/>
      <w:b/>
      <w:iCs/>
      <w:color w:val="06287E"/>
      <w:sz w:val="18"/>
      <w:szCs w:val="18"/>
      <w:lang w:val="en-GB"/>
    </w:rPr>
  </w:style>
  <w:style w:type="character" w:customStyle="1" w:styleId="VariableTok">
    <w:name w:val="VariableTok"/>
    <w:rPr>
      <w:rFonts w:ascii="Consolas" w:hAnsi="Consolas"/>
      <w:b/>
      <w:iCs/>
      <w:color w:val="19177C"/>
      <w:sz w:val="18"/>
      <w:szCs w:val="18"/>
      <w:lang w:val="en-GB"/>
    </w:rPr>
  </w:style>
  <w:style w:type="character" w:customStyle="1" w:styleId="ControlFlowTok">
    <w:name w:val="ControlFlowTok"/>
    <w:rPr>
      <w:rFonts w:ascii="Consolas" w:hAnsi="Consolas"/>
      <w:b w:val="0"/>
      <w:iCs/>
      <w:color w:val="007020"/>
      <w:sz w:val="18"/>
      <w:szCs w:val="18"/>
      <w:lang w:val="en-GB"/>
    </w:rPr>
  </w:style>
  <w:style w:type="character" w:customStyle="1" w:styleId="OperatorTok">
    <w:name w:val="OperatorTok"/>
    <w:rPr>
      <w:rFonts w:ascii="Consolas" w:hAnsi="Consolas"/>
      <w:b/>
      <w:iCs/>
      <w:color w:val="666666"/>
      <w:sz w:val="18"/>
      <w:szCs w:val="18"/>
      <w:lang w:val="en-GB"/>
    </w:rPr>
  </w:style>
  <w:style w:type="character" w:customStyle="1" w:styleId="BuiltInTok">
    <w:name w:val="BuiltInTok"/>
    <w:rPr>
      <w:rFonts w:ascii="Consolas" w:hAnsi="Consolas"/>
      <w:b/>
      <w:iCs/>
      <w:sz w:val="18"/>
      <w:szCs w:val="18"/>
      <w:lang w:val="en-GB"/>
    </w:rPr>
  </w:style>
  <w:style w:type="character" w:customStyle="1" w:styleId="ExtensionTok">
    <w:name w:val="ExtensionTok"/>
    <w:rPr>
      <w:rFonts w:ascii="Consolas" w:hAnsi="Consolas"/>
      <w:b/>
      <w:iCs/>
      <w:sz w:val="18"/>
      <w:szCs w:val="18"/>
      <w:lang w:val="en-GB"/>
    </w:rPr>
  </w:style>
  <w:style w:type="character" w:customStyle="1" w:styleId="PreprocessorTok">
    <w:name w:val="PreprocessorTok"/>
    <w:rPr>
      <w:rFonts w:ascii="Consolas" w:hAnsi="Consolas"/>
      <w:b/>
      <w:iCs/>
      <w:color w:val="BC7A00"/>
      <w:sz w:val="18"/>
      <w:szCs w:val="18"/>
      <w:lang w:val="en-GB"/>
    </w:rPr>
  </w:style>
  <w:style w:type="character" w:customStyle="1" w:styleId="AttributeTok">
    <w:name w:val="AttributeTok"/>
    <w:rPr>
      <w:rFonts w:ascii="Consolas" w:hAnsi="Consolas"/>
      <w:b/>
      <w:iCs/>
      <w:color w:val="7D9029"/>
      <w:sz w:val="18"/>
      <w:szCs w:val="18"/>
      <w:lang w:val="en-GB"/>
    </w:rPr>
  </w:style>
  <w:style w:type="character" w:customStyle="1" w:styleId="RegionMarkerTok">
    <w:name w:val="RegionMarkerTok"/>
    <w:rPr>
      <w:rFonts w:ascii="Consolas" w:hAnsi="Consolas"/>
      <w:b/>
      <w:iCs/>
      <w:sz w:val="18"/>
      <w:szCs w:val="18"/>
      <w:lang w:val="en-GB"/>
    </w:rPr>
  </w:style>
  <w:style w:type="character" w:customStyle="1" w:styleId="InformationTok">
    <w:name w:val="InformationTok"/>
    <w:rPr>
      <w:rFonts w:ascii="Consolas" w:hAnsi="Consolas"/>
      <w:b w:val="0"/>
      <w:i/>
      <w:iCs/>
      <w:color w:val="60A0B0"/>
      <w:sz w:val="18"/>
      <w:szCs w:val="18"/>
      <w:lang w:val="en-GB"/>
    </w:rPr>
  </w:style>
  <w:style w:type="character" w:customStyle="1" w:styleId="WarningTok">
    <w:name w:val="WarningTok"/>
    <w:rPr>
      <w:rFonts w:ascii="Consolas" w:hAnsi="Consolas"/>
      <w:b w:val="0"/>
      <w:i/>
      <w:iCs/>
      <w:color w:val="60A0B0"/>
      <w:sz w:val="18"/>
      <w:szCs w:val="18"/>
      <w:lang w:val="en-GB"/>
    </w:rPr>
  </w:style>
  <w:style w:type="character" w:customStyle="1" w:styleId="AlertTok">
    <w:name w:val="AlertTok"/>
    <w:rPr>
      <w:rFonts w:ascii="Consolas" w:hAnsi="Consolas"/>
      <w:b w:val="0"/>
      <w:iCs/>
      <w:color w:val="FF0000"/>
      <w:sz w:val="18"/>
      <w:szCs w:val="18"/>
      <w:lang w:val="en-GB"/>
    </w:rPr>
  </w:style>
  <w:style w:type="character" w:customStyle="1" w:styleId="ErrorTok">
    <w:name w:val="ErrorTok"/>
    <w:rPr>
      <w:rFonts w:ascii="Consolas" w:hAnsi="Consolas"/>
      <w:b w:val="0"/>
      <w:iCs/>
      <w:color w:val="FF0000"/>
      <w:sz w:val="18"/>
      <w:szCs w:val="18"/>
      <w:lang w:val="en-GB"/>
    </w:rPr>
  </w:style>
  <w:style w:type="character" w:customStyle="1" w:styleId="NormalTok">
    <w:name w:val="NormalTok"/>
    <w:rPr>
      <w:rFonts w:ascii="Consolas" w:hAnsi="Consolas"/>
      <w:b/>
      <w:iCs/>
      <w:sz w:val="18"/>
      <w:szCs w:val="18"/>
      <w:lang w:val="en-GB"/>
    </w:rPr>
  </w:style>
  <w:style w:type="character" w:customStyle="1" w:styleId="ListLabel1">
    <w:name w:val="ListLabel 1"/>
    <w:rPr>
      <w:sz w:val="20"/>
    </w:rPr>
  </w:style>
  <w:style w:type="character" w:customStyle="1" w:styleId="ListLabel2">
    <w:name w:val="ListLabel 2"/>
    <w:rPr>
      <w:sz w:val="20"/>
    </w:rPr>
  </w:style>
  <w:style w:type="character" w:customStyle="1" w:styleId="ListLabel3">
    <w:name w:val="ListLabel 3"/>
    <w:rPr>
      <w:sz w:val="20"/>
    </w:rPr>
  </w:style>
  <w:style w:type="character" w:customStyle="1" w:styleId="ListLabel4">
    <w:name w:val="ListLabel 4"/>
    <w:rPr>
      <w:sz w:val="20"/>
    </w:rPr>
  </w:style>
  <w:style w:type="character" w:customStyle="1" w:styleId="ListLabel5">
    <w:name w:val="ListLabel 5"/>
    <w:rPr>
      <w:sz w:val="20"/>
    </w:rPr>
  </w:style>
  <w:style w:type="character" w:customStyle="1" w:styleId="ListLabel6">
    <w:name w:val="ListLabel 6"/>
    <w:rPr>
      <w:sz w:val="20"/>
    </w:rPr>
  </w:style>
  <w:style w:type="character" w:customStyle="1" w:styleId="ListLabel7">
    <w:name w:val="ListLabel 7"/>
    <w:rPr>
      <w:sz w:val="20"/>
    </w:rPr>
  </w:style>
  <w:style w:type="character" w:customStyle="1" w:styleId="ListLabel8">
    <w:name w:val="ListLabel 8"/>
    <w:rPr>
      <w:sz w:val="20"/>
    </w:rPr>
  </w:style>
  <w:style w:type="character" w:customStyle="1" w:styleId="ListLabel9">
    <w:name w:val="ListLabel 9"/>
    <w:rPr>
      <w:sz w:val="20"/>
    </w:rPr>
  </w:style>
  <w:style w:type="character" w:customStyle="1" w:styleId="ListLabel10">
    <w:name w:val="ListLabel 10"/>
    <w:rPr>
      <w:rFonts w:eastAsia="Calibri" w:cs="Times New Roman"/>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rFonts w:ascii="Calibri" w:hAnsi="Calibri"/>
      <w:sz w:val="22"/>
    </w:rPr>
  </w:style>
  <w:style w:type="character" w:customStyle="1" w:styleId="ListLabel15">
    <w:name w:val="ListLabel 15"/>
    <w:rPr>
      <w:rFonts w:ascii="Calibri" w:hAnsi="Calibri"/>
      <w:sz w:val="22"/>
    </w:rPr>
  </w:style>
  <w:style w:type="character" w:customStyle="1" w:styleId="ListLabel16">
    <w:name w:val="ListLabel 16"/>
    <w:rPr>
      <w:sz w:val="20"/>
    </w:rPr>
  </w:style>
  <w:style w:type="character" w:customStyle="1" w:styleId="ListLabel17">
    <w:name w:val="ListLabel 17"/>
    <w:rPr>
      <w:sz w:val="20"/>
    </w:rPr>
  </w:style>
  <w:style w:type="character" w:customStyle="1" w:styleId="ListLabel18">
    <w:name w:val="ListLabel 18"/>
    <w:rPr>
      <w:sz w:val="20"/>
    </w:rPr>
  </w:style>
  <w:style w:type="character" w:customStyle="1" w:styleId="ListLabel19">
    <w:name w:val="ListLabel 19"/>
    <w:rPr>
      <w:sz w:val="20"/>
    </w:rPr>
  </w:style>
  <w:style w:type="character" w:customStyle="1" w:styleId="ListLabel20">
    <w:name w:val="ListLabel 20"/>
    <w:rPr>
      <w:sz w:val="20"/>
    </w:rPr>
  </w:style>
  <w:style w:type="character" w:customStyle="1" w:styleId="ListLabel21">
    <w:name w:val="ListLabel 21"/>
    <w:rPr>
      <w:sz w:val="20"/>
    </w:rPr>
  </w:style>
  <w:style w:type="character" w:customStyle="1" w:styleId="ListLabel22">
    <w:name w:val="ListLabel 22"/>
    <w:rPr>
      <w:sz w:val="20"/>
    </w:rPr>
  </w:style>
  <w:style w:type="character" w:customStyle="1" w:styleId="ListLabel23">
    <w:name w:val="ListLabel 23"/>
    <w:rPr>
      <w:rFonts w:ascii="Calibri" w:hAnsi="Calibri"/>
      <w:sz w:val="22"/>
    </w:rPr>
  </w:style>
  <w:style w:type="character" w:customStyle="1" w:styleId="ListLabel24">
    <w:name w:val="ListLabel 24"/>
    <w:rPr>
      <w:rFonts w:ascii="Calibri" w:hAnsi="Calibri"/>
      <w:sz w:val="22"/>
    </w:rPr>
  </w:style>
  <w:style w:type="character" w:customStyle="1" w:styleId="ListLabel25">
    <w:name w:val="ListLabel 25"/>
    <w:rPr>
      <w:rFonts w:ascii="Calibri" w:hAnsi="Calibri"/>
      <w:sz w:val="22"/>
    </w:rPr>
  </w:style>
  <w:style w:type="character" w:customStyle="1" w:styleId="ListLabel26">
    <w:name w:val="ListLabel 26"/>
    <w:rPr>
      <w:rFonts w:ascii="Calibri" w:hAnsi="Calibri"/>
      <w:sz w:val="22"/>
    </w:rPr>
  </w:style>
  <w:style w:type="character" w:customStyle="1" w:styleId="ListLabel27">
    <w:name w:val="ListLabel 27"/>
    <w:rPr>
      <w:sz w:val="20"/>
    </w:rPr>
  </w:style>
  <w:style w:type="character" w:customStyle="1" w:styleId="ListLabel28">
    <w:name w:val="ListLabel 28"/>
    <w:rPr>
      <w:sz w:val="20"/>
    </w:rPr>
  </w:style>
  <w:style w:type="character" w:customStyle="1" w:styleId="ListLabel29">
    <w:name w:val="ListLabel 29"/>
    <w:rPr>
      <w:sz w:val="20"/>
    </w:rPr>
  </w:style>
  <w:style w:type="character" w:customStyle="1" w:styleId="ListLabel30">
    <w:name w:val="ListLabel 30"/>
    <w:rPr>
      <w:sz w:val="20"/>
    </w:rPr>
  </w:style>
  <w:style w:type="character" w:customStyle="1" w:styleId="ListLabel31">
    <w:name w:val="ListLabel 31"/>
    <w:rPr>
      <w:sz w:val="20"/>
    </w:rPr>
  </w:style>
  <w:style w:type="character" w:customStyle="1" w:styleId="ListLabel32">
    <w:name w:val="ListLabel 32"/>
    <w:rPr>
      <w:sz w:val="20"/>
    </w:rPr>
  </w:style>
  <w:style w:type="character" w:customStyle="1" w:styleId="ListLabel33">
    <w:name w:val="ListLabel 33"/>
    <w:rPr>
      <w:sz w:val="20"/>
    </w:rPr>
  </w:style>
  <w:style w:type="character" w:customStyle="1" w:styleId="ListLabel34">
    <w:name w:val="ListLabel 34"/>
    <w:rPr>
      <w:sz w:val="20"/>
    </w:rPr>
  </w:style>
  <w:style w:type="character" w:customStyle="1" w:styleId="ListLabel35">
    <w:name w:val="ListLabel 35"/>
    <w:rPr>
      <w:sz w:val="20"/>
    </w:rPr>
  </w:style>
  <w:style w:type="character" w:customStyle="1" w:styleId="ListLabel36">
    <w:name w:val="ListLabel 36"/>
    <w:rPr>
      <w:sz w:val="20"/>
    </w:rPr>
  </w:style>
  <w:style w:type="character" w:customStyle="1" w:styleId="ListLabel37">
    <w:name w:val="ListLabel 37"/>
    <w:rPr>
      <w:sz w:val="20"/>
    </w:rPr>
  </w:style>
  <w:style w:type="character" w:customStyle="1" w:styleId="ListLabel38">
    <w:name w:val="ListLabel 38"/>
    <w:rPr>
      <w:sz w:val="20"/>
    </w:rPr>
  </w:style>
  <w:style w:type="character" w:customStyle="1" w:styleId="ListLabel39">
    <w:name w:val="ListLabel 39"/>
    <w:rPr>
      <w:sz w:val="20"/>
    </w:rPr>
  </w:style>
  <w:style w:type="character" w:customStyle="1" w:styleId="ListLabel40">
    <w:name w:val="ListLabel 40"/>
    <w:rPr>
      <w:sz w:val="20"/>
    </w:rPr>
  </w:style>
  <w:style w:type="character" w:customStyle="1" w:styleId="ListLabel41">
    <w:name w:val="ListLabel 41"/>
    <w:rPr>
      <w:sz w:val="20"/>
    </w:rPr>
  </w:style>
  <w:style w:type="character" w:customStyle="1" w:styleId="ListLabel42">
    <w:name w:val="ListLabel 42"/>
    <w:rPr>
      <w:sz w:val="20"/>
    </w:rPr>
  </w:style>
  <w:style w:type="character" w:customStyle="1" w:styleId="ListLabel43">
    <w:name w:val="ListLabel 43"/>
    <w:rPr>
      <w:sz w:val="20"/>
    </w:rPr>
  </w:style>
  <w:style w:type="character" w:customStyle="1" w:styleId="ListLabel44">
    <w:name w:val="ListLabel 44"/>
    <w:rPr>
      <w:sz w:val="20"/>
    </w:rPr>
  </w:style>
  <w:style w:type="character" w:customStyle="1" w:styleId="ListLabel45">
    <w:name w:val="ListLabel 45"/>
    <w:rPr>
      <w:sz w:val="20"/>
    </w:rPr>
  </w:style>
  <w:style w:type="character" w:customStyle="1" w:styleId="ListLabel46">
    <w:name w:val="ListLabel 46"/>
    <w:rPr>
      <w:sz w:val="20"/>
    </w:rPr>
  </w:style>
  <w:style w:type="character" w:customStyle="1" w:styleId="ListLabel47">
    <w:name w:val="ListLabel 47"/>
    <w:rPr>
      <w:sz w:val="20"/>
    </w:rPr>
  </w:style>
  <w:style w:type="character" w:customStyle="1" w:styleId="ListLabel48">
    <w:name w:val="ListLabel 48"/>
    <w:rPr>
      <w:sz w:val="20"/>
    </w:rPr>
  </w:style>
  <w:style w:type="character" w:customStyle="1" w:styleId="ListLabel49">
    <w:name w:val="ListLabel 49"/>
    <w:rPr>
      <w:sz w:val="20"/>
    </w:rPr>
  </w:style>
  <w:style w:type="character" w:customStyle="1" w:styleId="ListLabel50">
    <w:name w:val="ListLabel 50"/>
    <w:rPr>
      <w:rFonts w:ascii="Calibri" w:hAnsi="Calibri"/>
      <w:sz w:val="22"/>
    </w:rPr>
  </w:style>
  <w:style w:type="character" w:customStyle="1" w:styleId="ListLabel51">
    <w:name w:val="ListLabel 51"/>
    <w:rPr>
      <w:rFonts w:ascii="Calibri" w:hAnsi="Calibri"/>
      <w:sz w:val="22"/>
    </w:rPr>
  </w:style>
  <w:style w:type="character" w:customStyle="1" w:styleId="ListLabel52">
    <w:name w:val="ListLabel 52"/>
    <w:rPr>
      <w:rFonts w:ascii="Calibri" w:hAnsi="Calibri"/>
      <w:sz w:val="22"/>
    </w:rPr>
  </w:style>
  <w:style w:type="character" w:customStyle="1" w:styleId="ListLabel53">
    <w:name w:val="ListLabel 53"/>
    <w:rPr>
      <w:sz w:val="20"/>
    </w:rPr>
  </w:style>
  <w:style w:type="character" w:customStyle="1" w:styleId="ListLabel54">
    <w:name w:val="ListLabel 54"/>
    <w:rPr>
      <w:sz w:val="20"/>
    </w:rPr>
  </w:style>
  <w:style w:type="character" w:customStyle="1" w:styleId="ListLabel55">
    <w:name w:val="ListLabel 55"/>
    <w:rPr>
      <w:sz w:val="20"/>
    </w:rPr>
  </w:style>
  <w:style w:type="character" w:customStyle="1" w:styleId="ListLabel56">
    <w:name w:val="ListLabel 56"/>
    <w:rPr>
      <w:sz w:val="20"/>
    </w:rPr>
  </w:style>
  <w:style w:type="character" w:customStyle="1" w:styleId="ListLabel57">
    <w:name w:val="ListLabel 57"/>
    <w:rPr>
      <w:sz w:val="20"/>
    </w:rPr>
  </w:style>
  <w:style w:type="character" w:customStyle="1" w:styleId="ListLabel58">
    <w:name w:val="ListLabel 58"/>
    <w:rPr>
      <w:sz w:val="20"/>
    </w:rPr>
  </w:style>
  <w:style w:type="character" w:customStyle="1" w:styleId="ListLabel59">
    <w:name w:val="ListLabel 59"/>
    <w:rPr>
      <w:sz w:val="20"/>
    </w:rPr>
  </w:style>
  <w:style w:type="character" w:customStyle="1" w:styleId="ListLabel60">
    <w:name w:val="ListLabel 60"/>
    <w:rPr>
      <w:sz w:val="20"/>
    </w:rPr>
  </w:style>
  <w:style w:type="character" w:customStyle="1" w:styleId="ListLabel61">
    <w:name w:val="ListLabel 61"/>
    <w:rPr>
      <w:sz w:val="20"/>
    </w:rPr>
  </w:style>
  <w:style w:type="character" w:customStyle="1" w:styleId="ListLabel62">
    <w:name w:val="ListLabel 62"/>
    <w:rPr>
      <w:sz w:val="20"/>
    </w:rPr>
  </w:style>
  <w:style w:type="character" w:customStyle="1" w:styleId="ListLabel63">
    <w:name w:val="ListLabel 63"/>
    <w:rPr>
      <w:sz w:val="20"/>
    </w:rPr>
  </w:style>
  <w:style w:type="character" w:customStyle="1" w:styleId="ListLabel64">
    <w:name w:val="ListLabel 64"/>
    <w:rPr>
      <w:sz w:val="20"/>
    </w:rPr>
  </w:style>
  <w:style w:type="character" w:customStyle="1" w:styleId="ListLabel65">
    <w:name w:val="ListLabel 65"/>
    <w:rPr>
      <w:sz w:val="20"/>
    </w:rPr>
  </w:style>
  <w:style w:type="character" w:customStyle="1" w:styleId="ListLabel66">
    <w:name w:val="ListLabel 66"/>
    <w:rPr>
      <w:sz w:val="20"/>
    </w:rPr>
  </w:style>
  <w:style w:type="character" w:customStyle="1" w:styleId="ListLabel67">
    <w:name w:val="ListLabel 67"/>
    <w:rPr>
      <w:sz w:val="20"/>
    </w:rPr>
  </w:style>
  <w:style w:type="character" w:customStyle="1" w:styleId="ListLabel68">
    <w:name w:val="ListLabel 68"/>
    <w:rPr>
      <w:rFonts w:ascii="Calibri" w:hAnsi="Calibri"/>
      <w:sz w:val="22"/>
    </w:rPr>
  </w:style>
  <w:style w:type="character" w:customStyle="1" w:styleId="ListLabel69">
    <w:name w:val="ListLabel 69"/>
    <w:rPr>
      <w:sz w:val="20"/>
    </w:rPr>
  </w:style>
  <w:style w:type="character" w:customStyle="1" w:styleId="ListLabel70">
    <w:name w:val="ListLabel 70"/>
    <w:rPr>
      <w:sz w:val="20"/>
    </w:rPr>
  </w:style>
  <w:style w:type="character" w:customStyle="1" w:styleId="ListLabel71">
    <w:name w:val="ListLabel 71"/>
    <w:rPr>
      <w:sz w:val="20"/>
    </w:rPr>
  </w:style>
  <w:style w:type="character" w:customStyle="1" w:styleId="ListLabel72">
    <w:name w:val="ListLabel 72"/>
    <w:rPr>
      <w:sz w:val="20"/>
    </w:rPr>
  </w:style>
  <w:style w:type="character" w:customStyle="1" w:styleId="ListLabel73">
    <w:name w:val="ListLabel 73"/>
    <w:rPr>
      <w:sz w:val="20"/>
    </w:rPr>
  </w:style>
  <w:style w:type="character" w:customStyle="1" w:styleId="ListLabel74">
    <w:name w:val="ListLabel 74"/>
    <w:rPr>
      <w:sz w:val="20"/>
    </w:rPr>
  </w:style>
  <w:style w:type="character" w:customStyle="1" w:styleId="ListLabel75">
    <w:name w:val="ListLabel 75"/>
    <w:rPr>
      <w:sz w:val="20"/>
    </w:rPr>
  </w:style>
  <w:style w:type="character" w:customStyle="1" w:styleId="ListLabel76">
    <w:name w:val="ListLabel 76"/>
    <w:rPr>
      <w:sz w:val="20"/>
    </w:rPr>
  </w:style>
  <w:style w:type="character" w:customStyle="1" w:styleId="ListLabel77">
    <w:name w:val="ListLabel 77"/>
    <w:rPr>
      <w:rFonts w:cs="Courier New"/>
    </w:rPr>
  </w:style>
  <w:style w:type="character" w:customStyle="1" w:styleId="ListLabel78">
    <w:name w:val="ListLabel 78"/>
    <w:rPr>
      <w:rFonts w:cs="Courier New"/>
    </w:rPr>
  </w:style>
  <w:style w:type="character" w:styleId="LineNumber">
    <w:name w:val="line numbe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Liberation Sans" w:eastAsia="Droid Sans Fallback" w:hAnsi="Liberation Sans" w:cs="Droid Sans Devanagari"/>
      <w:sz w:val="28"/>
      <w:szCs w:val="28"/>
    </w:rPr>
  </w:style>
  <w:style w:type="paragraph" w:styleId="BodyText">
    <w:name w:val="Body Text"/>
    <w:basedOn w:val="Normal"/>
    <w:pPr>
      <w:suppressAutoHyphens w:val="0"/>
      <w:spacing w:before="180" w:after="180" w:line="240" w:lineRule="auto"/>
      <w:textAlignment w:val="auto"/>
    </w:pPr>
    <w:rPr>
      <w:sz w:val="24"/>
      <w:szCs w:val="24"/>
    </w:rPr>
  </w:style>
  <w:style w:type="paragraph" w:styleId="List">
    <w:name w:val="List"/>
    <w:basedOn w:val="BodyText"/>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customStyle="1" w:styleId="Index">
    <w:name w:val="Index"/>
    <w:basedOn w:val="Normal"/>
    <w:pPr>
      <w:suppressLineNumbers/>
    </w:pPr>
    <w:rPr>
      <w:rFonts w:cs="Droid Sans Devanagari"/>
    </w:rPr>
  </w:style>
  <w:style w:type="paragraph" w:styleId="Header">
    <w:name w:val="header"/>
    <w:basedOn w:val="Normal"/>
    <w:pPr>
      <w:suppressLineNumbers/>
      <w:tabs>
        <w:tab w:val="center" w:pos="4819"/>
        <w:tab w:val="right" w:pos="9638"/>
      </w:tabs>
      <w:spacing w:after="200" w:line="276" w:lineRule="auto"/>
      <w:textAlignment w:val="auto"/>
    </w:pPr>
    <w:rPr>
      <w:rFonts w:eastAsia="Droid Sans Fallback" w:cs="Mangal"/>
      <w:color w:val="00000A"/>
      <w:sz w:val="24"/>
      <w:szCs w:val="21"/>
      <w:lang w:eastAsia="zh-CN" w:bidi="hi-IN"/>
    </w:rPr>
  </w:style>
  <w:style w:type="paragraph" w:styleId="Footer">
    <w:name w:val="footer"/>
    <w:basedOn w:val="Normal"/>
    <w:pPr>
      <w:suppressLineNumbers/>
      <w:tabs>
        <w:tab w:val="center" w:pos="4819"/>
        <w:tab w:val="right" w:pos="9638"/>
      </w:tabs>
      <w:spacing w:line="240" w:lineRule="auto"/>
    </w:pPr>
  </w:style>
  <w:style w:type="paragraph" w:styleId="ListParagraph">
    <w:name w:val="List Paragraph"/>
    <w:basedOn w:val="Normal"/>
    <w:qFormat/>
    <w:pPr>
      <w:spacing w:after="160"/>
      <w:ind w:left="720"/>
      <w:contextualSpacing/>
    </w:pPr>
  </w:style>
  <w:style w:type="paragraph" w:customStyle="1" w:styleId="CommentText1">
    <w:name w:val="Comment Text1"/>
    <w:basedOn w:val="Normal"/>
    <w:pPr>
      <w:spacing w:line="240" w:lineRule="auto"/>
    </w:pPr>
    <w:rPr>
      <w:sz w:val="20"/>
      <w:szCs w:val="20"/>
    </w:rPr>
  </w:style>
  <w:style w:type="paragraph" w:customStyle="1" w:styleId="CommentSubject1">
    <w:name w:val="Comment Subject1"/>
    <w:basedOn w:val="CommentText1"/>
    <w:rPr>
      <w:b/>
      <w:bCs/>
    </w:rPr>
  </w:style>
  <w:style w:type="paragraph" w:styleId="BalloonText">
    <w:name w:val="Balloon Text"/>
    <w:basedOn w:val="Normal"/>
    <w:pPr>
      <w:spacing w:line="240" w:lineRule="auto"/>
    </w:pPr>
    <w:rPr>
      <w:rFonts w:ascii="Segoe UI" w:hAnsi="Segoe UI" w:cs="Segoe UI"/>
      <w:sz w:val="18"/>
      <w:szCs w:val="18"/>
    </w:rPr>
  </w:style>
  <w:style w:type="paragraph" w:styleId="NormalWeb">
    <w:name w:val="Normal (Web)"/>
    <w:basedOn w:val="Normal"/>
    <w:pPr>
      <w:suppressAutoHyphens w:val="0"/>
      <w:spacing w:before="280" w:after="280" w:line="240" w:lineRule="auto"/>
      <w:textAlignment w:val="auto"/>
    </w:pPr>
    <w:rPr>
      <w:rFonts w:ascii="Times New Roman" w:eastAsia="Times New Roman" w:hAnsi="Times New Roman"/>
      <w:sz w:val="24"/>
      <w:szCs w:val="24"/>
      <w:lang w:eastAsia="fi-FI"/>
    </w:rPr>
  </w:style>
  <w:style w:type="paragraph" w:customStyle="1" w:styleId="Caption1">
    <w:name w:val="Caption1"/>
    <w:basedOn w:val="Normal"/>
    <w:next w:val="Normal"/>
    <w:pPr>
      <w:spacing w:after="200" w:line="240" w:lineRule="auto"/>
    </w:pPr>
    <w:rPr>
      <w:b/>
      <w:iCs/>
      <w:sz w:val="18"/>
      <w:szCs w:val="18"/>
    </w:r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BodyText"/>
    <w:qFormat/>
    <w:pPr>
      <w:keepNext/>
      <w:keepLines/>
      <w:suppressAutoHyphens w:val="0"/>
      <w:spacing w:before="480" w:after="240" w:line="240" w:lineRule="auto"/>
      <w:jc w:val="center"/>
      <w:textAlignment w:val="auto"/>
    </w:pPr>
    <w:rPr>
      <w:rFonts w:ascii="Calibri Light" w:hAnsi="Calibri Light"/>
      <w:b/>
      <w:bCs/>
      <w:color w:val="2C6EAB"/>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pPr>
      <w:keepNext/>
      <w:keepLines/>
      <w:suppressAutoHyphens/>
      <w:spacing w:after="200"/>
      <w:jc w:val="center"/>
    </w:pPr>
    <w:rPr>
      <w:rFonts w:ascii="Calibri" w:eastAsia="Calibri" w:hAnsi="Calibri"/>
      <w:kern w:val="1"/>
      <w:sz w:val="24"/>
      <w:szCs w:val="24"/>
    </w:rPr>
  </w:style>
  <w:style w:type="paragraph" w:styleId="Date">
    <w:name w:val="Date"/>
    <w:next w:val="BodyText"/>
    <w:pPr>
      <w:keepNext/>
      <w:keepLines/>
      <w:suppressAutoHyphens/>
      <w:spacing w:after="200"/>
      <w:jc w:val="center"/>
    </w:pPr>
    <w:rPr>
      <w:rFonts w:ascii="Calibri" w:eastAsia="Calibri" w:hAnsi="Calibri"/>
      <w:kern w:val="1"/>
      <w:sz w:val="24"/>
      <w:szCs w:val="24"/>
    </w:rPr>
  </w:style>
  <w:style w:type="paragraph" w:customStyle="1" w:styleId="Abstract">
    <w:name w:val="Abstract"/>
    <w:basedOn w:val="Normal"/>
    <w:next w:val="BodyText"/>
    <w:pPr>
      <w:keepNext/>
      <w:keepLines/>
      <w:suppressAutoHyphens w:val="0"/>
      <w:spacing w:before="300" w:after="300" w:line="240" w:lineRule="auto"/>
      <w:textAlignment w:val="auto"/>
    </w:pPr>
    <w:rPr>
      <w:sz w:val="20"/>
      <w:szCs w:val="20"/>
    </w:rPr>
  </w:style>
  <w:style w:type="paragraph" w:styleId="Bibliography">
    <w:name w:val="Bibliography"/>
    <w:basedOn w:val="Normal"/>
    <w:pPr>
      <w:suppressAutoHyphens w:val="0"/>
      <w:spacing w:after="200" w:line="240" w:lineRule="auto"/>
      <w:textAlignment w:val="auto"/>
    </w:pPr>
    <w:rPr>
      <w:sz w:val="24"/>
      <w:szCs w:val="24"/>
    </w:rPr>
  </w:style>
  <w:style w:type="paragraph" w:styleId="BlockText">
    <w:name w:val="Block Text"/>
    <w:basedOn w:val="BodyText"/>
    <w:next w:val="BodyText"/>
    <w:pPr>
      <w:spacing w:before="100" w:after="100"/>
    </w:pPr>
    <w:rPr>
      <w:rFonts w:ascii="Calibri Light" w:hAnsi="Calibri Light"/>
      <w:bCs/>
      <w:sz w:val="20"/>
      <w:szCs w:val="20"/>
    </w:rPr>
  </w:style>
  <w:style w:type="paragraph" w:customStyle="1" w:styleId="FootnoteText1">
    <w:name w:val="Footnote Text1"/>
    <w:basedOn w:val="Normal"/>
    <w:pPr>
      <w:suppressAutoHyphens w:val="0"/>
      <w:spacing w:after="200" w:line="240" w:lineRule="auto"/>
      <w:textAlignment w:val="auto"/>
    </w:pPr>
    <w:rPr>
      <w:sz w:val="24"/>
      <w:szCs w:val="24"/>
    </w:rPr>
  </w:style>
  <w:style w:type="paragraph" w:customStyle="1" w:styleId="DefinitionTerm">
    <w:name w:val="Definition Term"/>
    <w:basedOn w:val="Normal"/>
    <w:pPr>
      <w:keepNext/>
      <w:keepLines/>
      <w:suppressAutoHyphens w:val="0"/>
      <w:spacing w:line="240" w:lineRule="auto"/>
      <w:textAlignment w:val="auto"/>
    </w:pPr>
    <w:rPr>
      <w:b/>
      <w:sz w:val="24"/>
      <w:szCs w:val="24"/>
    </w:rPr>
  </w:style>
  <w:style w:type="paragraph" w:customStyle="1" w:styleId="Definition">
    <w:name w:val="Definition"/>
    <w:basedOn w:val="Normal"/>
    <w:pPr>
      <w:suppressAutoHyphens w:val="0"/>
      <w:spacing w:after="200" w:line="240" w:lineRule="auto"/>
      <w:textAlignment w:val="auto"/>
    </w:pPr>
    <w:rPr>
      <w:sz w:val="24"/>
      <w:szCs w:val="24"/>
    </w:rPr>
  </w:style>
  <w:style w:type="paragraph" w:customStyle="1" w:styleId="TableCaption">
    <w:name w:val="Table Caption"/>
    <w:basedOn w:val="Caption1"/>
    <w:pPr>
      <w:keepNext/>
      <w:suppressAutoHyphens w:val="0"/>
      <w:spacing w:after="120"/>
      <w:textAlignment w:val="auto"/>
    </w:pPr>
    <w:rPr>
      <w:b w:val="0"/>
      <w:i/>
      <w:iCs w:val="0"/>
      <w:sz w:val="24"/>
      <w:szCs w:val="24"/>
    </w:rPr>
  </w:style>
  <w:style w:type="paragraph" w:customStyle="1" w:styleId="ImageCaption">
    <w:name w:val="Image Caption"/>
    <w:basedOn w:val="Caption1"/>
    <w:pPr>
      <w:suppressAutoHyphens w:val="0"/>
      <w:spacing w:after="120"/>
      <w:textAlignment w:val="auto"/>
    </w:pPr>
    <w:rPr>
      <w:b w:val="0"/>
      <w:i/>
      <w:iCs w:val="0"/>
      <w:sz w:val="24"/>
      <w:szCs w:val="24"/>
    </w:rPr>
  </w:style>
  <w:style w:type="paragraph" w:customStyle="1" w:styleId="Figure">
    <w:name w:val="Figure"/>
    <w:basedOn w:val="Normal"/>
    <w:pPr>
      <w:suppressAutoHyphens w:val="0"/>
      <w:spacing w:after="200"/>
      <w:textAlignment w:val="auto"/>
    </w:pPr>
    <w:rPr>
      <w:sz w:val="24"/>
      <w:szCs w:val="24"/>
    </w:rPr>
  </w:style>
  <w:style w:type="paragraph" w:customStyle="1" w:styleId="FigurewithCaption">
    <w:name w:val="Figure with Caption"/>
    <w:basedOn w:val="Figure"/>
    <w:pPr>
      <w:keepNext/>
    </w:pPr>
  </w:style>
  <w:style w:type="paragraph" w:styleId="TOCHeading">
    <w:name w:val="TOC Heading"/>
    <w:basedOn w:val="Heading1"/>
    <w:next w:val="BodyText"/>
    <w:qFormat/>
    <w:pPr>
      <w:keepNext/>
      <w:keepLines/>
      <w:suppressAutoHyphens w:val="0"/>
      <w:spacing w:before="240" w:line="259" w:lineRule="auto"/>
      <w:textAlignment w:val="auto"/>
    </w:pPr>
    <w:rPr>
      <w:rFonts w:ascii="Calibri Light" w:hAnsi="Calibri Light"/>
      <w:b w:val="0"/>
      <w:color w:val="2E74B5"/>
      <w:sz w:val="32"/>
      <w:szCs w:val="32"/>
    </w:rPr>
  </w:style>
  <w:style w:type="paragraph" w:customStyle="1" w:styleId="SourceCode">
    <w:name w:val="Source Code"/>
    <w:basedOn w:val="Normal"/>
    <w:pPr>
      <w:suppressAutoHyphens w:val="0"/>
      <w:spacing w:after="200" w:line="240" w:lineRule="auto"/>
      <w:textAlignment w:val="auto"/>
    </w:pPr>
    <w:rPr>
      <w:rFonts w:ascii="Consolas" w:hAnsi="Consolas"/>
      <w:b/>
      <w:iCs/>
      <w:szCs w:val="18"/>
    </w:rPr>
  </w:style>
  <w:style w:type="paragraph" w:customStyle="1" w:styleId="FrameContents">
    <w:name w:val="Frame Contents"/>
    <w:basedOn w:val="Normal"/>
  </w:style>
  <w:style w:type="paragraph" w:customStyle="1" w:styleId="TableContents">
    <w:name w:val="Table Contents"/>
    <w:basedOn w:val="Normal"/>
  </w:style>
  <w:style w:type="paragraph" w:customStyle="1" w:styleId="TableHeading">
    <w:name w:val="Table Heading"/>
    <w:basedOn w:val="TableContents"/>
  </w:style>
  <w:style w:type="paragraph" w:customStyle="1" w:styleId="Table">
    <w:name w:val="Table"/>
    <w:basedOn w:val="Caption"/>
  </w:style>
  <w:style w:type="paragraph" w:styleId="CommentText">
    <w:name w:val="annotation text"/>
    <w:basedOn w:val="Normal"/>
    <w:link w:val="CommentTextChar1"/>
    <w:uiPriority w:val="99"/>
    <w:semiHidden/>
    <w:unhideWhenUsed/>
    <w:pPr>
      <w:spacing w:line="240" w:lineRule="auto"/>
    </w:pPr>
    <w:rPr>
      <w:sz w:val="20"/>
      <w:szCs w:val="20"/>
    </w:rPr>
  </w:style>
  <w:style w:type="character" w:customStyle="1" w:styleId="CommentTextChar1">
    <w:name w:val="Comment Text Char1"/>
    <w:basedOn w:val="DefaultParagraphFont"/>
    <w:link w:val="CommentText"/>
    <w:uiPriority w:val="99"/>
    <w:semiHidden/>
    <w:rPr>
      <w:rFonts w:ascii="Calibri" w:eastAsia="Calibri" w:hAnsi="Calibri"/>
      <w:kern w:val="1"/>
    </w:rPr>
  </w:style>
  <w:style w:type="character" w:styleId="CommentReference">
    <w:name w:val="annotation reference"/>
    <w:basedOn w:val="DefaultParagraphFont"/>
    <w:uiPriority w:val="99"/>
    <w:semiHidden/>
    <w:unhideWhenUsed/>
    <w:rPr>
      <w:sz w:val="16"/>
      <w:szCs w:val="16"/>
    </w:rPr>
  </w:style>
  <w:style w:type="character" w:styleId="PlaceholderText">
    <w:name w:val="Placeholder Text"/>
    <w:basedOn w:val="DefaultParagraphFont"/>
    <w:uiPriority w:val="99"/>
    <w:semiHidden/>
    <w:rsid w:val="00DB21C5"/>
    <w:rPr>
      <w:color w:val="808080"/>
    </w:rPr>
  </w:style>
  <w:style w:type="paragraph" w:styleId="CommentSubject">
    <w:name w:val="annotation subject"/>
    <w:basedOn w:val="CommentText"/>
    <w:next w:val="CommentText"/>
    <w:link w:val="CommentSubjectChar1"/>
    <w:uiPriority w:val="99"/>
    <w:semiHidden/>
    <w:unhideWhenUsed/>
    <w:rsid w:val="00737A36"/>
    <w:rPr>
      <w:b/>
      <w:bCs/>
    </w:rPr>
  </w:style>
  <w:style w:type="character" w:customStyle="1" w:styleId="CommentSubjectChar1">
    <w:name w:val="Comment Subject Char1"/>
    <w:basedOn w:val="CommentTextChar1"/>
    <w:link w:val="CommentSubject"/>
    <w:uiPriority w:val="99"/>
    <w:semiHidden/>
    <w:rsid w:val="00737A36"/>
    <w:rPr>
      <w:rFonts w:ascii="Calibri" w:eastAsia="Calibri" w:hAnsi="Calibri"/>
      <w:b/>
      <w:bCs/>
      <w:kern w:val="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6B57D-4D81-4878-8B5D-09E2DBC52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2096</TotalTime>
  <Pages>7</Pages>
  <Words>1099</Words>
  <Characters>6269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jlehtoma</dc:creator>
  <cp:keywords/>
  <dc:description/>
  <cp:lastModifiedBy>Joona Lehtomäki</cp:lastModifiedBy>
  <cp:revision>100</cp:revision>
  <cp:lastPrinted>1899-12-31T23:00:00Z</cp:lastPrinted>
  <dcterms:created xsi:type="dcterms:W3CDTF">2017-03-23T10:21:00Z</dcterms:created>
  <dcterms:modified xsi:type="dcterms:W3CDTF">2017-04-03T16:00:00Z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efc8b2dd-1590-3324-90bf-7a08f443b943</vt:lpwstr>
  </property>
  <property fmtid="{D5CDD505-2E9C-101B-9397-08002B2CF9AE}" pid="4" name="Mendeley Citation Style_1">
    <vt:lpwstr>http://www.zotero.org/styles/biodiversity-and-conservation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http://www.zotero.org/styles/biodiversity-and-conservation</vt:lpwstr>
  </property>
  <property fmtid="{D5CDD505-2E9C-101B-9397-08002B2CF9AE}" pid="14" name="Mendeley Recent Style Name 4_1">
    <vt:lpwstr>Biodiversity and Conservation</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16th edition (author-date)</vt:lpwstr>
  </property>
  <property fmtid="{D5CDD505-2E9C-101B-9397-08002B2CF9AE}" pid="17" name="Mendeley Recent Style Id 6_1">
    <vt:lpwstr>http://www.zotero.org/styles/diversity-and-distributions</vt:lpwstr>
  </property>
  <property fmtid="{D5CDD505-2E9C-101B-9397-08002B2CF9AE}" pid="18" name="Mendeley Recent Style Name 6_1">
    <vt:lpwstr>Diversity and Distributions</vt:lpwstr>
  </property>
  <property fmtid="{D5CDD505-2E9C-101B-9397-08002B2CF9AE}" pid="19" name="Mendeley Recent Style Id 7_1">
    <vt:lpwstr>http://www.zotero.org/styles/harvard1</vt:lpwstr>
  </property>
  <property fmtid="{D5CDD505-2E9C-101B-9397-08002B2CF9AE}" pid="20" name="Mendeley Recent Style Name 7_1">
    <vt:lpwstr>Harvard Reference format 1 (author-date)</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http://www.zotero.org/styles/modern-humanities-research-association</vt:lpwstr>
  </property>
  <property fmtid="{D5CDD505-2E9C-101B-9397-08002B2CF9AE}" pid="24" name="Mendeley Recent Style Name 9_1">
    <vt:lpwstr>Modern Humanities Research Association 3rd edition (note with bibliography)</vt:lpwstr>
  </property>
</Properties>
</file>