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4607"/>
            </w:pPr>
          </w:p>
          <w:p>
            <w:pPr>
              <w:spacing w:after="80" w:line="920" w:lineRule="atLeast"/>
              <w:ind w:left="1200"/>
            </w:pPr>
            <w:r>
              <w:rPr>
                <w:rFonts w:ascii="Calibri"/>
                <w:b/>
                <w:bCs/>
                <w:color w:val="FFFFFF"/>
                <w:sz w:val="80"/>
                <w:szCs w:val="80"/>
              </w:rPr>
              <w:t xml:space="preserve">AI Analyzer</w:t>
            </w:r>
          </w:p>
          <w:p>
            <w:pPr>
              <w:spacing w:after="80" w:line="920" w:lineRule="atLeast"/>
              <w:ind w:left="1200"/>
            </w:pPr>
            <w:r>
              <w:rPr>
                <w:rFonts w:ascii="Calibri"/>
                <w:b/>
                <w:bCs/>
                <w:color w:val="FFFFFF"/>
                <w:sz w:val="80"/>
                <w:szCs w:val="80"/>
              </w:rPr>
              <w:t xml:space="preserve">v2.0</w:t>
            </w:r>
          </w:p>
          <w:p>
            <w:pPr>
              <w:spacing w:after="120" w:before="200" w:line="312"/>
              <w:ind w:left="1200"/>
            </w:pPr>
            <w:r>
              <w:rPr>
                <w:rFonts w:ascii="Calibri"/>
                <w:color w:val="B0B8C0"/>
                <w:sz w:val="24"/>
                <w:szCs w:val="24"/>
              </w:rPr>
              <w:t xml:space="preserve">Architectural Blueprint of a Local AI Trading Terminal</w:t>
            </w:r>
          </w:p>
          <w:p>
            <w:pPr>
              <w:spacing w:before="3455"/>
            </w:pPr>
          </w:p>
          <w:p>
            <w:pPr>
              <w:pBdr>
                <w:bottom w:val="single" w:color="37DCF2" w:sz="6" w:space="12"/>
              </w:pBdr>
              <w:spacing w:after="120"/>
              <w:ind w:left="1200" w:right="8000"/>
            </w:pPr>
          </w:p>
          <w:p>
            <w:pPr>
              <w:spacing w:after="60" w:line="312"/>
              <w:ind w:left="1200"/>
            </w:pPr>
            <w:r>
              <w:rPr>
                <w:rFonts w:ascii="Calibri"/>
                <w:color w:val="90989F"/>
                <w:sz w:val="20"/>
                <w:szCs w:val="20"/>
              </w:rPr>
              <w:t xml:space="preserve">Stack: Flutter + FastAPI + Ollama + SQLite</w:t>
            </w:r>
          </w:p>
          <w:p>
            <w:pPr>
              <w:spacing w:after="60" w:line="312"/>
              <w:ind w:left="1200"/>
            </w:pPr>
            <w:r>
              <w:rPr>
                <w:rFonts w:ascii="Calibri"/>
                <w:color w:val="90989F"/>
                <w:sz w:val="20"/>
                <w:szCs w:val="20"/>
              </w:rPr>
              <w:t xml:space="preserve">Windows + Android | Fully Offline</w:t>
            </w:r>
          </w:p>
          <w:p>
            <w:pPr>
              <w:spacing w:after="60" w:line="312"/>
              <w:ind w:left="1200"/>
            </w:pPr>
            <w:r>
              <w:rPr>
                <w:rFonts w:ascii="Calibri"/>
                <w:color w:val="90989F"/>
                <w:sz w:val="20"/>
                <w:szCs w:val="20"/>
              </w:rPr>
              <w:t xml:space="preserve">2025</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Microsoft YaHei"/>
          <w:b/>
          <w:bCs/>
          <w:sz w:val="32"/>
          <w:szCs w:val="32"/>
        </w:rPr>
        <w:t xml:space="preserve">Содержание</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System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Three-Layer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Data Flow (v2.0)</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Expert Agent System (P1)</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Technology Stack</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Project Structure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5. Code Examples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5.1 JSON Output Schema (P0)</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5.2 Streaming Ollama Client (P0)</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5.3 SHA256 Cache Engine (P0)</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5.4 Multi-Model Consensus (P1)</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5.5 FastAPI Endpoint with Streaming (P0)</w:t>
            </w:r>
            <w:r>
              <w:tab/>
            </w:r>
            <w:r>
              <w:fldChar w:fldCharType="begin"/>
            </w:r>
            <w:r>
              <w:instrText xml:space="preserve"> PAGEREF _Toc100012 \h </w:instrText>
            </w:r>
            <w:r>
              <w:fldChar w:fldCharType="separate"/>
            </w:r>
            <w:r>
              <w:t>12</w:t>
            </w:r>
            <w:r>
              <w:fldChar w:fldCharType="end"/>
            </w:r>
          </w:hyperlink>
        </w:p>
        <w:p>
          <w:pPr>
            <w:pStyle w:val="9"/>
            <w:tabs>
              <w:tab w:val="right" w:leader="dot" w:pos="9026"/>
            </w:tabs>
            <w:spacing w:before="120" w:after="60"/>
          </w:pPr>
          <w:hyperlink w:anchor="_Toc100013" w:history="1">
            <w:r>
              <w:rPr>
                <w:rStyle w:val="Hyperlink"/>
              </w:rPr>
              <w:t>6. P0 - MVP Improvements</w:t>
            </w:r>
            <w:r>
              <w:tab/>
            </w:r>
            <w:r>
              <w:fldChar w:fldCharType="begin"/>
            </w:r>
            <w:r>
              <w:instrText xml:space="preserve"> PAGEREF _Toc100013 \h </w:instrText>
            </w:r>
            <w:r>
              <w:fldChar w:fldCharType="separate"/>
            </w:r>
            <w:r>
              <w:t>15</w:t>
            </w:r>
            <w:r>
              <w:fldChar w:fldCharType="end"/>
            </w:r>
          </w:hyperlink>
        </w:p>
        <w:p>
          <w:pPr>
            <w:pStyle w:val="11"/>
            <w:ind w:left="360"/>
            <w:tabs>
              <w:tab w:val="right" w:leader="dot" w:pos="9026"/>
            </w:tabs>
            <w:spacing w:before="120" w:after="60"/>
          </w:pPr>
          <w:hyperlink w:anchor="_Toc100014" w:history="1">
            <w:r>
              <w:rPr>
                <w:rStyle w:val="Hyperlink"/>
              </w:rPr>
              <w:t>6.1 Strict JSON Output Schema</w:t>
            </w:r>
            <w:r>
              <w:tab/>
            </w:r>
            <w:r>
              <w:fldChar w:fldCharType="begin"/>
            </w:r>
            <w:r>
              <w:instrText xml:space="preserve"> PAGEREF _Toc100014 \h </w:instrText>
            </w:r>
            <w:r>
              <w:fldChar w:fldCharType="separate"/>
            </w:r>
            <w:r>
              <w:t>15</w:t>
            </w:r>
            <w:r>
              <w:fldChar w:fldCharType="end"/>
            </w:r>
          </w:hyperlink>
        </w:p>
        <w:p>
          <w:pPr>
            <w:pStyle w:val="11"/>
            <w:ind w:left="360"/>
            <w:tabs>
              <w:tab w:val="right" w:leader="dot" w:pos="9026"/>
            </w:tabs>
            <w:spacing w:before="120" w:after="60"/>
          </w:pPr>
          <w:hyperlink w:anchor="_Toc100015" w:history="1">
            <w:r>
              <w:rPr>
                <w:rStyle w:val="Hyperlink"/>
              </w:rPr>
              <w:t>6.2 Confidence Score</w:t>
            </w:r>
            <w:r>
              <w:tab/>
            </w:r>
            <w:r>
              <w:fldChar w:fldCharType="begin"/>
            </w:r>
            <w:r>
              <w:instrText xml:space="preserve"> PAGEREF _Toc100015 \h </w:instrText>
            </w:r>
            <w:r>
              <w:fldChar w:fldCharType="separate"/>
            </w:r>
            <w:r>
              <w:t>16</w:t>
            </w:r>
            <w:r>
              <w:fldChar w:fldCharType="end"/>
            </w:r>
          </w:hyperlink>
        </w:p>
        <w:p>
          <w:pPr>
            <w:pStyle w:val="11"/>
            <w:ind w:left="360"/>
            <w:tabs>
              <w:tab w:val="right" w:leader="dot" w:pos="9026"/>
            </w:tabs>
            <w:spacing w:before="120" w:after="60"/>
          </w:pPr>
          <w:hyperlink w:anchor="_Toc100016" w:history="1">
            <w:r>
              <w:rPr>
                <w:rStyle w:val="Hyperlink"/>
              </w:rPr>
              <w:t>6.3 Local Cache Engine</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6.4 Streaming Output</w:t>
            </w:r>
            <w:r>
              <w:tab/>
            </w:r>
            <w:r>
              <w:fldChar w:fldCharType="begin"/>
            </w:r>
            <w:r>
              <w:instrText xml:space="preserve"> PAGEREF _Toc100017 \h </w:instrText>
            </w:r>
            <w:r>
              <w:fldChar w:fldCharType="separate"/>
            </w:r>
            <w:r>
              <w:t>16</w:t>
            </w:r>
            <w:r>
              <w:fldChar w:fldCharType="end"/>
            </w:r>
          </w:hyperlink>
        </w:p>
        <w:p>
          <w:pPr>
            <w:pStyle w:val="9"/>
            <w:tabs>
              <w:tab w:val="right" w:leader="dot" w:pos="9026"/>
            </w:tabs>
            <w:spacing w:before="120" w:after="60"/>
          </w:pPr>
          <w:hyperlink w:anchor="_Toc100018" w:history="1">
            <w:r>
              <w:rPr>
                <w:rStyle w:val="Hyperlink"/>
              </w:rPr>
              <w:t>7. P1 - Professional Trading Features</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7.1 Signal Quality Assessment</w:t>
            </w:r>
            <w:r>
              <w:tab/>
            </w:r>
            <w:r>
              <w:fldChar w:fldCharType="begin"/>
            </w:r>
            <w:r>
              <w:instrText xml:space="preserve"> PAGEREF _Toc100019 \h </w:instrText>
            </w:r>
            <w:r>
              <w:fldChar w:fldCharType="separate"/>
            </w:r>
            <w:r>
              <w:t>17</w:t>
            </w:r>
            <w:r>
              <w:fldChar w:fldCharType="end"/>
            </w:r>
          </w:hyperlink>
        </w:p>
        <w:p>
          <w:pPr>
            <w:pStyle w:val="11"/>
            <w:ind w:left="360"/>
            <w:tabs>
              <w:tab w:val="right" w:leader="dot" w:pos="9026"/>
            </w:tabs>
            <w:spacing w:before="120" w:after="60"/>
          </w:pPr>
          <w:hyperlink w:anchor="_Toc100020" w:history="1">
            <w:r>
              <w:rPr>
                <w:rStyle w:val="Hyperlink"/>
              </w:rPr>
              <w:t>7.2 Multi-Model Consensus</w:t>
            </w:r>
            <w:r>
              <w:tab/>
            </w:r>
            <w:r>
              <w:fldChar w:fldCharType="begin"/>
            </w:r>
            <w:r>
              <w:instrText xml:space="preserve"> PAGEREF _Toc100020 \h </w:instrText>
            </w:r>
            <w:r>
              <w:fldChar w:fldCharType="separate"/>
            </w:r>
            <w:r>
              <w:t>17</w:t>
            </w:r>
            <w:r>
              <w:fldChar w:fldCharType="end"/>
            </w:r>
          </w:hyperlink>
        </w:p>
        <w:p>
          <w:pPr>
            <w:pStyle w:val="11"/>
            <w:ind w:left="360"/>
            <w:tabs>
              <w:tab w:val="right" w:leader="dot" w:pos="9026"/>
            </w:tabs>
            <w:spacing w:before="120" w:after="60"/>
          </w:pPr>
          <w:hyperlink w:anchor="_Toc100021" w:history="1">
            <w:r>
              <w:rPr>
                <w:rStyle w:val="Hyperlink"/>
              </w:rPr>
              <w:t>7.3 Expert Agent Mode</w:t>
            </w:r>
            <w:r>
              <w:tab/>
            </w:r>
            <w:r>
              <w:fldChar w:fldCharType="begin"/>
            </w:r>
            <w:r>
              <w:instrText xml:space="preserve"> PAGEREF _Toc100021 \h </w:instrText>
            </w:r>
            <w:r>
              <w:fldChar w:fldCharType="separate"/>
            </w:r>
            <w:r>
              <w:t>18</w:t>
            </w:r>
            <w:r>
              <w:fldChar w:fldCharType="end"/>
            </w:r>
          </w:hyperlink>
        </w:p>
        <w:p>
          <w:pPr>
            <w:pStyle w:val="9"/>
            <w:tabs>
              <w:tab w:val="right" w:leader="dot" w:pos="9026"/>
            </w:tabs>
            <w:spacing w:before="120" w:after="60"/>
          </w:pPr>
          <w:hyperlink w:anchor="_Toc100022" w:history="1">
            <w:r>
              <w:rPr>
                <w:rStyle w:val="Hyperlink"/>
              </w:rPr>
              <w:t>8. P2 - Advanced Analysis Features</w:t>
            </w:r>
            <w:r>
              <w:tab/>
            </w:r>
            <w:r>
              <w:fldChar w:fldCharType="begin"/>
            </w:r>
            <w:r>
              <w:instrText xml:space="preserve"> PAGEREF _Toc100022 \h </w:instrText>
            </w:r>
            <w:r>
              <w:fldChar w:fldCharType="separate"/>
            </w:r>
            <w:r>
              <w:t>18</w:t>
            </w:r>
            <w:r>
              <w:fldChar w:fldCharType="end"/>
            </w:r>
          </w:hyperlink>
        </w:p>
        <w:p>
          <w:pPr>
            <w:pStyle w:val="11"/>
            <w:ind w:left="360"/>
            <w:tabs>
              <w:tab w:val="right" w:leader="dot" w:pos="9026"/>
            </w:tabs>
            <w:spacing w:before="120" w:after="60"/>
          </w:pPr>
          <w:hyperlink w:anchor="_Toc100023" w:history="1">
            <w:r>
              <w:rPr>
                <w:rStyle w:val="Hyperlink"/>
              </w:rPr>
              <w:t>8.1 Backtesting Engine</w:t>
            </w:r>
            <w:r>
              <w:tab/>
            </w:r>
            <w:r>
              <w:fldChar w:fldCharType="begin"/>
            </w:r>
            <w:r>
              <w:instrText xml:space="preserve"> PAGEREF _Toc100023 \h </w:instrText>
            </w:r>
            <w:r>
              <w:fldChar w:fldCharType="separate"/>
            </w:r>
            <w:r>
              <w:t>18</w:t>
            </w:r>
            <w:r>
              <w:fldChar w:fldCharType="end"/>
            </w:r>
          </w:hyperlink>
        </w:p>
        <w:p>
          <w:pPr>
            <w:pStyle w:val="11"/>
            <w:ind w:left="360"/>
            <w:tabs>
              <w:tab w:val="right" w:leader="dot" w:pos="9026"/>
            </w:tabs>
            <w:spacing w:before="120" w:after="60"/>
          </w:pPr>
          <w:hyperlink w:anchor="_Toc100024" w:history="1">
            <w:r>
              <w:rPr>
                <w:rStyle w:val="Hyperlink"/>
              </w:rPr>
              <w:t>8.2 Liquidation Visualization</w:t>
            </w:r>
            <w:r>
              <w:tab/>
            </w:r>
            <w:r>
              <w:fldChar w:fldCharType="begin"/>
            </w:r>
            <w:r>
              <w:instrText xml:space="preserve"> PAGEREF _Toc100024 \h </w:instrText>
            </w:r>
            <w:r>
              <w:fldChar w:fldCharType="separate"/>
            </w:r>
            <w:r>
              <w:t>19</w:t>
            </w:r>
            <w:r>
              <w:fldChar w:fldCharType="end"/>
            </w:r>
          </w:hyperlink>
        </w:p>
        <w:p>
          <w:pPr>
            <w:pStyle w:val="11"/>
            <w:ind w:left="360"/>
            <w:tabs>
              <w:tab w:val="right" w:leader="dot" w:pos="9026"/>
            </w:tabs>
            <w:spacing w:before="120" w:after="60"/>
          </w:pPr>
          <w:hyperlink w:anchor="_Toc100025" w:history="1">
            <w:r>
              <w:rPr>
                <w:rStyle w:val="Hyperlink"/>
              </w:rPr>
              <w:t>8.3 Order Flow Analysis</w:t>
            </w:r>
            <w:r>
              <w:tab/>
            </w:r>
            <w:r>
              <w:fldChar w:fldCharType="begin"/>
            </w:r>
            <w:r>
              <w:instrText xml:space="preserve"> PAGEREF _Toc100025 \h </w:instrText>
            </w:r>
            <w:r>
              <w:fldChar w:fldCharType="separate"/>
            </w:r>
            <w:r>
              <w:t>19</w:t>
            </w:r>
            <w:r>
              <w:fldChar w:fldCharType="end"/>
            </w:r>
          </w:hyperlink>
        </w:p>
        <w:p>
          <w:pPr>
            <w:pStyle w:val="9"/>
            <w:tabs>
              <w:tab w:val="right" w:leader="dot" w:pos="9026"/>
            </w:tabs>
            <w:spacing w:before="120" w:after="60"/>
          </w:pPr>
          <w:hyperlink w:anchor="_Toc100026" w:history="1">
            <w:r>
              <w:rPr>
                <w:rStyle w:val="Hyperlink"/>
              </w:rPr>
              <w:t>9. P3 - Future Vision</w:t>
            </w:r>
            <w:r>
              <w:tab/>
            </w:r>
            <w:r>
              <w:fldChar w:fldCharType="begin"/>
            </w:r>
            <w:r>
              <w:instrText xml:space="preserve"> PAGEREF _Toc100026 \h </w:instrText>
            </w:r>
            <w:r>
              <w:fldChar w:fldCharType="separate"/>
            </w:r>
            <w:r>
              <w:t>19</w:t>
            </w:r>
            <w:r>
              <w:fldChar w:fldCharType="end"/>
            </w:r>
          </w:hyperlink>
        </w:p>
        <w:p>
          <w:pPr>
            <w:pStyle w:val="11"/>
            <w:ind w:left="360"/>
            <w:tabs>
              <w:tab w:val="right" w:leader="dot" w:pos="9026"/>
            </w:tabs>
            <w:spacing w:before="120" w:after="60"/>
          </w:pPr>
          <w:hyperlink w:anchor="_Toc100027" w:history="1">
            <w:r>
              <w:rPr>
                <w:rStyle w:val="Hyperlink"/>
              </w:rPr>
              <w:t>9.1 Local RAG Knowledge Base</w:t>
            </w:r>
            <w:r>
              <w:tab/>
            </w:r>
            <w:r>
              <w:fldChar w:fldCharType="begin"/>
            </w:r>
            <w:r>
              <w:instrText xml:space="preserve"> PAGEREF _Toc100027 \h </w:instrText>
            </w:r>
            <w:r>
              <w:fldChar w:fldCharType="separate"/>
            </w:r>
            <w:r>
              <w:t>20</w:t>
            </w:r>
            <w:r>
              <w:fldChar w:fldCharType="end"/>
            </w:r>
          </w:hyperlink>
        </w:p>
        <w:p>
          <w:pPr>
            <w:pStyle w:val="11"/>
            <w:ind w:left="360"/>
            <w:tabs>
              <w:tab w:val="right" w:leader="dot" w:pos="9026"/>
            </w:tabs>
            <w:spacing w:before="120" w:after="60"/>
          </w:pPr>
          <w:hyperlink w:anchor="_Toc100028" w:history="1">
            <w:r>
              <w:rPr>
                <w:rStyle w:val="Hyperlink"/>
              </w:rPr>
              <w:t>9.2 Automated Screenshot Analysis</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9.3 Voice Interaction Mode</w:t>
            </w:r>
            <w:r>
              <w:tab/>
            </w:r>
            <w:r>
              <w:fldChar w:fldCharType="begin"/>
            </w:r>
            <w:r>
              <w:instrText xml:space="preserve"> PAGEREF _Toc100029 \h </w:instrText>
            </w:r>
            <w:r>
              <w:fldChar w:fldCharType="separate"/>
            </w:r>
            <w:r>
              <w:t>20</w:t>
            </w:r>
            <w:r>
              <w:fldChar w:fldCharType="end"/>
            </w:r>
          </w:hyperlink>
        </w:p>
        <w:p>
          <w:pPr>
            <w:pStyle w:val="9"/>
            <w:tabs>
              <w:tab w:val="right" w:leader="dot" w:pos="9026"/>
            </w:tabs>
            <w:spacing w:before="120" w:after="60"/>
          </w:pPr>
          <w:hyperlink w:anchor="_Toc100030" w:history="1">
            <w:r>
              <w:rPr>
                <w:rStyle w:val="Hyperlink"/>
              </w:rPr>
              <w:t>10. Security Architecture</w:t>
            </w:r>
            <w:r>
              <w:tab/>
            </w:r>
            <w:r>
              <w:fldChar w:fldCharType="begin"/>
            </w:r>
            <w:r>
              <w:instrText xml:space="preserve"> PAGEREF _Toc100030 \h </w:instrText>
            </w:r>
            <w:r>
              <w:fldChar w:fldCharType="separate"/>
            </w:r>
            <w:r>
              <w:t>21</w:t>
            </w:r>
            <w:r>
              <w:fldChar w:fldCharType="end"/>
            </w:r>
          </w:hyperlink>
        </w:p>
        <w:p>
          <w:pPr>
            <w:pStyle w:val="11"/>
            <w:ind w:left="360"/>
            <w:tabs>
              <w:tab w:val="right" w:leader="dot" w:pos="9026"/>
            </w:tabs>
            <w:spacing w:before="120" w:after="60"/>
          </w:pPr>
          <w:hyperlink w:anchor="_Toc100031" w:history="1">
            <w:r>
              <w:rPr>
                <w:rStyle w:val="Hyperlink"/>
              </w:rPr>
              <w:t>10.1 Prompt Injection Prevention</w:t>
            </w:r>
            <w:r>
              <w:tab/>
            </w:r>
            <w:r>
              <w:fldChar w:fldCharType="begin"/>
            </w:r>
            <w:r>
              <w:instrText xml:space="preserve"> PAGEREF _Toc100031 \h </w:instrText>
            </w:r>
            <w:r>
              <w:fldChar w:fldCharType="separate"/>
            </w:r>
            <w:r>
              <w:t>21</w:t>
            </w:r>
            <w:r>
              <w:fldChar w:fldCharType="end"/>
            </w:r>
          </w:hyperlink>
        </w:p>
        <w:p>
          <w:pPr>
            <w:pStyle w:val="11"/>
            <w:ind w:left="360"/>
            <w:tabs>
              <w:tab w:val="right" w:leader="dot" w:pos="9026"/>
            </w:tabs>
            <w:spacing w:before="120" w:after="60"/>
          </w:pPr>
          <w:hyperlink w:anchor="_Toc100032" w:history="1">
            <w:r>
              <w:rPr>
                <w:rStyle w:val="Hyperlink"/>
              </w:rPr>
              <w:t>10.2 Digital JSON Signatures</w:t>
            </w:r>
            <w:r>
              <w:tab/>
            </w:r>
            <w:r>
              <w:fldChar w:fldCharType="begin"/>
            </w:r>
            <w:r>
              <w:instrText xml:space="preserve"> PAGEREF _Toc100032 \h </w:instrText>
            </w:r>
            <w:r>
              <w:fldChar w:fldCharType="separate"/>
            </w:r>
            <w:r>
              <w:t>21</w:t>
            </w:r>
            <w:r>
              <w:fldChar w:fldCharType="end"/>
            </w:r>
          </w:hyperlink>
        </w:p>
        <w:p>
          <w:pPr>
            <w:pStyle w:val="11"/>
            <w:ind w:left="360"/>
            <w:tabs>
              <w:tab w:val="right" w:leader="dot" w:pos="9026"/>
            </w:tabs>
            <w:spacing w:before="120" w:after="60"/>
          </w:pPr>
          <w:hyperlink w:anchor="_Toc100033" w:history="1">
            <w:r>
              <w:rPr>
                <w:rStyle w:val="Hyperlink"/>
              </w:rPr>
              <w:t>10.3 Process Watchdog</w:t>
            </w:r>
            <w:r>
              <w:tab/>
            </w:r>
            <w:r>
              <w:fldChar w:fldCharType="begin"/>
            </w:r>
            <w:r>
              <w:instrText xml:space="preserve"> PAGEREF _Toc100033 \h </w:instrText>
            </w:r>
            <w:r>
              <w:fldChar w:fldCharType="separate"/>
            </w:r>
            <w:r>
              <w:t>22</w:t>
            </w:r>
            <w:r>
              <w:fldChar w:fldCharType="end"/>
            </w:r>
          </w:hyperlink>
        </w:p>
        <w:p>
          <w:pPr>
            <w:pStyle w:val="11"/>
            <w:ind w:left="360"/>
            <w:tabs>
              <w:tab w:val="right" w:leader="dot" w:pos="9026"/>
            </w:tabs>
            <w:spacing w:before="120" w:after="60"/>
          </w:pPr>
          <w:hyperlink w:anchor="_Toc100034" w:history="1">
            <w:r>
              <w:rPr>
                <w:rStyle w:val="Hyperlink"/>
              </w:rPr>
              <w:t>10.4 Sandboxed Execution</w:t>
            </w:r>
            <w:r>
              <w:tab/>
            </w:r>
            <w:r>
              <w:fldChar w:fldCharType="begin"/>
            </w:r>
            <w:r>
              <w:instrText xml:space="preserve"> PAGEREF _Toc100034 \h </w:instrText>
            </w:r>
            <w:r>
              <w:fldChar w:fldCharType="separate"/>
            </w:r>
            <w:r>
              <w:t>22</w:t>
            </w:r>
            <w:r>
              <w:fldChar w:fldCharType="end"/>
            </w:r>
          </w:hyperlink>
        </w:p>
        <w:p>
          <w:pPr>
            <w:pStyle w:val="11"/>
            <w:ind w:left="360"/>
            <w:tabs>
              <w:tab w:val="right" w:leader="dot" w:pos="9026"/>
            </w:tabs>
            <w:spacing w:before="120" w:after="60"/>
          </w:pPr>
          <w:hyperlink w:anchor="_Toc100035" w:history="1">
            <w:r>
              <w:rPr>
                <w:rStyle w:val="Hyperlink"/>
              </w:rPr>
              <w:t>10.5 Ollama Network Isolation</w:t>
            </w:r>
            <w:r>
              <w:tab/>
            </w:r>
            <w:r>
              <w:fldChar w:fldCharType="begin"/>
            </w:r>
            <w:r>
              <w:instrText xml:space="preserve"> PAGEREF _Toc100035 \h </w:instrText>
            </w:r>
            <w:r>
              <w:fldChar w:fldCharType="separate"/>
            </w:r>
            <w:r>
              <w:t>23</w:t>
            </w:r>
            <w:r>
              <w:fldChar w:fldCharType="end"/>
            </w:r>
          </w:hyperlink>
        </w:p>
        <w:p>
          <w:pPr>
            <w:pStyle w:val="11"/>
            <w:ind w:left="360"/>
            <w:tabs>
              <w:tab w:val="right" w:leader="dot" w:pos="9026"/>
            </w:tabs>
            <w:spacing w:before="120" w:after="60"/>
          </w:pPr>
          <w:hyperlink w:anchor="_Toc100036" w:history="1">
            <w:r>
              <w:rPr>
                <w:rStyle w:val="Hyperlink"/>
              </w:rPr>
              <w:t>10.6 Encryption at Rest</w:t>
            </w:r>
            <w:r>
              <w:tab/>
            </w:r>
            <w:r>
              <w:fldChar w:fldCharType="begin"/>
            </w:r>
            <w:r>
              <w:instrText xml:space="preserve"> PAGEREF _Toc100036 \h </w:instrText>
            </w:r>
            <w:r>
              <w:fldChar w:fldCharType="separate"/>
            </w:r>
            <w:r>
              <w:t>23</w:t>
            </w:r>
            <w:r>
              <w:fldChar w:fldCharType="end"/>
            </w:r>
          </w:hyperlink>
        </w:p>
        <w:p>
          <w:pPr>
            <w:pStyle w:val="11"/>
            <w:ind w:left="360"/>
            <w:tabs>
              <w:tab w:val="right" w:leader="dot" w:pos="9026"/>
            </w:tabs>
            <w:spacing w:before="120" w:after="60"/>
          </w:pPr>
          <w:hyperlink w:anchor="_Toc100037" w:history="1">
            <w:r>
              <w:rPr>
                <w:rStyle w:val="Hyperlink"/>
              </w:rPr>
              <w:t>10.7 Rate Limiting</w:t>
            </w:r>
            <w:r>
              <w:tab/>
            </w:r>
            <w:r>
              <w:fldChar w:fldCharType="begin"/>
            </w:r>
            <w:r>
              <w:instrText xml:space="preserve"> PAGEREF _Toc100037 \h </w:instrText>
            </w:r>
            <w:r>
              <w:fldChar w:fldCharType="separate"/>
            </w:r>
            <w:r>
              <w:t>23</w:t>
            </w:r>
            <w:r>
              <w:fldChar w:fldCharType="end"/>
            </w:r>
          </w:hyperlink>
        </w:p>
        <w:p>
          <w:pPr>
            <w:pStyle w:val="11"/>
            <w:ind w:left="360"/>
            <w:tabs>
              <w:tab w:val="right" w:leader="dot" w:pos="9026"/>
            </w:tabs>
            <w:spacing w:before="120" w:after="60"/>
          </w:pPr>
          <w:hyperlink w:anchor="_Toc100038" w:history="1">
            <w:r>
              <w:rPr>
                <w:rStyle w:val="Hyperlink"/>
              </w:rPr>
              <w:t>10.8 Source Trust Module</w:t>
            </w:r>
            <w:r>
              <w:tab/>
            </w:r>
            <w:r>
              <w:fldChar w:fldCharType="begin"/>
            </w:r>
            <w:r>
              <w:instrText xml:space="preserve"> PAGEREF _Toc100038 \h </w:instrText>
            </w:r>
            <w:r>
              <w:fldChar w:fldCharType="separate"/>
            </w:r>
            <w:r>
              <w:t>24</w:t>
            </w:r>
            <w:r>
              <w:fldChar w:fldCharType="end"/>
            </w:r>
          </w:hyperlink>
        </w:p>
        <w:p>
          <w:pPr>
            <w:pStyle w:val="9"/>
            <w:tabs>
              <w:tab w:val="right" w:leader="dot" w:pos="9026"/>
            </w:tabs>
            <w:spacing w:before="120" w:after="60"/>
          </w:pPr>
          <w:hyperlink w:anchor="_Toc100039" w:history="1">
            <w:r>
              <w:rPr>
                <w:rStyle w:val="Hyperlink"/>
              </w:rPr>
              <w:t>11. CI/CD and DevOps</w:t>
            </w:r>
            <w:r>
              <w:tab/>
            </w:r>
            <w:r>
              <w:fldChar w:fldCharType="begin"/>
            </w:r>
            <w:r>
              <w:instrText xml:space="preserve"> PAGEREF _Toc100039 \h </w:instrText>
            </w:r>
            <w:r>
              <w:fldChar w:fldCharType="separate"/>
            </w:r>
            <w:r>
              <w:t>24</w:t>
            </w:r>
            <w:r>
              <w:fldChar w:fldCharType="end"/>
            </w:r>
          </w:hyperlink>
        </w:p>
        <w:p>
          <w:pPr>
            <w:pStyle w:val="11"/>
            <w:ind w:left="360"/>
            <w:tabs>
              <w:tab w:val="right" w:leader="dot" w:pos="9026"/>
            </w:tabs>
            <w:spacing w:before="120" w:after="60"/>
          </w:pPr>
          <w:hyperlink w:anchor="_Toc100040" w:history="1">
            <w:r>
              <w:rPr>
                <w:rStyle w:val="Hyperlink"/>
              </w:rPr>
              <w:t>11.1 GitHub Actions Pipeline</w:t>
            </w:r>
            <w:r>
              <w:tab/>
            </w:r>
            <w:r>
              <w:fldChar w:fldCharType="begin"/>
            </w:r>
            <w:r>
              <w:instrText xml:space="preserve"> PAGEREF _Toc100040 \h </w:instrText>
            </w:r>
            <w:r>
              <w:fldChar w:fldCharType="separate"/>
            </w:r>
            <w:r>
              <w:t>24</w:t>
            </w:r>
            <w:r>
              <w:fldChar w:fldCharType="end"/>
            </w:r>
          </w:hyperlink>
        </w:p>
        <w:p>
          <w:pPr>
            <w:pStyle w:val="11"/>
            <w:ind w:left="360"/>
            <w:tabs>
              <w:tab w:val="right" w:leader="dot" w:pos="9026"/>
            </w:tabs>
            <w:spacing w:before="120" w:after="60"/>
          </w:pPr>
          <w:hyperlink w:anchor="_Toc100041" w:history="1">
            <w:r>
              <w:rPr>
                <w:rStyle w:val="Hyperlink"/>
              </w:rPr>
              <w:t>11.2 Docker Containers</w:t>
            </w:r>
            <w:r>
              <w:tab/>
            </w:r>
            <w:r>
              <w:fldChar w:fldCharType="begin"/>
            </w:r>
            <w:r>
              <w:instrText xml:space="preserve"> PAGEREF _Toc100041 \h </w:instrText>
            </w:r>
            <w:r>
              <w:fldChar w:fldCharType="separate"/>
            </w:r>
            <w:r>
              <w:t>25</w:t>
            </w:r>
            <w:r>
              <w:fldChar w:fldCharType="end"/>
            </w:r>
          </w:hyperlink>
        </w:p>
        <w:p>
          <w:pPr>
            <w:pStyle w:val="9"/>
            <w:tabs>
              <w:tab w:val="right" w:leader="dot" w:pos="9026"/>
            </w:tabs>
            <w:spacing w:before="120" w:after="60"/>
          </w:pPr>
          <w:hyperlink w:anchor="_Toc100042" w:history="1">
            <w:r>
              <w:rPr>
                <w:rStyle w:val="Hyperlink"/>
              </w:rPr>
              <w:t>12. Local Update Module</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12.1 Update Process</w:t>
            </w:r>
            <w:r>
              <w:tab/>
            </w:r>
            <w:r>
              <w:fldChar w:fldCharType="begin"/>
            </w:r>
            <w:r>
              <w:instrText xml:space="preserve"> PAGEREF _Toc100043 \h </w:instrText>
            </w:r>
            <w:r>
              <w:fldChar w:fldCharType="separate"/>
            </w:r>
            <w:r>
              <w:t>25</w:t>
            </w:r>
            <w:r>
              <w:fldChar w:fldCharType="end"/>
            </w:r>
          </w:hyperlink>
        </w:p>
        <w:p>
          <w:pPr>
            <w:pStyle w:val="11"/>
            <w:ind w:left="360"/>
            <w:tabs>
              <w:tab w:val="right" w:leader="dot" w:pos="9026"/>
            </w:tabs>
            <w:spacing w:before="120" w:after="60"/>
          </w:pPr>
          <w:hyperlink w:anchor="_Toc100044" w:history="1">
            <w:r>
              <w:rPr>
                <w:rStyle w:val="Hyperlink"/>
              </w:rPr>
              <w:t>12.2 Updatable Components</w:t>
            </w:r>
            <w:r>
              <w:tab/>
            </w:r>
            <w:r>
              <w:fldChar w:fldCharType="begin"/>
            </w:r>
            <w:r>
              <w:instrText xml:space="preserve"> PAGEREF _Toc100044 \h </w:instrText>
            </w:r>
            <w:r>
              <w:fldChar w:fldCharType="separate"/>
            </w:r>
            <w:r>
              <w:t>26</w:t>
            </w:r>
            <w:r>
              <w:fldChar w:fldCharType="end"/>
            </w:r>
          </w:hyperlink>
        </w:p>
        <w:p>
          <w:pPr>
            <w:pStyle w:val="9"/>
            <w:tabs>
              <w:tab w:val="right" w:leader="dot" w:pos="9026"/>
            </w:tabs>
            <w:spacing w:before="120" w:after="60"/>
          </w:pPr>
          <w:hyperlink w:anchor="_Toc100045" w:history="1">
            <w:r>
              <w:rPr>
                <w:rStyle w:val="Hyperlink"/>
              </w:rPr>
              <w:t>13. User Roles and Access Control</w:t>
            </w:r>
            <w:r>
              <w:tab/>
            </w:r>
            <w:r>
              <w:fldChar w:fldCharType="begin"/>
            </w:r>
            <w:r>
              <w:instrText xml:space="preserve"> PAGEREF _Toc100045 \h </w:instrText>
            </w:r>
            <w:r>
              <w:fldChar w:fldCharType="separate"/>
            </w:r>
            <w:r>
              <w:t>26</w:t>
            </w:r>
            <w:r>
              <w:fldChar w:fldCharType="end"/>
            </w:r>
          </w:hyperlink>
        </w:p>
        <w:p>
          <w:pPr>
            <w:pStyle w:val="11"/>
            <w:ind w:left="360"/>
            <w:tabs>
              <w:tab w:val="right" w:leader="dot" w:pos="9026"/>
            </w:tabs>
            <w:spacing w:before="120" w:after="60"/>
          </w:pPr>
          <w:hyperlink w:anchor="_Toc100046" w:history="1">
            <w:r>
              <w:rPr>
                <w:rStyle w:val="Hyperlink"/>
              </w:rPr>
              <w:t>13.1 Role Definitions</w:t>
            </w:r>
            <w:r>
              <w:tab/>
            </w:r>
            <w:r>
              <w:fldChar w:fldCharType="begin"/>
            </w:r>
            <w:r>
              <w:instrText xml:space="preserve"> PAGEREF _Toc100046 \h </w:instrText>
            </w:r>
            <w:r>
              <w:fldChar w:fldCharType="separate"/>
            </w:r>
            <w:r>
              <w:t>26</w:t>
            </w:r>
            <w:r>
              <w:fldChar w:fldCharType="end"/>
            </w:r>
          </w:hyperlink>
        </w:p>
        <w:p>
          <w:pPr>
            <w:pStyle w:val="11"/>
            <w:ind w:left="360"/>
            <w:tabs>
              <w:tab w:val="right" w:leader="dot" w:pos="9026"/>
            </w:tabs>
            <w:spacing w:before="120" w:after="60"/>
          </w:pPr>
          <w:hyperlink w:anchor="_Toc100047" w:history="1">
            <w:r>
              <w:rPr>
                <w:rStyle w:val="Hyperlink"/>
              </w:rPr>
              <w:t>13.2 Personal Data Isolation</w:t>
            </w:r>
            <w:r>
              <w:tab/>
            </w:r>
            <w:r>
              <w:fldChar w:fldCharType="begin"/>
            </w:r>
            <w:r>
              <w:instrText xml:space="preserve"> PAGEREF _Toc100047 \h </w:instrText>
            </w:r>
            <w:r>
              <w:fldChar w:fldCharType="separate"/>
            </w:r>
            <w:r>
              <w:t>27</w:t>
            </w:r>
            <w:r>
              <w:fldChar w:fldCharType="end"/>
            </w:r>
          </w:hyperlink>
        </w:p>
        <w:p>
          <w:pPr>
            <w:pStyle w:val="9"/>
            <w:tabs>
              <w:tab w:val="right" w:leader="dot" w:pos="9026"/>
            </w:tabs>
            <w:spacing w:before="120" w:after="60"/>
          </w:pPr>
          <w:hyperlink w:anchor="_Toc100048" w:history="1">
            <w:r>
              <w:rPr>
                <w:rStyle w:val="Hyperlink"/>
              </w:rPr>
              <w:t>14. Audit Logging</w:t>
            </w:r>
            <w:r>
              <w:tab/>
            </w:r>
            <w:r>
              <w:fldChar w:fldCharType="begin"/>
            </w:r>
            <w:r>
              <w:instrText xml:space="preserve"> PAGEREF _Toc100048 \h </w:instrText>
            </w:r>
            <w:r>
              <w:fldChar w:fldCharType="separate"/>
            </w:r>
            <w:r>
              <w:t>27</w:t>
            </w:r>
            <w:r>
              <w:fldChar w:fldCharType="end"/>
            </w:r>
          </w:hyperlink>
        </w:p>
        <w:p>
          <w:pPr>
            <w:pStyle w:val="11"/>
            <w:ind w:left="360"/>
            <w:tabs>
              <w:tab w:val="right" w:leader="dot" w:pos="9026"/>
            </w:tabs>
            <w:spacing w:before="120" w:after="60"/>
          </w:pPr>
          <w:hyperlink w:anchor="_Toc100049" w:history="1">
            <w:r>
              <w:rPr>
                <w:rStyle w:val="Hyperlink"/>
              </w:rPr>
              <w:t>14.1 Logged Events</w:t>
            </w:r>
            <w:r>
              <w:tab/>
            </w:r>
            <w:r>
              <w:fldChar w:fldCharType="begin"/>
            </w:r>
            <w:r>
              <w:instrText xml:space="preserve"> PAGEREF _Toc100049 \h </w:instrText>
            </w:r>
            <w:r>
              <w:fldChar w:fldCharType="separate"/>
            </w:r>
            <w:r>
              <w:t>27</w:t>
            </w:r>
            <w:r>
              <w:fldChar w:fldCharType="end"/>
            </w:r>
          </w:hyperlink>
        </w:p>
        <w:p>
          <w:pPr>
            <w:pStyle w:val="9"/>
            <w:tabs>
              <w:tab w:val="right" w:leader="dot" w:pos="9026"/>
            </w:tabs>
            <w:spacing w:before="120" w:after="60"/>
          </w:pPr>
          <w:hyperlink w:anchor="_Toc100050" w:history="1">
            <w:r>
              <w:rPr>
                <w:rStyle w:val="Hyperlink"/>
              </w:rPr>
              <w:t>15. Failover and Resilience</w:t>
            </w:r>
            <w:r>
              <w:tab/>
            </w:r>
            <w:r>
              <w:fldChar w:fldCharType="begin"/>
            </w:r>
            <w:r>
              <w:instrText xml:space="preserve"> PAGEREF _Toc100050 \h </w:instrText>
            </w:r>
            <w:r>
              <w:fldChar w:fldCharType="separate"/>
            </w:r>
            <w:r>
              <w:t>27</w:t>
            </w:r>
            <w:r>
              <w:fldChar w:fldCharType="end"/>
            </w:r>
          </w:hyperlink>
        </w:p>
        <w:p>
          <w:pPr>
            <w:pStyle w:val="11"/>
            <w:ind w:left="360"/>
            <w:tabs>
              <w:tab w:val="right" w:leader="dot" w:pos="9026"/>
            </w:tabs>
            <w:spacing w:before="120" w:after="60"/>
          </w:pPr>
          <w:hyperlink w:anchor="_Toc100051" w:history="1">
            <w:r>
              <w:rPr>
                <w:rStyle w:val="Hyperlink"/>
              </w:rPr>
              <w:t>15.1 Ollama Failover</w:t>
            </w:r>
            <w:r>
              <w:tab/>
            </w:r>
            <w:r>
              <w:fldChar w:fldCharType="begin"/>
            </w:r>
            <w:r>
              <w:instrText xml:space="preserve"> PAGEREF _Toc100051 \h </w:instrText>
            </w:r>
            <w:r>
              <w:fldChar w:fldCharType="separate"/>
            </w:r>
            <w:r>
              <w:t>28</w:t>
            </w:r>
            <w:r>
              <w:fldChar w:fldCharType="end"/>
            </w:r>
          </w:hyperlink>
        </w:p>
        <w:p>
          <w:pPr>
            <w:pStyle w:val="11"/>
            <w:ind w:left="360"/>
            <w:tabs>
              <w:tab w:val="right" w:leader="dot" w:pos="9026"/>
            </w:tabs>
            <w:spacing w:before="120" w:after="60"/>
          </w:pPr>
          <w:hyperlink w:anchor="_Toc100052" w:history="1">
            <w:r>
              <w:rPr>
                <w:rStyle w:val="Hyperlink"/>
              </w:rPr>
              <w:t>15.2 Database Failover</w:t>
            </w:r>
            <w:r>
              <w:tab/>
            </w:r>
            <w:r>
              <w:fldChar w:fldCharType="begin"/>
            </w:r>
            <w:r>
              <w:instrText xml:space="preserve"> PAGEREF _Toc100052 \h </w:instrText>
            </w:r>
            <w:r>
              <w:fldChar w:fldCharType="separate"/>
            </w:r>
            <w:r>
              <w:t>28</w:t>
            </w:r>
            <w:r>
              <w:fldChar w:fldCharType="end"/>
            </w:r>
          </w:hyperlink>
        </w:p>
        <w:p>
          <w:pPr>
            <w:pStyle w:val="9"/>
            <w:tabs>
              <w:tab w:val="right" w:leader="dot" w:pos="9026"/>
            </w:tabs>
            <w:spacing w:before="120" w:after="60"/>
          </w:pPr>
          <w:hyperlink w:anchor="_Toc100053" w:history="1">
            <w:r>
              <w:rPr>
                <w:rStyle w:val="Hyperlink"/>
              </w:rPr>
              <w:t>16. Simulation Module</w:t>
            </w:r>
            <w:r>
              <w:tab/>
            </w:r>
            <w:r>
              <w:fldChar w:fldCharType="begin"/>
            </w:r>
            <w:r>
              <w:instrText xml:space="preserve"> PAGEREF _Toc100053 \h </w:instrText>
            </w:r>
            <w:r>
              <w:fldChar w:fldCharType="separate"/>
            </w:r>
            <w:r>
              <w:t>28</w:t>
            </w:r>
            <w:r>
              <w:fldChar w:fldCharType="end"/>
            </w:r>
          </w:hyperlink>
        </w:p>
        <w:p>
          <w:pPr>
            <w:pStyle w:val="11"/>
            <w:ind w:left="360"/>
            <w:tabs>
              <w:tab w:val="right" w:leader="dot" w:pos="9026"/>
            </w:tabs>
            <w:spacing w:before="120" w:after="60"/>
          </w:pPr>
          <w:hyperlink w:anchor="_Toc100054" w:history="1">
            <w:r>
              <w:rPr>
                <w:rStyle w:val="Hyperlink"/>
              </w:rPr>
              <w:t>16.1 Synthetic Data Generator</w:t>
            </w:r>
            <w:r>
              <w:tab/>
            </w:r>
            <w:r>
              <w:fldChar w:fldCharType="begin"/>
            </w:r>
            <w:r>
              <w:instrText xml:space="preserve"> PAGEREF _Toc100054 \h </w:instrText>
            </w:r>
            <w:r>
              <w:fldChar w:fldCharType="separate"/>
            </w:r>
            <w:r>
              <w:t>29</w:t>
            </w:r>
            <w:r>
              <w:fldChar w:fldCharType="end"/>
            </w:r>
          </w:hyperlink>
        </w:p>
        <w:p>
          <w:pPr>
            <w:pStyle w:val="11"/>
            <w:ind w:left="360"/>
            <w:tabs>
              <w:tab w:val="right" w:leader="dot" w:pos="9026"/>
            </w:tabs>
            <w:spacing w:before="120" w:after="60"/>
          </w:pPr>
          <w:hyperlink w:anchor="_Toc100055" w:history="1">
            <w:r>
              <w:rPr>
                <w:rStyle w:val="Hyperlink"/>
              </w:rPr>
              <w:t>16.2 A/B Testing for Prompts</w:t>
            </w:r>
            <w:r>
              <w:tab/>
            </w:r>
            <w:r>
              <w:fldChar w:fldCharType="begin"/>
            </w:r>
            <w:r>
              <w:instrText xml:space="preserve"> PAGEREF _Toc100055 \h </w:instrText>
            </w:r>
            <w:r>
              <w:fldChar w:fldCharType="separate"/>
            </w:r>
            <w:r>
              <w:t>29</w:t>
            </w:r>
            <w:r>
              <w:fldChar w:fldCharType="end"/>
            </w:r>
          </w:hyperlink>
        </w:p>
        <w:p>
          <w:pPr>
            <w:pStyle w:val="9"/>
            <w:tabs>
              <w:tab w:val="right" w:leader="dot" w:pos="9026"/>
            </w:tabs>
            <w:spacing w:before="120" w:after="60"/>
          </w:pPr>
          <w:hyperlink w:anchor="_Toc100056" w:history="1">
            <w:r>
              <w:rPr>
                <w:rStyle w:val="Hyperlink"/>
              </w:rPr>
              <w:t>17. API Gateway</w:t>
            </w:r>
            <w:r>
              <w:tab/>
            </w:r>
            <w:r>
              <w:fldChar w:fldCharType="begin"/>
            </w:r>
            <w:r>
              <w:instrText xml:space="preserve"> PAGEREF _Toc100056 \h </w:instrText>
            </w:r>
            <w:r>
              <w:fldChar w:fldCharType="separate"/>
            </w:r>
            <w:r>
              <w:t>29</w:t>
            </w:r>
            <w:r>
              <w:fldChar w:fldCharType="end"/>
            </w:r>
          </w:hyperlink>
        </w:p>
        <w:p>
          <w:pPr>
            <w:pStyle w:val="11"/>
            <w:ind w:left="360"/>
            <w:tabs>
              <w:tab w:val="right" w:leader="dot" w:pos="9026"/>
            </w:tabs>
            <w:spacing w:before="120" w:after="60"/>
          </w:pPr>
          <w:hyperlink w:anchor="_Toc100057" w:history="1">
            <w:r>
              <w:rPr>
                <w:rStyle w:val="Hyperlink"/>
              </w:rPr>
              <w:t>17.1 Gateway Architecture</w:t>
            </w:r>
            <w:r>
              <w:tab/>
            </w:r>
            <w:r>
              <w:fldChar w:fldCharType="begin"/>
            </w:r>
            <w:r>
              <w:instrText xml:space="preserve"> PAGEREF _Toc100057 \h </w:instrText>
            </w:r>
            <w:r>
              <w:fldChar w:fldCharType="separate"/>
            </w:r>
            <w:r>
              <w:t>30</w:t>
            </w:r>
            <w:r>
              <w:fldChar w:fldCharType="end"/>
            </w:r>
          </w:hyperlink>
        </w:p>
        <w:p>
          <w:pPr>
            <w:pStyle w:val="11"/>
            <w:ind w:left="360"/>
            <w:tabs>
              <w:tab w:val="right" w:leader="dot" w:pos="9026"/>
            </w:tabs>
            <w:spacing w:before="120" w:after="60"/>
          </w:pPr>
          <w:hyperlink w:anchor="_Toc100058" w:history="1">
            <w:r>
              <w:rPr>
                <w:rStyle w:val="Hyperlink"/>
              </w:rPr>
              <w:t>17.2 Health Check Endpoint</w:t>
            </w:r>
            <w:r>
              <w:tab/>
            </w:r>
            <w:r>
              <w:fldChar w:fldCharType="begin"/>
            </w:r>
            <w:r>
              <w:instrText xml:space="preserve"> PAGEREF _Toc100058 \h </w:instrText>
            </w:r>
            <w:r>
              <w:fldChar w:fldCharType="separate"/>
            </w:r>
            <w:r>
              <w:t>30</w:t>
            </w:r>
            <w:r>
              <w:fldChar w:fldCharType="end"/>
            </w:r>
          </w:hyperlink>
        </w:p>
        <w:p>
          <w:pPr>
            <w:pStyle w:val="9"/>
            <w:tabs>
              <w:tab w:val="right" w:leader="dot" w:pos="9026"/>
            </w:tabs>
            <w:spacing w:before="120" w:after="60"/>
          </w:pPr>
          <w:hyperlink w:anchor="_Toc100059" w:history="1">
            <w:r>
              <w:rPr>
                <w:rStyle w:val="Hyperlink"/>
              </w:rPr>
              <w:t>18. Development Roadmap v2.0</w:t>
            </w:r>
            <w:r>
              <w:tab/>
            </w:r>
            <w:r>
              <w:fldChar w:fldCharType="begin"/>
            </w:r>
            <w:r>
              <w:instrText xml:space="preserve"> PAGEREF _Toc100059 \h </w:instrText>
            </w:r>
            <w:r>
              <w:fldChar w:fldCharType="separate"/>
            </w:r>
            <w:r>
              <w:t>30</w:t>
            </w:r>
            <w:r>
              <w:fldChar w:fldCharType="end"/>
            </w:r>
          </w:hyperlink>
        </w:p>
        <w:p>
          <w:pPr>
            <w:pStyle w:val="9"/>
            <w:tabs>
              <w:tab w:val="right" w:leader="dot" w:pos="9026"/>
            </w:tabs>
            <w:spacing w:before="120" w:after="60"/>
          </w:pPr>
          <w:hyperlink w:anchor="_Toc100060" w:history="1">
            <w:r>
              <w:rPr>
                <w:rStyle w:val="Hyperlink"/>
              </w:rPr>
              <w:t>19. MVP Checklist</w:t>
            </w:r>
            <w:r>
              <w:tab/>
            </w:r>
            <w:r>
              <w:fldChar w:fldCharType="begin"/>
            </w:r>
            <w:r>
              <w:instrText xml:space="preserve"> PAGEREF _Toc100060 \h </w:instrText>
            </w:r>
            <w:r>
              <w:fldChar w:fldCharType="separate"/>
            </w:r>
            <w:r>
              <w:t>31</w:t>
            </w:r>
            <w:r>
              <w:fldChar w:fldCharType="end"/>
            </w:r>
          </w:hyperlink>
        </w:p>
        <w:p>
          <w:pPr>
            <w:pStyle w:val="11"/>
            <w:ind w:left="360"/>
            <w:tabs>
              <w:tab w:val="right" w:leader="dot" w:pos="9026"/>
            </w:tabs>
            <w:spacing w:before="120" w:after="60"/>
          </w:pPr>
          <w:hyperlink w:anchor="_Toc100061" w:history="1">
            <w:r>
              <w:rPr>
                <w:rStyle w:val="Hyperlink"/>
              </w:rPr>
              <w:t>19.1 Environment Setup</w:t>
            </w:r>
            <w:r>
              <w:tab/>
            </w:r>
            <w:r>
              <w:fldChar w:fldCharType="begin"/>
            </w:r>
            <w:r>
              <w:instrText xml:space="preserve"> PAGEREF _Toc100061 \h </w:instrText>
            </w:r>
            <w:r>
              <w:fldChar w:fldCharType="separate"/>
            </w:r>
            <w:r>
              <w:t>31</w:t>
            </w:r>
            <w:r>
              <w:fldChar w:fldCharType="end"/>
            </w:r>
          </w:hyperlink>
        </w:p>
        <w:p>
          <w:pPr>
            <w:pStyle w:val="11"/>
            <w:ind w:left="360"/>
            <w:tabs>
              <w:tab w:val="right" w:leader="dot" w:pos="9026"/>
            </w:tabs>
            <w:spacing w:before="120" w:after="60"/>
          </w:pPr>
          <w:hyperlink w:anchor="_Toc100062" w:history="1">
            <w:r>
              <w:rPr>
                <w:rStyle w:val="Hyperlink"/>
              </w:rPr>
              <w:t>19.2 Backend Core</w:t>
            </w:r>
            <w:r>
              <w:tab/>
            </w:r>
            <w:r>
              <w:fldChar w:fldCharType="begin"/>
            </w:r>
            <w:r>
              <w:instrText xml:space="preserve"> PAGEREF _Toc100062 \h </w:instrText>
            </w:r>
            <w:r>
              <w:fldChar w:fldCharType="separate"/>
            </w:r>
            <w:r>
              <w:t>32</w:t>
            </w:r>
            <w:r>
              <w:fldChar w:fldCharType="end"/>
            </w:r>
          </w:hyperlink>
        </w:p>
        <w:p>
          <w:pPr>
            <w:pStyle w:val="11"/>
            <w:ind w:left="360"/>
            <w:tabs>
              <w:tab w:val="right" w:leader="dot" w:pos="9026"/>
            </w:tabs>
            <w:spacing w:before="120" w:after="60"/>
          </w:pPr>
          <w:hyperlink w:anchor="_Toc100063" w:history="1">
            <w:r>
              <w:rPr>
                <w:rStyle w:val="Hyperlink"/>
              </w:rPr>
              <w:t>19.3 Frontend Core</w:t>
            </w:r>
            <w:r>
              <w:tab/>
            </w:r>
            <w:r>
              <w:fldChar w:fldCharType="begin"/>
            </w:r>
            <w:r>
              <w:instrText xml:space="preserve"> PAGEREF _Toc100063 \h </w:instrText>
            </w:r>
            <w:r>
              <w:fldChar w:fldCharType="separate"/>
            </w:r>
            <w:r>
              <w:t>33</w:t>
            </w:r>
            <w:r>
              <w:fldChar w:fldCharType="end"/>
            </w:r>
          </w:hyperlink>
        </w:p>
        <w:p>
          <w:pPr>
            <w:pStyle w:val="11"/>
            <w:ind w:left="360"/>
            <w:tabs>
              <w:tab w:val="right" w:leader="dot" w:pos="9026"/>
            </w:tabs>
            <w:spacing w:before="120" w:after="60"/>
          </w:pPr>
          <w:hyperlink w:anchor="_Toc100064" w:history="1">
            <w:r>
              <w:rPr>
                <w:rStyle w:val="Hyperlink"/>
              </w:rPr>
              <w:t>19.4 Security Verification</w:t>
            </w:r>
            <w:r>
              <w:tab/>
            </w:r>
            <w:r>
              <w:fldChar w:fldCharType="begin"/>
            </w:r>
            <w:r>
              <w:instrText xml:space="preserve"> PAGEREF _Toc100064 \h </w:instrText>
            </w:r>
            <w:r>
              <w:fldChar w:fldCharType="separate"/>
            </w:r>
            <w:r>
              <w:t>34</w:t>
            </w:r>
            <w:r>
              <w:fldChar w:fldCharType="end"/>
            </w:r>
          </w:hyperlink>
        </w:p>
        <w:p>
          <w:pPr>
            <w:pStyle w:val="11"/>
            <w:ind w:left="360"/>
            <w:tabs>
              <w:tab w:val="right" w:leader="dot" w:pos="9026"/>
            </w:tabs>
            <w:spacing w:before="120" w:after="60"/>
          </w:pPr>
          <w:hyperlink w:anchor="_Toc100065" w:history="1">
            <w:r>
              <w:rPr>
                <w:rStyle w:val="Hyperlink"/>
              </w:rPr>
              <w:t>19.5 Testing and Deployment</w:t>
            </w:r>
            <w:r>
              <w:tab/>
            </w:r>
            <w:r>
              <w:fldChar w:fldCharType="begin"/>
            </w:r>
            <w:r>
              <w:instrText xml:space="preserve"> PAGEREF _Toc100065 \h </w:instrText>
            </w:r>
            <w:r>
              <w:fldChar w:fldCharType="separate"/>
            </w:r>
            <w:r>
              <w:t>35</w:t>
            </w:r>
            <w:r>
              <w:fldChar w:fldCharType="end"/>
            </w:r>
          </w:hyperlink>
        </w:p>
        <w:p>
          <w:pPr>
            <w:pStyle w:val="9"/>
            <w:tabs>
              <w:tab w:val="right" w:leader="dot" w:pos="9026"/>
            </w:tabs>
            <w:spacing w:before="120" w:after="60"/>
          </w:pPr>
          <w:hyperlink w:anchor="_Toc100066" w:history="1">
            <w:r>
              <w:rPr>
                <w:rStyle w:val="Hyperlink"/>
              </w:rPr>
              <w:t>20. Risks and Mitigations</w:t>
            </w:r>
            <w:r>
              <w:tab/>
            </w:r>
            <w:r>
              <w:fldChar w:fldCharType="begin"/>
            </w:r>
            <w:r>
              <w:instrText xml:space="preserve"> PAGEREF _Toc100066 \h </w:instrText>
            </w:r>
            <w:r>
              <w:fldChar w:fldCharType="separate"/>
            </w:r>
            <w:r>
              <w:t>36</w:t>
            </w:r>
            <w:r>
              <w:fldChar w:fldCharType="end"/>
            </w:r>
          </w:hyperlink>
        </w:p>
        <w:p>
          <w:r>
            <w:fldChar w:fldCharType="end"/>
          </w:r>
        </w:p>
      </w:sdtContent>
    </w:sdt>
    <w:p>
      <w:pPr>
        <w:spacing w:before="200"/>
      </w:pPr>
      <w:r>
        <w:rPr>
          <w:i/>
          <w:iCs/>
          <w:color w:val="888888"/>
          <w:sz w:val="18"/>
          <w:szCs w:val="18"/>
        </w:rPr>
        <w:t xml:space="preserve">Note: Right-click the TOC and select "Update Field" to refresh page numbers after editing.</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0B1C2C"/>
          <w:sz w:val="32"/>
          <w:szCs w:val="32"/>
        </w:rPr>
        <w:t xml:space="preserve">1. Executive Summary</w:t>
      </w:r>
      <w:bookmarkEnd w:id="100000"/>
    </w:p>
    <w:p>
      <w:pPr>
        <w:spacing w:after="120" w:line="312"/>
        <w:jc w:val="both"/>
      </w:pPr>
      <w:r>
        <w:rPr>
          <w:rFonts w:ascii="Calibri" w:eastAsia="Microsoft YaHei"/>
          <w:color w:val="1A1A1A"/>
          <w:sz w:val="24"/>
          <w:szCs w:val="24"/>
        </w:rPr>
        <w:t xml:space="preserve">AI Analyzer v2.0 is a fully local AI-powered trading terminal designed to replace the existing Telegram bot for cryptocurrency market analysis. The application runs entirely offline on Windows and Android devices, leveraging locally hosted LLM models through Ollama to deliver market signals, risk assessments, and comprehensive trading insights without any cloud dependencies or internet connectivity requirements.</w:t>
      </w:r>
    </w:p>
    <w:p>
      <w:pPr>
        <w:spacing w:after="120" w:line="312"/>
        <w:jc w:val="both"/>
      </w:pPr>
      <w:r>
        <w:rPr>
          <w:rFonts w:ascii="Calibri" w:eastAsia="Microsoft YaHei"/>
          <w:color w:val="1A1A1A"/>
          <w:sz w:val="24"/>
          <w:szCs w:val="24"/>
        </w:rPr>
        <w:t xml:space="preserve">The architecture follows a strict three-layer design pattern: UI Layer (Flutter) for cross-platform rendering, Service Layer (Python FastAPI) for business logic and API orchestration, and Core Layer (Ollama + SQLite) for AI inference and data persistence. This separation of concerns ensures maintainability, testability, and the ability to swap individual components without affecting the overall system. The core principle remains unchanged from v1.0: zero data leakage, zero cloud dependencies, complete privacy.</w:t>
      </w:r>
    </w:p>
    <w:p>
      <w:pPr>
        <w:spacing w:after="120" w:line="312"/>
        <w:jc w:val="both"/>
      </w:pPr>
      <w:r>
        <w:rPr>
          <w:rFonts w:ascii="Calibri" w:eastAsia="Microsoft YaHei"/>
          <w:color w:val="1A1A1A"/>
          <w:sz w:val="24"/>
          <w:szCs w:val="24"/>
        </w:rPr>
        <w:t xml:space="preserve">Version 2.0 introduces critical enhancements organized by priority tiers. P0 items, which must be integrated into the MVP immediately, include strict JSON output schemas from the AI model, confidence scoring for every signal, a local caching mechanism based on SHA256 hashing, and streaming output from Ollama for real-time user feedback. P1 additions bring professional trading capabilities: signal quality assessment modules, multi-model consensus comparison, and an expert multi-agent analysis mode. P2 and P3 tiers cover advanced features such as backtesting engines, liquidation visualization, order flow analysis, RAG-based knowledge integration, screenshot analysis, and voice interaction.</w:t>
      </w:r>
    </w:p>
    <w:p>
      <w:pPr>
        <w:spacing w:after="120" w:line="312"/>
        <w:jc w:val="both"/>
      </w:pPr>
      <w:r>
        <w:rPr>
          <w:rFonts w:ascii="Calibri" w:eastAsia="Microsoft YaHei"/>
          <w:color w:val="1A1A1A"/>
          <w:sz w:val="24"/>
          <w:szCs w:val="24"/>
        </w:rPr>
        <w:t xml:space="preserve">Security has been elevated to what can only be described as a paranoia level: digital JSON signatures, process watchdogs for automatic service recovery, and sandboxed execution environments for analyzers. This document serves as the complete architectural blueprint for building AI Analyzer v2.0 from the ground up.</w:t>
      </w:r>
    </w:p>
    <w:p>
      <w:pPr>
        <w:pStyle w:val="Heading1"/>
        <w:spacing w:after="200" w:before="360" w:line="312"/>
      </w:pPr>
      <w:bookmarkStart w:id="100001" w:name="_Toc100001"/>
      <w:r>
        <w:rPr>
          <w:rFonts w:ascii="Calibri" w:eastAsia="Microsoft YaHei"/>
          <w:b/>
          <w:bCs/>
          <w:color w:val="0B1C2C"/>
          <w:sz w:val="32"/>
          <w:szCs w:val="32"/>
        </w:rPr>
        <w:t xml:space="preserve">2. System Architecture</w:t>
      </w:r>
      <w:bookmarkEnd w:id="100001"/>
    </w:p>
    <w:p>
      <w:pPr>
        <w:spacing w:after="120" w:line="312"/>
        <w:jc w:val="both"/>
      </w:pPr>
      <w:r>
        <w:rPr>
          <w:rFonts w:ascii="Calibri" w:eastAsia="Microsoft YaHei"/>
          <w:color w:val="1A1A1A"/>
          <w:sz w:val="24"/>
          <w:szCs w:val="24"/>
        </w:rPr>
        <w:t xml:space="preserve">The system architecture of AI Analyzer v2.0 builds upon the three-layer pattern established in v1.0, with significant enhancements to the Service Layer to support caching, streaming, multi-model orchestration, and the expert agent system. Each layer communicates exclusively through well-defined interfaces, and all data flows are unidirectional to prevent circular dependencies and simplify debugging.</w:t>
      </w:r>
    </w:p>
    <w:p>
      <w:pPr>
        <w:pStyle w:val="Heading2"/>
        <w:spacing w:after="140" w:before="280" w:line="312"/>
      </w:pPr>
      <w:bookmarkStart w:id="100002" w:name="_Toc100002"/>
      <w:r>
        <w:rPr>
          <w:rFonts w:ascii="Calibri" w:eastAsia="Microsoft YaHei"/>
          <w:b/>
          <w:bCs/>
          <w:color w:val="0B1C2C"/>
          <w:sz w:val="28"/>
          <w:szCs w:val="28"/>
        </w:rPr>
        <w:t xml:space="preserve">2.1 Three-Layer Architecture</w:t>
      </w:r>
      <w:bookmarkEnd w:id="100002"/>
    </w:p>
    <w:p>
      <w:pPr>
        <w:spacing w:after="120" w:line="312"/>
        <w:jc w:val="both"/>
      </w:pPr>
      <w:r>
        <w:rPr>
          <w:rFonts w:ascii="Calibri" w:eastAsia="Microsoft YaHei"/>
          <w:color w:val="1A1A1A"/>
          <w:sz w:val="24"/>
          <w:szCs w:val="24"/>
        </w:rPr>
        <w:t xml:space="preserve">The UI Layer is built with Flutter and is responsible for all user-facing interactions: displaying market data, rendering signal cards, showing charts, handling voice input, and managing application settings. The Service Layer, implemented in Python with FastAPI, acts as the central orchestrator. It receives requests from the UI, validates incoming JSON data, checks the cache, constructs prompts, dispatches them to one or more Ollama models, processes responses, and returns structured results. The Core Layer contains Ollama (running GLM-4.7 Q4_K_M and Qwen3 8B models), SQLite for persistent storage, and optional components like ChromaDB for vector search.</w:t>
      </w:r>
    </w:p>
    <w:p>
      <w:pPr>
        <w:pStyle w:val="Heading2"/>
        <w:spacing w:after="140" w:before="280" w:line="312"/>
      </w:pPr>
      <w:bookmarkStart w:id="100003" w:name="_Toc100003"/>
      <w:r>
        <w:rPr>
          <w:rFonts w:ascii="Calibri" w:eastAsia="Microsoft YaHei"/>
          <w:b/>
          <w:bCs/>
          <w:color w:val="0B1C2C"/>
          <w:sz w:val="28"/>
          <w:szCs w:val="28"/>
        </w:rPr>
        <w:t xml:space="preserve">2.2 Data Flow (v2.0)</w:t>
      </w:r>
      <w:bookmarkEnd w:id="100003"/>
    </w:p>
    <w:p>
      <w:pPr>
        <w:spacing w:after="120" w:line="312"/>
        <w:jc w:val="both"/>
      </w:pPr>
      <w:r>
        <w:rPr>
          <w:rFonts w:ascii="Calibri" w:eastAsia="Microsoft YaHei"/>
          <w:color w:val="1A1A1A"/>
          <w:sz w:val="24"/>
          <w:szCs w:val="24"/>
        </w:rPr>
        <w:t xml:space="preserve">The updated data flow for v2.0 introduces several new processing steps. When a user requests market analysis, the Flutter UI sends the request to the FastAPI backend with structured JSON containing current market data (price, volume, open interest, funding rate). The backend first computes a SHA256 hash of the incoming JSON payload and checks the local SQLite cache. If a matching hash exists and the cached result is less than 5 minutes old, the system returns the cached response immediately, bypassing the LLM entirely.</w:t>
      </w:r>
    </w:p>
    <w:p>
      <w:pPr>
        <w:spacing w:after="120" w:line="312"/>
        <w:jc w:val="both"/>
      </w:pPr>
      <w:r>
        <w:rPr>
          <w:rFonts w:ascii="Calibri" w:eastAsia="Microsoft YaHei"/>
          <w:color w:val="1A1A1A"/>
          <w:sz w:val="24"/>
          <w:szCs w:val="24"/>
        </w:rPr>
        <w:t xml:space="preserve">On a cache miss, the Security Layer validates the JSON schema and sanitizes the prompt to prevent injection attacks. The Prompt Builder then constructs the system and user prompts according to the selected analysis mode (standard, expert multi-agent, or consensus). The Ollama client sends the request with streaming enabled, and tokens are forwarded to the UI in real-time. Once the complete response is received, it is parsed, validated against the expected JSON schema, confidence-scored, cached in SQLite, and returned to the UI.</w:t>
      </w:r>
    </w:p>
    <w:p>
      <w:pPr>
        <w:pStyle w:val="Heading2"/>
        <w:spacing w:after="140" w:before="280" w:line="312"/>
      </w:pPr>
      <w:bookmarkStart w:id="100004" w:name="_Toc100004"/>
      <w:r>
        <w:rPr>
          <w:rFonts w:ascii="Calibri" w:eastAsia="Microsoft YaHei"/>
          <w:b/>
          <w:bCs/>
          <w:color w:val="0B1C2C"/>
          <w:sz w:val="28"/>
          <w:szCs w:val="28"/>
        </w:rPr>
        <w:t xml:space="preserve">2.3 Expert Agent System (P1)</w:t>
      </w:r>
      <w:bookmarkEnd w:id="100004"/>
    </w:p>
    <w:p>
      <w:pPr>
        <w:spacing w:after="120" w:line="312"/>
        <w:jc w:val="both"/>
      </w:pPr>
      <w:r>
        <w:rPr>
          <w:rFonts w:ascii="Calibri" w:eastAsia="Microsoft YaHei"/>
          <w:color w:val="1A1A1A"/>
          <w:sz w:val="24"/>
          <w:szCs w:val="24"/>
        </w:rPr>
        <w:t xml:space="preserve">The expert mode decomposes the analysis task into specialized sub-agents, each focused on a single market dimension. Agent 1 (Price Action) analyzes candle patterns, support/resistance levels, and trend structures. Agent 2 (Volume) examines volume profiles, volume deltas, and buying/selling pressure imbalances. Agent 3 (Open Interest) evaluates OI changes, funding rates, and leverage dynamics. Agent 4 (Sentiment) processes liquidation data, order book imbalances, and market microstructure signals.</w:t>
      </w:r>
    </w:p>
    <w:p>
      <w:pPr>
        <w:spacing w:after="120" w:line="312"/>
        <w:jc w:val="both"/>
      </w:pPr>
      <w:r>
        <w:rPr>
          <w:rFonts w:ascii="Calibri" w:eastAsia="Microsoft YaHei"/>
          <w:color w:val="1A1A1A"/>
          <w:sz w:val="24"/>
          <w:szCs w:val="24"/>
        </w:rPr>
        <w:t xml:space="preserve">A final Synthesis Agent receives the outputs of all four specialist agents and produces a unified assessment with a consensus signal, aggregated confidence score, and detailed risk evaluation. This multi-agent approach typically produces more stable and nuanced trading signals compared to a single monolithic prompt, because each agent can focus deeply on its domain without context window dilution.</w:t>
      </w:r>
    </w:p>
    <w:p>
      <w:pPr>
        <w:pStyle w:val="Heading1"/>
        <w:spacing w:after="200" w:before="360" w:line="312"/>
      </w:pPr>
      <w:bookmarkStart w:id="100005" w:name="_Toc100005"/>
      <w:r>
        <w:rPr>
          <w:rFonts w:ascii="Calibri" w:eastAsia="Microsoft YaHei"/>
          <w:b/>
          <w:bCs/>
          <w:color w:val="0B1C2C"/>
          <w:sz w:val="32"/>
          <w:szCs w:val="32"/>
        </w:rPr>
        <w:t xml:space="preserve">3. Technology Stack</w:t>
      </w:r>
      <w:bookmarkEnd w:id="100005"/>
    </w:p>
    <w:p>
      <w:pPr>
        <w:spacing w:after="120" w:line="312"/>
        <w:jc w:val="both"/>
      </w:pPr>
      <w:r>
        <w:rPr>
          <w:rFonts w:ascii="Calibri" w:eastAsia="Microsoft YaHei"/>
          <w:color w:val="1A1A1A"/>
          <w:sz w:val="24"/>
          <w:szCs w:val="24"/>
        </w:rPr>
        <w:t xml:space="preserve">The technology stack for AI Analyzer v2.0 has been expanded to support the new features while maintaining backward compatibility with v1.0. Each component has been selected for its maturity, local execution capability, and community support.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1"/>
                <w:szCs w:val="21"/>
              </w:rPr>
              <w:t xml:space="preserve">Layer</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Technology</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Version</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Purpose</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UI</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Flutter</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3.x</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Cross-platform UI (Windows + Android)</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UI</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flutter_bloc / Riverpod</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State management</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UI</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fl_chart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Candlestick and technical charts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Backend</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Python</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3.11+</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Core runtime</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Backend</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FastAPI</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0.100+</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REST API server</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Backend</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uvicorn</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ASGI server</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Backend</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httpx / aiohttp</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Async HTTP client (Ollama)</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AI</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Ollama</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0.3+</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Local LLM inference engine</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AI</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GLM-4.7 Q4_K_M</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4.7</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Primary analysis model</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AI</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Qwen3 8B</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8B</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Secondary / comparison model</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AI</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DeepSeek-Coder</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7B</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Tertiary model for consensus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Database</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SQLite</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3.x</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Structured data + cache</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Database</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ChromaDB</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Vector DB for RAG (P3)</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Security</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Fernet (cryptography)</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Key encryption at rest</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Security</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watchdog</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latest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Process monitoring</w:t>
            </w:r>
          </w:p>
        </w:tc>
      </w:tr>
    </w:tbl>
    <w:p>
      <w:pPr>
        <w:spacing w:after="60"/>
      </w:pPr>
    </w:p>
    <w:p>
      <w:pPr>
        <w:pStyle w:val="Heading1"/>
        <w:spacing w:after="200" w:before="360" w:line="312"/>
      </w:pPr>
      <w:bookmarkStart w:id="100006" w:name="_Toc100006"/>
      <w:r>
        <w:rPr>
          <w:rFonts w:ascii="Calibri" w:eastAsia="Microsoft YaHei"/>
          <w:b/>
          <w:bCs/>
          <w:color w:val="0B1C2C"/>
          <w:sz w:val="32"/>
          <w:szCs w:val="32"/>
        </w:rPr>
        <w:t xml:space="preserve">4. Project Structure</w:t>
      </w:r>
      <w:bookmarkEnd w:id="100006"/>
    </w:p>
    <w:p>
      <w:pPr>
        <w:spacing w:after="120" w:line="312"/>
        <w:jc w:val="both"/>
      </w:pPr>
      <w:r>
        <w:rPr>
          <w:rFonts w:ascii="Calibri" w:eastAsia="Microsoft YaHei"/>
          <w:color w:val="1A1A1A"/>
          <w:sz w:val="24"/>
          <w:szCs w:val="24"/>
        </w:rPr>
        <w:t xml:space="preserve">The directory structure has been reorganized to accommodate the new modules while keeping the codebase navigable. The core principle is separation by concern: each major feature gets its own module within the appropriate layer, with shared utilities in a common directory.</w:t>
      </w:r>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Calibri"/>
                <w:b/>
                <w:bCs/>
                <w:color w:val="FFFFFF"/>
                <w:sz w:val="21"/>
                <w:szCs w:val="21"/>
              </w:rPr>
              <w:t xml:space="preserve">Path</w:t>
            </w:r>
          </w:p>
        </w:tc>
        <w:tc>
          <w:tcPr>
            <w:tcW w:type="pct" w:w="50%"/>
            <w:shd w:fill="1B6B7A"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ai_analyzer/</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Project root</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frontend/</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Flutter application (UI Layer)</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lib/</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Dart source code</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screens/</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UI screens (Dashboard, Analysis, Settings)</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widgets/</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Reusable Flutter widgets</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providers/</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State management (bloc/riverpod)</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services/</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API client for FastAPI</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backend/</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Python FastAPI (Service Layer)</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app.py</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FastAPI application entry point</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routes/</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API route handlers</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services/</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Business logic modules</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analyzer.py</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Core analysis orchestrator</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cache.py</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SHA256-based caching engine</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prompt_builder.py</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Prompt construction + sanitization</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security.py</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Input validation + injection prevention</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streamer.py</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Ollama streaming handler</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signal_tracker.py</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Signal quality assessment (P1)</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consensus.py</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Multi-model comparison (P1)</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agents/</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Expert mode agents (P1)</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models/</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Pydantic schemas for JSON validation</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db/</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SQLite database + migrations</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ai/</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Ollama configuration</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Modelfile</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Custom model configurations</w:t>
            </w:r>
          </w:p>
        </w:tc>
      </w:tr>
      <w:tr>
        <w:trPr>
          <w:cantSplit/>
        </w:trPr>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  scripts/</w:t>
            </w:r>
          </w:p>
        </w:tc>
        <w:tc>
          <w:tcPr>
            <w:tcW w:type="pct" w:w="50%"/>
            <w:shd w:fill="FFFFFF" w:val="clear"/>
            <w:tcMar>
              <w:top w:type="dxa" w:w="60"/>
              <w:left w:type="dxa" w:w="120"/>
              <w:bottom w:type="dxa" w:w="60"/>
              <w:right w:type="dxa" w:w="120"/>
            </w:tcMar>
          </w:tcPr>
          <w:p>
            <w:r>
              <w:rPr>
                <w:rFonts w:ascii="Calibri" w:eastAsia="Microsoft YaHei"/>
                <w:color w:val="1A1A1A"/>
                <w:sz w:val="21"/>
                <w:szCs w:val="21"/>
              </w:rPr>
              <w:t xml:space="preserve">Setup and utility scripts</w:t>
            </w:r>
          </w:p>
        </w:tc>
      </w:tr>
      <w:tr>
        <w:trPr>
          <w:cantSplit/>
        </w:trPr>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  tests/</w:t>
            </w:r>
          </w:p>
        </w:tc>
        <w:tc>
          <w:tcPr>
            <w:tcW w:type="pct" w:w="50%"/>
            <w:shd w:fill="F0F5F8" w:val="clear"/>
            <w:tcMar>
              <w:top w:type="dxa" w:w="60"/>
              <w:left w:type="dxa" w:w="120"/>
              <w:bottom w:type="dxa" w:w="60"/>
              <w:right w:type="dxa" w:w="120"/>
            </w:tcMar>
          </w:tcPr>
          <w:p>
            <w:r>
              <w:rPr>
                <w:rFonts w:ascii="Calibri" w:eastAsia="Microsoft YaHei"/>
                <w:color w:val="1A1A1A"/>
                <w:sz w:val="21"/>
                <w:szCs w:val="21"/>
              </w:rPr>
              <w:t xml:space="preserve">Unit and integration tests</w:t>
            </w:r>
          </w:p>
        </w:tc>
      </w:tr>
    </w:tbl>
    <w:p>
      <w:pPr>
        <w:spacing w:after="60"/>
      </w:pPr>
    </w:p>
    <w:p>
      <w:pPr>
        <w:pStyle w:val="Heading1"/>
        <w:spacing w:after="200" w:before="360" w:line="312"/>
      </w:pPr>
      <w:bookmarkStart w:id="100007" w:name="_Toc100007"/>
      <w:r>
        <w:rPr>
          <w:rFonts w:ascii="Calibri" w:eastAsia="Microsoft YaHei"/>
          <w:b/>
          <w:bCs/>
          <w:color w:val="0B1C2C"/>
          <w:sz w:val="32"/>
          <w:szCs w:val="32"/>
        </w:rPr>
        <w:t xml:space="preserve">5. Code Examples</w:t>
      </w:r>
      <w:bookmarkEnd w:id="100007"/>
    </w:p>
    <w:p>
      <w:pPr>
        <w:pStyle w:val="Heading2"/>
        <w:spacing w:after="140" w:before="280" w:line="312"/>
      </w:pPr>
      <w:bookmarkStart w:id="100008" w:name="_Toc100008"/>
      <w:r>
        <w:rPr>
          <w:rFonts w:ascii="Calibri" w:eastAsia="Microsoft YaHei"/>
          <w:b/>
          <w:bCs/>
          <w:color w:val="0B1C2C"/>
          <w:sz w:val="28"/>
          <w:szCs w:val="28"/>
        </w:rPr>
        <w:t xml:space="preserve">5.1 JSON Output Schema (P0)</w:t>
      </w:r>
      <w:bookmarkEnd w:id="100008"/>
    </w:p>
    <w:p>
      <w:pPr>
        <w:spacing w:after="120" w:line="312"/>
        <w:jc w:val="both"/>
      </w:pPr>
      <w:r>
        <w:rPr>
          <w:rFonts w:ascii="Calibri" w:eastAsia="Microsoft YaHei"/>
          <w:color w:val="1A1A1A"/>
          <w:sz w:val="24"/>
          <w:szCs w:val="24"/>
        </w:rPr>
        <w:t xml:space="preserve">The most critical v2.0 improvement is enforcing a strict JSON schema for all LLM outputs. Instead of free-form text analysis, the model is instructed through carefully crafted system prompts to produce a structured JSON response. This enables automated signal processing, chart generation, MT5 integration, and statistical tracking without any manual parsing or regex-based extraction.</w:t>
      </w:r>
    </w:p>
    <w:p>
      <w:pPr>
        <w:shd w:fill="F5F7FA" w:val="clear"/>
        <w:spacing w:after="80" w:before="80" w:line="276"/>
        <w:ind w:left="360"/>
      </w:pPr>
      <w:r>
        <w:rPr>
          <w:rFonts w:ascii="Consolas" w:eastAsia="Microsoft YaHei"/>
          <w:color w:val="2C3E50"/>
          <w:sz w:val="20"/>
          <w:szCs w:val="20"/>
        </w:rPr>
        <w:t xml:space="preserve">{</w:t>
      </w:r>
    </w:p>
    <w:p>
      <w:pPr>
        <w:shd w:fill="F5F7FA" w:val="clear"/>
        <w:spacing w:after="80" w:before="80" w:line="276"/>
        <w:ind w:left="360"/>
      </w:pPr>
      <w:r>
        <w:rPr>
          <w:rFonts w:ascii="Consolas" w:eastAsia="Microsoft YaHei"/>
          <w:color w:val="2C3E50"/>
          <w:sz w:val="20"/>
          <w:szCs w:val="20"/>
        </w:rPr>
        <w:t xml:space="preserve">  "signal": "BUY | SELL | HOLD",</w:t>
      </w:r>
    </w:p>
    <w:p>
      <w:pPr>
        <w:shd w:fill="F5F7FA" w:val="clear"/>
        <w:spacing w:after="80" w:before="80" w:line="276"/>
        <w:ind w:left="360"/>
      </w:pPr>
      <w:r>
        <w:rPr>
          <w:rFonts w:ascii="Consolas" w:eastAsia="Microsoft YaHei"/>
          <w:color w:val="2C3E50"/>
          <w:sz w:val="20"/>
          <w:szCs w:val="20"/>
        </w:rPr>
        <w:t xml:space="preserve">  "confidence": 78,</w:t>
      </w:r>
    </w:p>
    <w:p>
      <w:pPr>
        <w:shd w:fill="F5F7FA" w:val="clear"/>
        <w:spacing w:after="80" w:before="80" w:line="276"/>
        <w:ind w:left="360"/>
      </w:pPr>
      <w:r>
        <w:rPr>
          <w:rFonts w:ascii="Consolas" w:eastAsia="Microsoft YaHei"/>
          <w:color w:val="2C3E50"/>
          <w:sz w:val="20"/>
          <w:szCs w:val="20"/>
        </w:rPr>
        <w:t xml:space="preserve">  "trend": "bullish | bearish | sideways",</w:t>
      </w:r>
    </w:p>
    <w:p>
      <w:pPr>
        <w:shd w:fill="F5F7FA" w:val="clear"/>
        <w:spacing w:after="80" w:before="80" w:line="276"/>
        <w:ind w:left="360"/>
      </w:pPr>
      <w:r>
        <w:rPr>
          <w:rFonts w:ascii="Consolas" w:eastAsia="Microsoft YaHei"/>
          <w:color w:val="2C3E50"/>
          <w:sz w:val="20"/>
          <w:szCs w:val="20"/>
        </w:rPr>
        <w:t xml:space="preserve">  "risk": "low | medium | high",</w:t>
      </w:r>
    </w:p>
    <w:p>
      <w:pPr>
        <w:shd w:fill="F5F7FA" w:val="clear"/>
        <w:spacing w:after="80" w:before="80" w:line="276"/>
        <w:ind w:left="360"/>
      </w:pPr>
      <w:r>
        <w:rPr>
          <w:rFonts w:ascii="Consolas" w:eastAsia="Microsoft YaHei"/>
          <w:color w:val="2C3E50"/>
          <w:sz w:val="20"/>
          <w:szCs w:val="20"/>
        </w:rPr>
        <w:t xml:space="preserve">  "entry": 105000,</w:t>
      </w:r>
    </w:p>
    <w:p>
      <w:pPr>
        <w:shd w:fill="F5F7FA" w:val="clear"/>
        <w:spacing w:after="80" w:before="80" w:line="276"/>
        <w:ind w:left="360"/>
      </w:pPr>
      <w:r>
        <w:rPr>
          <w:rFonts w:ascii="Consolas" w:eastAsia="Microsoft YaHei"/>
          <w:color w:val="2C3E50"/>
          <w:sz w:val="20"/>
          <w:szCs w:val="20"/>
        </w:rPr>
        <w:t xml:space="preserve">  "stop_loss": 103500,</w:t>
      </w:r>
    </w:p>
    <w:p>
      <w:pPr>
        <w:shd w:fill="F5F7FA" w:val="clear"/>
        <w:spacing w:after="80" w:before="80" w:line="276"/>
        <w:ind w:left="360"/>
      </w:pPr>
      <w:r>
        <w:rPr>
          <w:rFonts w:ascii="Consolas" w:eastAsia="Microsoft YaHei"/>
          <w:color w:val="2C3E50"/>
          <w:sz w:val="20"/>
          <w:szCs w:val="20"/>
        </w:rPr>
        <w:t xml:space="preserve">  "targets": [106500, 108000, 110000],</w:t>
      </w:r>
    </w:p>
    <w:p>
      <w:pPr>
        <w:shd w:fill="F5F7FA" w:val="clear"/>
        <w:spacing w:after="80" w:before="80" w:line="276"/>
        <w:ind w:left="360"/>
      </w:pPr>
      <w:r>
        <w:rPr>
          <w:rFonts w:ascii="Consolas" w:eastAsia="Microsoft YaHei"/>
          <w:color w:val="2C3E50"/>
          <w:sz w:val="20"/>
          <w:szCs w:val="20"/>
        </w:rPr>
        <w:t xml:space="preserve">  "timeframe": "4h",</w:t>
      </w:r>
    </w:p>
    <w:p>
      <w:pPr>
        <w:shd w:fill="F5F7FA" w:val="clear"/>
        <w:spacing w:after="80" w:before="80" w:line="276"/>
        <w:ind w:left="360"/>
      </w:pPr>
      <w:r>
        <w:rPr>
          <w:rFonts w:ascii="Consolas" w:eastAsia="Microsoft YaHei"/>
          <w:color w:val="2C3E50"/>
          <w:sz w:val="20"/>
          <w:szCs w:val="20"/>
        </w:rPr>
        <w:t xml:space="preserve">  "summary": "Detailed text analysis..."</w:t>
      </w:r>
    </w:p>
    <w:p>
      <w:pPr>
        <w:shd w:fill="F5F7FA" w:val="clear"/>
        <w:spacing w:after="80" w:before="80" w:line="276"/>
        <w:ind w:left="360"/>
      </w:pPr>
      <w:r>
        <w:rPr>
          <w:rFonts w:ascii="Consolas" w:eastAsia="Microsoft YaHei"/>
          <w:color w:val="2C3E50"/>
          <w:sz w:val="20"/>
          <w:szCs w:val="20"/>
        </w:rPr>
        <w:t xml:space="preserve">}</w:t>
      </w:r>
    </w:p>
    <w:p>
      <w:pPr>
        <w:spacing w:after="120" w:line="312"/>
        <w:jc w:val="both"/>
      </w:pPr>
      <w:r>
        <w:rPr>
          <w:rFonts w:ascii="Calibri" w:eastAsia="Microsoft YaHei"/>
          <w:color w:val="1A1A1A"/>
          <w:sz w:val="24"/>
          <w:szCs w:val="24"/>
        </w:rPr>
        <w:t xml:space="preserve">The Pydantic model for validation ensures that every field is present and within acceptable ranges before the response is stored or displayed. Confidence scores below 60 are automatically flagged as weak signals in the UI, and signals below 40 are marked as unreliable and displayed with a warning indicator.</w:t>
      </w:r>
    </w:p>
    <w:p>
      <w:pPr>
        <w:pStyle w:val="Heading2"/>
        <w:spacing w:after="140" w:before="280" w:line="312"/>
      </w:pPr>
      <w:bookmarkStart w:id="100009" w:name="_Toc100009"/>
      <w:r>
        <w:rPr>
          <w:rFonts w:ascii="Calibri" w:eastAsia="Microsoft YaHei"/>
          <w:b/>
          <w:bCs/>
          <w:color w:val="0B1C2C"/>
          <w:sz w:val="28"/>
          <w:szCs w:val="28"/>
        </w:rPr>
        <w:t xml:space="preserve">5.2 Streaming Ollama Client (P0)</w:t>
      </w:r>
      <w:bookmarkEnd w:id="100009"/>
    </w:p>
    <w:p>
      <w:pPr>
        <w:spacing w:after="120" w:line="312"/>
        <w:jc w:val="both"/>
      </w:pPr>
      <w:r>
        <w:rPr>
          <w:rFonts w:ascii="Calibri" w:eastAsia="Microsoft YaHei"/>
          <w:color w:val="1A1A1A"/>
          <w:sz w:val="24"/>
          <w:szCs w:val="24"/>
        </w:rPr>
        <w:t xml:space="preserve">The streaming implementation uses the Ollama streaming API endpoint with Server-Sent Events (SSE). Instead of waiting for the full response (which can take 10-30 seconds for complex analysis), tokens are forwarded to the Flutter UI as they are generated, providing real-time visual feedback that dramatically improves perceived responsiveness.</w:t>
      </w:r>
    </w:p>
    <w:p>
      <w:pPr>
        <w:shd w:fill="F5F7FA" w:val="clear"/>
        <w:spacing w:after="80" w:before="80" w:line="276"/>
        <w:ind w:left="360"/>
      </w:pPr>
      <w:r>
        <w:rPr>
          <w:rFonts w:ascii="Consolas" w:eastAsia="Microsoft YaHei"/>
          <w:color w:val="2C3E50"/>
          <w:sz w:val="20"/>
          <w:szCs w:val="20"/>
        </w:rPr>
        <w:t xml:space="preserve">import httpx</w:t>
      </w:r>
    </w:p>
    <w:p>
      <w:pPr>
        <w:shd w:fill="F5F7FA" w:val="clear"/>
        <w:spacing w:after="80" w:before="80" w:line="276"/>
        <w:ind w:left="360"/>
      </w:pPr>
      <w:r>
        <w:rPr>
          <w:rFonts w:ascii="Consolas" w:eastAsia="Microsoft YaHei"/>
          <w:color w:val="2C3E50"/>
          <w:sz w:val="20"/>
          <w:szCs w:val="20"/>
        </w:rPr>
        <w:t xml:space="preserve">import asyncio</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async def stream_analysis(prompt: str, model: str = "qwen3:8b"):</w:t>
      </w:r>
    </w:p>
    <w:p>
      <w:pPr>
        <w:shd w:fill="F5F7FA" w:val="clear"/>
        <w:spacing w:after="80" w:before="80" w:line="276"/>
        <w:ind w:left="360"/>
      </w:pPr>
      <w:r>
        <w:rPr>
          <w:rFonts w:ascii="Consolas" w:eastAsia="Microsoft YaHei"/>
          <w:color w:val="2C3E50"/>
          <w:sz w:val="20"/>
          <w:szCs w:val="20"/>
        </w:rPr>
        <w:t xml:space="preserve">    async with httpx.AsyncClient() as client:</w:t>
      </w:r>
    </w:p>
    <w:p>
      <w:pPr>
        <w:shd w:fill="F5F7FA" w:val="clear"/>
        <w:spacing w:after="80" w:before="80" w:line="276"/>
        <w:ind w:left="360"/>
      </w:pPr>
      <w:r>
        <w:rPr>
          <w:rFonts w:ascii="Consolas" w:eastAsia="Microsoft YaHei"/>
          <w:color w:val="2C3E50"/>
          <w:sz w:val="20"/>
          <w:szCs w:val="20"/>
        </w:rPr>
        <w:t xml:space="preserve">        async with client.stream("POST",</w:t>
      </w:r>
    </w:p>
    <w:p>
      <w:pPr>
        <w:shd w:fill="F5F7FA" w:val="clear"/>
        <w:spacing w:after="80" w:before="80" w:line="276"/>
        <w:ind w:left="360"/>
      </w:pPr>
      <w:r>
        <w:rPr>
          <w:rFonts w:ascii="Consolas" w:eastAsia="Microsoft YaHei"/>
          <w:color w:val="2C3E50"/>
          <w:sz w:val="20"/>
          <w:szCs w:val="20"/>
        </w:rPr>
        <w:t xml:space="preserve">            "http://127.0.0.1:11434/api/generate",</w:t>
      </w:r>
    </w:p>
    <w:p>
      <w:pPr>
        <w:shd w:fill="F5F7FA" w:val="clear"/>
        <w:spacing w:after="80" w:before="80" w:line="276"/>
        <w:ind w:left="360"/>
      </w:pPr>
      <w:r>
        <w:rPr>
          <w:rFonts w:ascii="Consolas" w:eastAsia="Microsoft YaHei"/>
          <w:color w:val="2C3E50"/>
          <w:sz w:val="20"/>
          <w:szCs w:val="20"/>
        </w:rPr>
        <w:t xml:space="preserve">            json={"model": model, "prompt": prompt,</w:t>
      </w:r>
    </w:p>
    <w:p>
      <w:pPr>
        <w:shd w:fill="F5F7FA" w:val="clear"/>
        <w:spacing w:after="80" w:before="80" w:line="276"/>
        <w:ind w:left="360"/>
      </w:pPr>
      <w:r>
        <w:rPr>
          <w:rFonts w:ascii="Consolas" w:eastAsia="Microsoft YaHei"/>
          <w:color w:val="2C3E50"/>
          <w:sz w:val="20"/>
          <w:szCs w:val="20"/>
        </w:rPr>
        <w:t xml:space="preserve">                  "stream": True},</w:t>
      </w:r>
    </w:p>
    <w:p>
      <w:pPr>
        <w:shd w:fill="F5F7FA" w:val="clear"/>
        <w:spacing w:after="80" w:before="80" w:line="276"/>
        <w:ind w:left="360"/>
      </w:pPr>
      <w:r>
        <w:rPr>
          <w:rFonts w:ascii="Consolas" w:eastAsia="Microsoft YaHei"/>
          <w:color w:val="2C3E50"/>
          <w:sz w:val="20"/>
          <w:szCs w:val="20"/>
        </w:rPr>
        <w:t xml:space="preserve">            timeout=120</w:t>
      </w:r>
    </w:p>
    <w:p>
      <w:pPr>
        <w:shd w:fill="F5F7FA" w:val="clear"/>
        <w:spacing w:after="80" w:before="80" w:line="276"/>
        <w:ind w:left="360"/>
      </w:pPr>
      <w:r>
        <w:rPr>
          <w:rFonts w:ascii="Consolas" w:eastAsia="Microsoft YaHei"/>
          <w:color w:val="2C3E50"/>
          <w:sz w:val="20"/>
          <w:szCs w:val="20"/>
        </w:rPr>
        <w:t xml:space="preserve">        ) as response:</w:t>
      </w:r>
    </w:p>
    <w:p>
      <w:pPr>
        <w:shd w:fill="F5F7FA" w:val="clear"/>
        <w:spacing w:after="80" w:before="80" w:line="276"/>
        <w:ind w:left="360"/>
      </w:pPr>
      <w:r>
        <w:rPr>
          <w:rFonts w:ascii="Consolas" w:eastAsia="Microsoft YaHei"/>
          <w:color w:val="2C3E50"/>
          <w:sz w:val="20"/>
          <w:szCs w:val="20"/>
        </w:rPr>
        <w:t xml:space="preserve">            async for line in response.aiter_lines():</w:t>
      </w:r>
    </w:p>
    <w:p>
      <w:pPr>
        <w:shd w:fill="F5F7FA" w:val="clear"/>
        <w:spacing w:after="80" w:before="80" w:line="276"/>
        <w:ind w:left="360"/>
      </w:pPr>
      <w:r>
        <w:rPr>
          <w:rFonts w:ascii="Consolas" w:eastAsia="Microsoft YaHei"/>
          <w:color w:val="2C3E50"/>
          <w:sz w:val="20"/>
          <w:szCs w:val="20"/>
        </w:rPr>
        <w:t xml:space="preserve">                if line:</w:t>
      </w:r>
    </w:p>
    <w:p>
      <w:pPr>
        <w:shd w:fill="F5F7FA" w:val="clear"/>
        <w:spacing w:after="80" w:before="80" w:line="276"/>
        <w:ind w:left="360"/>
      </w:pPr>
      <w:r>
        <w:rPr>
          <w:rFonts w:ascii="Consolas" w:eastAsia="Microsoft YaHei"/>
          <w:color w:val="2C3E50"/>
          <w:sz w:val="20"/>
          <w:szCs w:val="20"/>
        </w:rPr>
        <w:t xml:space="preserve">                    chunk = json.loads(line)</w:t>
      </w:r>
    </w:p>
    <w:p>
      <w:pPr>
        <w:shd w:fill="F5F7FA" w:val="clear"/>
        <w:spacing w:after="80" w:before="80" w:line="276"/>
        <w:ind w:left="360"/>
      </w:pPr>
      <w:r>
        <w:rPr>
          <w:rFonts w:ascii="Consolas" w:eastAsia="Microsoft YaHei"/>
          <w:color w:val="2C3E50"/>
          <w:sz w:val="20"/>
          <w:szCs w:val="20"/>
        </w:rPr>
        <w:t xml:space="preserve">                    yield chunk.get("response", "")</w:t>
      </w:r>
    </w:p>
    <w:p>
      <w:pPr>
        <w:pStyle w:val="Heading2"/>
        <w:spacing w:after="140" w:before="280" w:line="312"/>
      </w:pPr>
      <w:bookmarkStart w:id="100010" w:name="_Toc100010"/>
      <w:r>
        <w:rPr>
          <w:rFonts w:ascii="Calibri" w:eastAsia="Microsoft YaHei"/>
          <w:b/>
          <w:bCs/>
          <w:color w:val="0B1C2C"/>
          <w:sz w:val="28"/>
          <w:szCs w:val="28"/>
        </w:rPr>
        <w:t xml:space="preserve">5.3 SHA256 Cache Engine (P0)</w:t>
      </w:r>
      <w:bookmarkEnd w:id="100010"/>
    </w:p>
    <w:p>
      <w:pPr>
        <w:spacing w:after="120" w:line="312"/>
        <w:jc w:val="both"/>
      </w:pPr>
      <w:r>
        <w:rPr>
          <w:rFonts w:ascii="Calibri" w:eastAsia="Microsoft YaHei"/>
          <w:color w:val="1A1A1A"/>
          <w:sz w:val="24"/>
          <w:szCs w:val="24"/>
        </w:rPr>
        <w:t xml:space="preserve">The caching system computes a SHA256 hash of the entire JSON input payload (market data + analysis parameters). If the hash matches an existing cache entry and the entry is not expired, the system returns the cached result without invoking the LLM. This can reduce response times from 15-30 seconds to under 100 milliseconds for repeated queries with unchanged market data.</w:t>
      </w:r>
    </w:p>
    <w:p>
      <w:pPr>
        <w:shd w:fill="F5F7FA" w:val="clear"/>
        <w:spacing w:after="80" w:before="80" w:line="276"/>
        <w:ind w:left="360"/>
      </w:pPr>
      <w:r>
        <w:rPr>
          <w:rFonts w:ascii="Consolas" w:eastAsia="Microsoft YaHei"/>
          <w:color w:val="2C3E50"/>
          <w:sz w:val="20"/>
          <w:szCs w:val="20"/>
        </w:rPr>
        <w:t xml:space="preserve">import hashlib, json, sqlite3</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def get_cache_key(data: dict) -&gt; str:</w:t>
      </w:r>
    </w:p>
    <w:p>
      <w:pPr>
        <w:shd w:fill="F5F7FA" w:val="clear"/>
        <w:spacing w:after="80" w:before="80" w:line="276"/>
        <w:ind w:left="360"/>
      </w:pPr>
      <w:r>
        <w:rPr>
          <w:rFonts w:ascii="Consolas" w:eastAsia="Microsoft YaHei"/>
          <w:color w:val="2C3E50"/>
          <w:sz w:val="20"/>
          <w:szCs w:val="20"/>
        </w:rPr>
        <w:t xml:space="preserve">    raw = json.dumps(data, sort_keys=True)</w:t>
      </w:r>
    </w:p>
    <w:p>
      <w:pPr>
        <w:shd w:fill="F5F7FA" w:val="clear"/>
        <w:spacing w:after="80" w:before="80" w:line="276"/>
        <w:ind w:left="360"/>
      </w:pPr>
      <w:r>
        <w:rPr>
          <w:rFonts w:ascii="Consolas" w:eastAsia="Microsoft YaHei"/>
          <w:color w:val="2C3E50"/>
          <w:sz w:val="20"/>
          <w:szCs w:val="20"/>
        </w:rPr>
        <w:t xml:space="preserve">    return hashlib.sha256(raw.encode()).hexdigest()</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def check_cache(data: dict, ttl: int = 300) -&gt; dict | None:</w:t>
      </w:r>
    </w:p>
    <w:p>
      <w:pPr>
        <w:shd w:fill="F5F7FA" w:val="clear"/>
        <w:spacing w:after="80" w:before="80" w:line="276"/>
        <w:ind w:left="360"/>
      </w:pPr>
      <w:r>
        <w:rPr>
          <w:rFonts w:ascii="Consolas" w:eastAsia="Microsoft YaHei"/>
          <w:color w:val="2C3E50"/>
          <w:sz w:val="20"/>
          <w:szCs w:val="20"/>
        </w:rPr>
        <w:t xml:space="preserve">    key = get_cache_key(data)</w:t>
      </w:r>
    </w:p>
    <w:p>
      <w:pPr>
        <w:shd w:fill="F5F7FA" w:val="clear"/>
        <w:spacing w:after="80" w:before="80" w:line="276"/>
        <w:ind w:left="360"/>
      </w:pPr>
      <w:r>
        <w:rPr>
          <w:rFonts w:ascii="Consolas" w:eastAsia="Microsoft YaHei"/>
          <w:color w:val="2C3E50"/>
          <w:sz w:val="20"/>
          <w:szCs w:val="20"/>
        </w:rPr>
        <w:t xml:space="preserve">    row = db.execute(</w:t>
      </w:r>
    </w:p>
    <w:p>
      <w:pPr>
        <w:shd w:fill="F5F7FA" w:val="clear"/>
        <w:spacing w:after="80" w:before="80" w:line="276"/>
        <w:ind w:left="360"/>
      </w:pPr>
      <w:r>
        <w:rPr>
          <w:rFonts w:ascii="Consolas" w:eastAsia="Microsoft YaHei"/>
          <w:color w:val="2C3E50"/>
          <w:sz w:val="20"/>
          <w:szCs w:val="20"/>
        </w:rPr>
        <w:t xml:space="preserve">        "SELECT result, timestamp FROM cache WHERE key=?", (key,)</w:t>
      </w:r>
    </w:p>
    <w:p>
      <w:pPr>
        <w:shd w:fill="F5F7FA" w:val="clear"/>
        <w:spacing w:after="80" w:before="80" w:line="276"/>
        <w:ind w:left="360"/>
      </w:pPr>
      <w:r>
        <w:rPr>
          <w:rFonts w:ascii="Consolas" w:eastAsia="Microsoft YaHei"/>
          <w:color w:val="2C3E50"/>
          <w:sz w:val="20"/>
          <w:szCs w:val="20"/>
        </w:rPr>
        <w:t xml:space="preserve">    ).fetchone()</w:t>
      </w:r>
    </w:p>
    <w:p>
      <w:pPr>
        <w:shd w:fill="F5F7FA" w:val="clear"/>
        <w:spacing w:after="80" w:before="80" w:line="276"/>
        <w:ind w:left="360"/>
      </w:pPr>
      <w:r>
        <w:rPr>
          <w:rFonts w:ascii="Consolas" w:eastAsia="Microsoft YaHei"/>
          <w:color w:val="2C3E50"/>
          <w:sz w:val="20"/>
          <w:szCs w:val="20"/>
        </w:rPr>
        <w:t xml:space="preserve">    if row and (time.time() - row[1]) &lt; ttl:</w:t>
      </w:r>
    </w:p>
    <w:p>
      <w:pPr>
        <w:shd w:fill="F5F7FA" w:val="clear"/>
        <w:spacing w:after="80" w:before="80" w:line="276"/>
        <w:ind w:left="360"/>
      </w:pPr>
      <w:r>
        <w:rPr>
          <w:rFonts w:ascii="Consolas" w:eastAsia="Microsoft YaHei"/>
          <w:color w:val="2C3E50"/>
          <w:sz w:val="20"/>
          <w:szCs w:val="20"/>
        </w:rPr>
        <w:t xml:space="preserve">        return json.loads(row[0])</w:t>
      </w:r>
    </w:p>
    <w:p>
      <w:pPr>
        <w:shd w:fill="F5F7FA" w:val="clear"/>
        <w:spacing w:after="80" w:before="80" w:line="276"/>
        <w:ind w:left="360"/>
      </w:pPr>
      <w:r>
        <w:rPr>
          <w:rFonts w:ascii="Consolas" w:eastAsia="Microsoft YaHei"/>
          <w:color w:val="2C3E50"/>
          <w:sz w:val="20"/>
          <w:szCs w:val="20"/>
        </w:rPr>
        <w:t xml:space="preserve">    return None</w:t>
      </w:r>
    </w:p>
    <w:p>
      <w:pPr>
        <w:pStyle w:val="Heading2"/>
        <w:spacing w:after="140" w:before="280" w:line="312"/>
      </w:pPr>
      <w:bookmarkStart w:id="100011" w:name="_Toc100011"/>
      <w:r>
        <w:rPr>
          <w:rFonts w:ascii="Calibri" w:eastAsia="Microsoft YaHei"/>
          <w:b/>
          <w:bCs/>
          <w:color w:val="0B1C2C"/>
          <w:sz w:val="28"/>
          <w:szCs w:val="28"/>
        </w:rPr>
        <w:t xml:space="preserve">5.4 Multi-Model Consensus (P1)</w:t>
      </w:r>
      <w:bookmarkEnd w:id="100011"/>
    </w:p>
    <w:p>
      <w:pPr>
        <w:spacing w:after="120" w:line="312"/>
        <w:jc w:val="both"/>
      </w:pPr>
      <w:r>
        <w:rPr>
          <w:rFonts w:ascii="Calibri" w:eastAsia="Microsoft YaHei"/>
          <w:color w:val="1A1A1A"/>
          <w:sz w:val="24"/>
          <w:szCs w:val="24"/>
        </w:rPr>
        <w:t xml:space="preserve">The consensus module runs the same prompt through multiple models simultaneously (Qwen3 8B, GLM-4.7, DeepSeek 7B) and aggregates the results. When all three models agree on a signal, the confidence is boosted by 15%. When models disagree, the system reports the divergence and presents each model's reasoning, allowing the trader to make an informed decision.</w:t>
      </w:r>
    </w:p>
    <w:p>
      <w:pPr>
        <w:shd w:fill="F5F7FA" w:val="clear"/>
        <w:spacing w:after="80" w:before="80" w:line="276"/>
        <w:ind w:left="360"/>
      </w:pPr>
      <w:r>
        <w:rPr>
          <w:rFonts w:ascii="Consolas" w:eastAsia="Microsoft YaHei"/>
          <w:color w:val="2C3E50"/>
          <w:sz w:val="20"/>
          <w:szCs w:val="20"/>
        </w:rPr>
        <w:t xml:space="preserve">import asyncio</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async def run_consensus(prompt: str, data: dict) -&gt; dict:</w:t>
      </w:r>
    </w:p>
    <w:p>
      <w:pPr>
        <w:shd w:fill="F5F7FA" w:val="clear"/>
        <w:spacing w:after="80" w:before="80" w:line="276"/>
        <w:ind w:left="360"/>
      </w:pPr>
      <w:r>
        <w:rPr>
          <w:rFonts w:ascii="Consolas" w:eastAsia="Microsoft YaHei"/>
          <w:color w:val="2C3E50"/>
          <w:sz w:val="20"/>
          <w:szCs w:val="20"/>
        </w:rPr>
        <w:t xml:space="preserve">    models = ["qwen3:8b", "glm4:9b", "deepseek:7b"]</w:t>
      </w:r>
    </w:p>
    <w:p>
      <w:pPr>
        <w:shd w:fill="F5F7FA" w:val="clear"/>
        <w:spacing w:after="80" w:before="80" w:line="276"/>
        <w:ind w:left="360"/>
      </w:pPr>
      <w:r>
        <w:rPr>
          <w:rFonts w:ascii="Consolas" w:eastAsia="Microsoft YaHei"/>
          <w:color w:val="2C3E50"/>
          <w:sz w:val="20"/>
          <w:szCs w:val="20"/>
        </w:rPr>
        <w:t xml:space="preserve">    tasks = [ask_model(prompt, m) for m in models]</w:t>
      </w:r>
    </w:p>
    <w:p>
      <w:pPr>
        <w:shd w:fill="F5F7FA" w:val="clear"/>
        <w:spacing w:after="80" w:before="80" w:line="276"/>
        <w:ind w:left="360"/>
      </w:pPr>
      <w:r>
        <w:rPr>
          <w:rFonts w:ascii="Consolas" w:eastAsia="Microsoft YaHei"/>
          <w:color w:val="2C3E50"/>
          <w:sz w:val="20"/>
          <w:szCs w:val="20"/>
        </w:rPr>
        <w:t xml:space="preserve">    results = await asyncio.gather(*tasks)</w:t>
      </w:r>
    </w:p>
    <w:p>
      <w:pPr>
        <w:shd w:fill="F5F7FA" w:val="clear"/>
        <w:spacing w:after="80" w:before="80" w:line="276"/>
        <w:ind w:left="360"/>
      </w:pPr>
      <w:r>
        <w:rPr>
          <w:rFonts w:ascii="Consolas" w:eastAsia="Microsoft YaHei"/>
          <w:color w:val="2C3E50"/>
          <w:sz w:val="20"/>
          <w:szCs w:val="20"/>
        </w:rPr>
        <w:t xml:space="preserve">    signals = [r["signal"] for r in results]</w:t>
      </w:r>
    </w:p>
    <w:p>
      <w:pPr>
        <w:shd w:fill="F5F7FA" w:val="clear"/>
        <w:spacing w:after="80" w:before="80" w:line="276"/>
        <w:ind w:left="360"/>
      </w:pPr>
      <w:r>
        <w:rPr>
          <w:rFonts w:ascii="Consolas" w:eastAsia="Microsoft YaHei"/>
          <w:color w:val="2C3E50"/>
          <w:sz w:val="20"/>
          <w:szCs w:val="20"/>
        </w:rPr>
        <w:t xml:space="preserve">    consensus = max(set(signals), key=signals.count)</w:t>
      </w:r>
    </w:p>
    <w:p>
      <w:pPr>
        <w:shd w:fill="F5F7FA" w:val="clear"/>
        <w:spacing w:after="80" w:before="80" w:line="276"/>
        <w:ind w:left="360"/>
      </w:pPr>
      <w:r>
        <w:rPr>
          <w:rFonts w:ascii="Consolas" w:eastAsia="Microsoft YaHei"/>
          <w:color w:val="2C3E50"/>
          <w:sz w:val="20"/>
          <w:szCs w:val="20"/>
        </w:rPr>
        <w:t xml:space="preserve">    agreement = signals.count(consensus) / len(signals)</w:t>
      </w:r>
    </w:p>
    <w:p>
      <w:pPr>
        <w:shd w:fill="F5F7FA" w:val="clear"/>
        <w:spacing w:after="80" w:before="80" w:line="276"/>
        <w:ind w:left="360"/>
      </w:pPr>
      <w:r>
        <w:rPr>
          <w:rFonts w:ascii="Consolas" w:eastAsia="Microsoft YaHei"/>
          <w:color w:val="2C3E50"/>
          <w:sz w:val="20"/>
          <w:szCs w:val="20"/>
        </w:rPr>
        <w:t xml:space="preserve">    return {</w:t>
      </w:r>
    </w:p>
    <w:p>
      <w:pPr>
        <w:shd w:fill="F5F7FA" w:val="clear"/>
        <w:spacing w:after="80" w:before="80" w:line="276"/>
        <w:ind w:left="360"/>
      </w:pPr>
      <w:r>
        <w:rPr>
          <w:rFonts w:ascii="Consolas" w:eastAsia="Microsoft YaHei"/>
          <w:color w:val="2C3E50"/>
          <w:sz w:val="20"/>
          <w:szCs w:val="20"/>
        </w:rPr>
        <w:t xml:space="preserve">        "consensus": consensus,</w:t>
      </w:r>
    </w:p>
    <w:p>
      <w:pPr>
        <w:shd w:fill="F5F7FA" w:val="clear"/>
        <w:spacing w:after="80" w:before="80" w:line="276"/>
        <w:ind w:left="360"/>
      </w:pPr>
      <w:r>
        <w:rPr>
          <w:rFonts w:ascii="Consolas" w:eastAsia="Microsoft YaHei"/>
          <w:color w:val="2C3E50"/>
          <w:sz w:val="20"/>
          <w:szCs w:val="20"/>
        </w:rPr>
        <w:t xml:space="preserve">        "agreement_pct": int(agreement * 100),</w:t>
      </w:r>
    </w:p>
    <w:p>
      <w:pPr>
        <w:shd w:fill="F5F7FA" w:val="clear"/>
        <w:spacing w:after="80" w:before="80" w:line="276"/>
        <w:ind w:left="360"/>
      </w:pPr>
      <w:r>
        <w:rPr>
          <w:rFonts w:ascii="Consolas" w:eastAsia="Microsoft YaHei"/>
          <w:color w:val="2C3E50"/>
          <w:sz w:val="20"/>
          <w:szCs w:val="20"/>
        </w:rPr>
        <w:t xml:space="preserve">        "models": results</w:t>
      </w:r>
    </w:p>
    <w:p>
      <w:pPr>
        <w:shd w:fill="F5F7FA" w:val="clear"/>
        <w:spacing w:after="80" w:before="80" w:line="276"/>
        <w:ind w:left="360"/>
      </w:pPr>
      <w:r>
        <w:rPr>
          <w:rFonts w:ascii="Consolas" w:eastAsia="Microsoft YaHei"/>
          <w:color w:val="2C3E50"/>
          <w:sz w:val="20"/>
          <w:szCs w:val="20"/>
        </w:rPr>
        <w:t xml:space="preserve">    }</w:t>
      </w:r>
    </w:p>
    <w:p>
      <w:pPr>
        <w:pStyle w:val="Heading2"/>
        <w:spacing w:after="140" w:before="280" w:line="312"/>
      </w:pPr>
      <w:bookmarkStart w:id="100012" w:name="_Toc100012"/>
      <w:r>
        <w:rPr>
          <w:rFonts w:ascii="Calibri" w:eastAsia="Microsoft YaHei"/>
          <w:b/>
          <w:bCs/>
          <w:color w:val="0B1C2C"/>
          <w:sz w:val="28"/>
          <w:szCs w:val="28"/>
        </w:rPr>
        <w:t xml:space="preserve">5.5 FastAPI Endpoint with Streaming (P0)</w:t>
      </w:r>
      <w:bookmarkEnd w:id="100012"/>
    </w:p>
    <w:p>
      <w:pPr>
        <w:spacing w:after="120" w:line="312"/>
        <w:jc w:val="both"/>
      </w:pPr>
      <w:r>
        <w:rPr>
          <w:rFonts w:ascii="Calibri" w:eastAsia="Microsoft YaHei"/>
          <w:color w:val="1A1A1A"/>
          <w:sz w:val="24"/>
          <w:szCs w:val="24"/>
        </w:rPr>
        <w:t xml:space="preserve">The FastAPI backend exposes a streaming endpoint using Server-Sent Events (SSE). The frontend connects via EventSource and receives tokens in real-time as the LLM generates them. The endpoint also performs cache checking, security validation, and response caching before streaming begins.</w:t>
      </w:r>
    </w:p>
    <w:p>
      <w:pPr>
        <w:shd w:fill="F5F7FA" w:val="clear"/>
        <w:spacing w:after="80" w:before="80" w:line="276"/>
        <w:ind w:left="360"/>
      </w:pPr>
      <w:r>
        <w:rPr>
          <w:rFonts w:ascii="Consolas" w:eastAsia="Microsoft YaHei"/>
          <w:color w:val="2C3E50"/>
          <w:sz w:val="20"/>
          <w:szCs w:val="20"/>
        </w:rPr>
        <w:t xml:space="preserve">from fastapi import FastAPI</w:t>
      </w:r>
    </w:p>
    <w:p>
      <w:pPr>
        <w:shd w:fill="F5F7FA" w:val="clear"/>
        <w:spacing w:after="80" w:before="80" w:line="276"/>
        <w:ind w:left="360"/>
      </w:pPr>
      <w:r>
        <w:rPr>
          <w:rFonts w:ascii="Consolas" w:eastAsia="Microsoft YaHei"/>
          <w:color w:val="2C3E50"/>
          <w:sz w:val="20"/>
          <w:szCs w:val="20"/>
        </w:rPr>
        <w:t xml:space="preserve">from fastapi.responses import StreamingResponse</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app = FastAPI()</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@app.post("/analyze/stream")</w:t>
      </w:r>
    </w:p>
    <w:p>
      <w:pPr>
        <w:shd w:fill="F5F7FA" w:val="clear"/>
        <w:spacing w:after="80" w:before="80" w:line="276"/>
        <w:ind w:left="360"/>
      </w:pPr>
      <w:r>
        <w:rPr>
          <w:rFonts w:ascii="Consolas" w:eastAsia="Microsoft YaHei"/>
          <w:color w:val="2C3E50"/>
          <w:sz w:val="20"/>
          <w:szCs w:val="20"/>
        </w:rPr>
        <w:t xml:space="preserve">async def analyze_stream(data: dict):</w:t>
      </w:r>
    </w:p>
    <w:p>
      <w:pPr>
        <w:shd w:fill="F5F7FA" w:val="clear"/>
        <w:spacing w:after="80" w:before="80" w:line="276"/>
        <w:ind w:left="360"/>
      </w:pPr>
      <w:r>
        <w:rPr>
          <w:rFonts w:ascii="Consolas" w:eastAsia="Microsoft YaHei"/>
          <w:color w:val="2C3E50"/>
          <w:sz w:val="20"/>
          <w:szCs w:val="20"/>
        </w:rPr>
        <w:t xml:space="preserve">    cached = check_cache(data)</w:t>
      </w:r>
    </w:p>
    <w:p>
      <w:pPr>
        <w:shd w:fill="F5F7FA" w:val="clear"/>
        <w:spacing w:after="80" w:before="80" w:line="276"/>
        <w:ind w:left="360"/>
      </w:pPr>
      <w:r>
        <w:rPr>
          <w:rFonts w:ascii="Consolas" w:eastAsia="Microsoft YaHei"/>
          <w:color w:val="2C3E50"/>
          <w:sz w:val="20"/>
          <w:szCs w:val="20"/>
        </w:rPr>
        <w:t xml:space="preserve">    if cached:</w:t>
      </w:r>
    </w:p>
    <w:p>
      <w:pPr>
        <w:shd w:fill="F5F7FA" w:val="clear"/>
        <w:spacing w:after="80" w:before="80" w:line="276"/>
        <w:ind w:left="360"/>
      </w:pPr>
      <w:r>
        <w:rPr>
          <w:rFonts w:ascii="Consolas" w:eastAsia="Microsoft YaHei"/>
          <w:color w:val="2C3E50"/>
          <w:sz w:val="20"/>
          <w:szCs w:val="20"/>
        </w:rPr>
        <w:t xml:space="preserve">        return {"result": cached, "cached": True}</w:t>
      </w:r>
    </w:p>
    <w:p>
      <w:pPr>
        <w:shd w:fill="F5F7FA" w:val="clear"/>
        <w:spacing w:after="80" w:before="80" w:line="276"/>
        <w:ind w:left="360"/>
      </w:pPr>
      <w:r>
        <w:rPr>
          <w:rFonts w:ascii="Consolas" w:eastAsia="Microsoft YaHei"/>
          <w:color w:val="2C3E50"/>
          <w:sz w:val="20"/>
          <w:szCs w:val="20"/>
        </w:rPr>
        <w:t xml:space="preserve">    sanitized = validate_and_sanitize(data)</w:t>
      </w:r>
    </w:p>
    <w:p>
      <w:pPr>
        <w:shd w:fill="F5F7FA" w:val="clear"/>
        <w:spacing w:after="80" w:before="80" w:line="276"/>
        <w:ind w:left="360"/>
      </w:pPr>
      <w:r>
        <w:rPr>
          <w:rFonts w:ascii="Consolas" w:eastAsia="Microsoft YaHei"/>
          <w:color w:val="2C3E50"/>
          <w:sz w:val="20"/>
          <w:szCs w:val="20"/>
        </w:rPr>
        <w:t xml:space="preserve">    prompt = build_prompt(sanitized)</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    async def event_generator():</w:t>
      </w:r>
    </w:p>
    <w:p>
      <w:pPr>
        <w:shd w:fill="F5F7FA" w:val="clear"/>
        <w:spacing w:after="80" w:before="80" w:line="276"/>
        <w:ind w:left="360"/>
      </w:pPr>
      <w:r>
        <w:rPr>
          <w:rFonts w:ascii="Consolas" w:eastAsia="Microsoft YaHei"/>
          <w:color w:val="2C3E50"/>
          <w:sz w:val="20"/>
          <w:szCs w:val="20"/>
        </w:rPr>
        <w:t xml:space="preserve">        full_response = ""</w:t>
      </w:r>
    </w:p>
    <w:p>
      <w:pPr>
        <w:shd w:fill="F5F7FA" w:val="clear"/>
        <w:spacing w:after="80" w:before="80" w:line="276"/>
        <w:ind w:left="360"/>
      </w:pPr>
      <w:r>
        <w:rPr>
          <w:rFonts w:ascii="Consolas" w:eastAsia="Microsoft YaHei"/>
          <w:color w:val="2C3E50"/>
          <w:sz w:val="20"/>
          <w:szCs w:val="20"/>
        </w:rPr>
        <w:t xml:space="preserve">        async for chunk in stream_analysis(prompt):</w:t>
      </w:r>
    </w:p>
    <w:p>
      <w:pPr>
        <w:shd w:fill="F5F7FA" w:val="clear"/>
        <w:spacing w:after="80" w:before="80" w:line="276"/>
        <w:ind w:left="360"/>
      </w:pPr>
      <w:r>
        <w:rPr>
          <w:rFonts w:ascii="Consolas" w:eastAsia="Microsoft YaHei"/>
          <w:color w:val="2C3E50"/>
          <w:sz w:val="20"/>
          <w:szCs w:val="20"/>
        </w:rPr>
        <w:t xml:space="preserve">            full_response += chunk</w:t>
      </w:r>
    </w:p>
    <w:p>
      <w:pPr>
        <w:shd w:fill="F5F7FA" w:val="clear"/>
        <w:spacing w:after="80" w:before="80" w:line="276"/>
        <w:ind w:left="360"/>
      </w:pPr>
      <w:r>
        <w:rPr>
          <w:rFonts w:ascii="Consolas" w:eastAsia="Microsoft YaHei"/>
          <w:color w:val="2C3E50"/>
          <w:sz w:val="20"/>
          <w:szCs w:val="20"/>
        </w:rPr>
        <w:t xml:space="preserve">            yield f"data: {json.dumps({"chunk": chunk})}\n\n"</w:t>
      </w:r>
    </w:p>
    <w:p>
      <w:pPr>
        <w:shd w:fill="F5F7FA" w:val="clear"/>
        <w:spacing w:after="80" w:before="80" w:line="276"/>
        <w:ind w:left="360"/>
      </w:pPr>
      <w:r>
        <w:rPr>
          <w:rFonts w:ascii="Consolas" w:eastAsia="Microsoft YaHei"/>
          <w:color w:val="2C3E50"/>
          <w:sz w:val="20"/>
          <w:szCs w:val="20"/>
        </w:rPr>
        <w:t xml:space="preserve">        save_cache(data, full_response)</w:t>
      </w:r>
    </w:p>
    <w:p>
      <w:pPr>
        <w:shd w:fill="F5F7FA" w:val="clear"/>
        <w:spacing w:after="80" w:before="80" w:line="276"/>
        <w:ind w:left="360"/>
      </w:pPr>
      <w:r>
        <w:rPr>
          <w:rFonts w:ascii="Consolas" w:eastAsia="Microsoft YaHei"/>
          <w:color w:val="2C3E50"/>
          <w:sz w:val="20"/>
          <w:szCs w:val="20"/>
        </w:rPr>
        <w:t xml:space="preserve">        yield f"data: [DONE]\n\n"</w:t>
      </w:r>
    </w:p>
    <w:p>
      <w:pPr>
        <w:shd w:fill="F5F7FA" w:val="clear"/>
        <w:spacing w:after="80" w:before="80" w:line="276"/>
        <w:ind w:left="360"/>
      </w:pPr>
      <w:r>
        <w:rPr>
          <w:rFonts w:ascii="Consolas" w:eastAsia="Microsoft YaHei"/>
          <w:color w:val="2C3E50"/>
          <w:sz w:val="20"/>
          <w:szCs w:val="20"/>
        </w:rPr>
        <w:t xml:space="preserve"/>
      </w:r>
    </w:p>
    <w:p>
      <w:pPr>
        <w:shd w:fill="F5F7FA" w:val="clear"/>
        <w:spacing w:after="80" w:before="80" w:line="276"/>
        <w:ind w:left="360"/>
      </w:pPr>
      <w:r>
        <w:rPr>
          <w:rFonts w:ascii="Consolas" w:eastAsia="Microsoft YaHei"/>
          <w:color w:val="2C3E50"/>
          <w:sz w:val="20"/>
          <w:szCs w:val="20"/>
        </w:rPr>
        <w:t xml:space="preserve">    return StreamingResponse(event_generator(),</w:t>
      </w:r>
    </w:p>
    <w:p>
      <w:pPr>
        <w:shd w:fill="F5F7FA" w:val="clear"/>
        <w:spacing w:after="80" w:before="80" w:line="276"/>
        <w:ind w:left="360"/>
      </w:pPr>
      <w:r>
        <w:rPr>
          <w:rFonts w:ascii="Consolas" w:eastAsia="Microsoft YaHei"/>
          <w:color w:val="2C3E50"/>
          <w:sz w:val="20"/>
          <w:szCs w:val="20"/>
        </w:rPr>
        <w:t xml:space="preserve">        media_type="text/event-stream")</w:t>
      </w:r>
    </w:p>
    <w:p>
      <w:pPr>
        <w:pStyle w:val="Heading1"/>
        <w:spacing w:after="200" w:before="360" w:line="312"/>
      </w:pPr>
      <w:bookmarkStart w:id="100013" w:name="_Toc100013"/>
      <w:r>
        <w:rPr>
          <w:rFonts w:ascii="Calibri" w:eastAsia="Microsoft YaHei"/>
          <w:b/>
          <w:bCs/>
          <w:color w:val="0B1C2C"/>
          <w:sz w:val="32"/>
          <w:szCs w:val="32"/>
        </w:rPr>
        <w:t xml:space="preserve">6. P0 - MVP Improvements</w:t>
      </w:r>
      <w:bookmarkEnd w:id="100013"/>
    </w:p>
    <w:p>
      <w:pPr>
        <w:spacing w:after="120" w:line="312"/>
        <w:jc w:val="both"/>
      </w:pPr>
      <w:r>
        <w:rPr>
          <w:rFonts w:ascii="Calibri" w:eastAsia="Microsoft YaHei"/>
          <w:color w:val="1A1A1A"/>
          <w:sz w:val="24"/>
          <w:szCs w:val="24"/>
        </w:rPr>
        <w:t xml:space="preserve">The following features are classified as P0 and must be included in the minimum viable product from the very first release. They represent fundamental improvements that transform the application from a simple text-based analyzer into a structured, efficient, and professional-grade trading tool.</w:t>
      </w:r>
    </w:p>
    <w:p>
      <w:pPr>
        <w:pStyle w:val="Heading2"/>
        <w:spacing w:after="140" w:before="280" w:line="312"/>
      </w:pPr>
      <w:bookmarkStart w:id="100014" w:name="_Toc100014"/>
      <w:r>
        <w:rPr>
          <w:rFonts w:ascii="Calibri" w:eastAsia="Microsoft YaHei"/>
          <w:b/>
          <w:bCs/>
          <w:color w:val="0B1C2C"/>
          <w:sz w:val="28"/>
          <w:szCs w:val="28"/>
        </w:rPr>
        <w:t xml:space="preserve">6.1 Strict JSON Output Schema</w:t>
      </w:r>
      <w:bookmarkEnd w:id="100014"/>
    </w:p>
    <w:p>
      <w:pPr>
        <w:spacing w:after="120" w:line="312"/>
        <w:jc w:val="both"/>
      </w:pPr>
      <w:r>
        <w:rPr>
          <w:rFonts w:ascii="Calibri" w:eastAsia="Microsoft YaHei"/>
          <w:color w:val="1A1A1A"/>
          <w:sz w:val="24"/>
          <w:szCs w:val="24"/>
        </w:rPr>
        <w:t xml:space="preserve">The single most impactful change in v2.0 is the transition from free-form text responses to a rigid JSON schema. Every LLM response must conform to a predefined structure that includes signal type, confidence score, trend direction, risk level, entry price, stop-loss, take-profit targets, timeframe, and a summary field. This structured output enables automated downstream processing, including chart generation, signal comparison, statistical tracking, and integration with external trading platforms like MT5.</w:t>
      </w:r>
    </w:p>
    <w:p>
      <w:pPr>
        <w:spacing w:after="120" w:line="312"/>
        <w:jc w:val="both"/>
      </w:pPr>
      <w:r>
        <w:rPr>
          <w:rFonts w:ascii="Calibri" w:eastAsia="Microsoft YaHei"/>
          <w:color w:val="1A1A1A"/>
          <w:sz w:val="24"/>
          <w:szCs w:val="24"/>
        </w:rPr>
        <w:t xml:space="preserve">The system prompt instructs the model to output ONLY valid JSON without any markdown formatting, commentary, or surrounding text. A Pydantic validator on the backend parses and validates every response. If the model produces malformed JSON, the system automatically retries with a simplified prompt up to two times before returning an error. This ensures reliability even with smaller local models that may occasionally struggle with strict output formatting.</w:t>
      </w:r>
    </w:p>
    <w:p>
      <w:pPr>
        <w:pStyle w:val="Heading2"/>
        <w:spacing w:after="140" w:before="280" w:line="312"/>
      </w:pPr>
      <w:bookmarkStart w:id="100015" w:name="_Toc100015"/>
      <w:r>
        <w:rPr>
          <w:rFonts w:ascii="Calibri" w:eastAsia="Microsoft YaHei"/>
          <w:b/>
          <w:bCs/>
          <w:color w:val="0B1C2C"/>
          <w:sz w:val="28"/>
          <w:szCs w:val="28"/>
        </w:rPr>
        <w:t xml:space="preserve">6.2 Confidence Score</w:t>
      </w:r>
      <w:bookmarkEnd w:id="100015"/>
    </w:p>
    <w:p>
      <w:pPr>
        <w:spacing w:after="120" w:line="312"/>
        <w:jc w:val="both"/>
      </w:pPr>
      <w:r>
        <w:rPr>
          <w:rFonts w:ascii="Calibri" w:eastAsia="Microsoft YaHei"/>
          <w:color w:val="1A1A1A"/>
          <w:sz w:val="24"/>
          <w:szCs w:val="24"/>
        </w:rPr>
        <w:t xml:space="preserve">Every signal now includes a confidence score from 0 to 100, representing the model's certainty in its analysis. This score is derived from multiple factors: the strength of the detected trend, the volume confirmation level, the consistency of the signal across different timeframes, and the alignment of technical indicators. In the UI, confidence is displayed as both a numeric percentage and a visual progress bar with color coding: green for scores above 75 (strong signal), yellow for 60-75 (moderate), and red for below 60 (weak).</w:t>
      </w:r>
    </w:p>
    <w:p>
      <w:pPr>
        <w:spacing w:after="120" w:line="312"/>
        <w:jc w:val="both"/>
      </w:pPr>
      <w:r>
        <w:rPr>
          <w:rFonts w:ascii="Calibri" w:eastAsia="Microsoft YaHei"/>
          <w:color w:val="1A1A1A"/>
          <w:sz w:val="24"/>
          <w:szCs w:val="24"/>
        </w:rPr>
        <w:t xml:space="preserve">Signals with confidence below 60 are automatically tagged as weak and displayed with a warning indicator. The UI allows users to set a minimum confidence threshold, so that only signals meeting their personal risk criteria trigger notifications. This feature transforms the application from a simple analysis tool into a decision support system that respects the trader's individual risk tolerance.</w:t>
      </w:r>
    </w:p>
    <w:p>
      <w:pPr>
        <w:pStyle w:val="Heading2"/>
        <w:spacing w:after="140" w:before="280" w:line="312"/>
      </w:pPr>
      <w:bookmarkStart w:id="100016" w:name="_Toc100016"/>
      <w:r>
        <w:rPr>
          <w:rFonts w:ascii="Calibri" w:eastAsia="Microsoft YaHei"/>
          <w:b/>
          <w:bCs/>
          <w:color w:val="0B1C2C"/>
          <w:sz w:val="28"/>
          <w:szCs w:val="28"/>
        </w:rPr>
        <w:t xml:space="preserve">6.3 Local Cache Engine</w:t>
      </w:r>
      <w:bookmarkEnd w:id="100016"/>
    </w:p>
    <w:p>
      <w:pPr>
        <w:spacing w:after="120" w:line="312"/>
        <w:jc w:val="both"/>
      </w:pPr>
      <w:r>
        <w:rPr>
          <w:rFonts w:ascii="Calibri" w:eastAsia="Microsoft YaHei"/>
          <w:color w:val="1A1A1A"/>
          <w:sz w:val="24"/>
          <w:szCs w:val="24"/>
        </w:rPr>
        <w:t xml:space="preserve">The caching mechanism is a critical performance optimization that can reduce average response times by an order of magnitude. The system computes a SHA256 hash of the entire input JSON payload (including market data, analysis parameters, model selection, and timestamp) and stores the hash-to-result mapping in SQLite. On subsequent requests with identical data, the system retrieves the cached result in under 100 milliseconds instead of waiting 15-30 seconds for LLM inference.</w:t>
      </w:r>
    </w:p>
    <w:p>
      <w:pPr>
        <w:spacing w:after="120" w:line="312"/>
        <w:jc w:val="both"/>
      </w:pPr>
      <w:r>
        <w:rPr>
          <w:rFonts w:ascii="Calibri" w:eastAsia="Microsoft YaHei"/>
          <w:color w:val="1A1A1A"/>
          <w:sz w:val="24"/>
          <w:szCs w:val="24"/>
        </w:rPr>
        <w:t xml:space="preserve">The cache implements a time-to-live (TTL) mechanism with configurable expiration. For rapidly changing market data, the TTL is set to 5 minutes by default, but users can adjust this based on their trading style. A background cleanup process removes expired entries every hour to prevent unbounded database growth. The cache statistics (hit rate, miss rate, average response time) are exposed through an admin endpoint for monitoring and optimization.</w:t>
      </w:r>
    </w:p>
    <w:p>
      <w:pPr>
        <w:pStyle w:val="Heading2"/>
        <w:spacing w:after="140" w:before="280" w:line="312"/>
      </w:pPr>
      <w:bookmarkStart w:id="100017" w:name="_Toc100017"/>
      <w:r>
        <w:rPr>
          <w:rFonts w:ascii="Calibri" w:eastAsia="Microsoft YaHei"/>
          <w:b/>
          <w:bCs/>
          <w:color w:val="0B1C2C"/>
          <w:sz w:val="28"/>
          <w:szCs w:val="28"/>
        </w:rPr>
        <w:t xml:space="preserve">6.4 Streaming Output</w:t>
      </w:r>
      <w:bookmarkEnd w:id="100017"/>
    </w:p>
    <w:p>
      <w:pPr>
        <w:spacing w:after="120" w:line="312"/>
        <w:jc w:val="both"/>
      </w:pPr>
      <w:r>
        <w:rPr>
          <w:rFonts w:ascii="Calibri" w:eastAsia="Microsoft YaHei"/>
          <w:color w:val="1A1A1A"/>
          <w:sz w:val="24"/>
          <w:szCs w:val="24"/>
        </w:rPr>
        <w:t xml:space="preserve">Streaming output transforms the user experience from waiting silently to watching the analysis unfold in real-time. The Ollama streaming API delivers tokens as they are generated, and the FastAPI backend forwards these tokens to the Flutter UI via Server-Sent Events (SSE). The UI renders each token progressively, creating a typewriter-like effect that provides immediate visual feedback and reduces perceived latency.</w:t>
      </w:r>
    </w:p>
    <w:p>
      <w:pPr>
        <w:spacing w:after="120" w:line="312"/>
        <w:jc w:val="both"/>
      </w:pPr>
      <w:r>
        <w:rPr>
          <w:rFonts w:ascii="Calibri" w:eastAsia="Microsoft YaHei"/>
          <w:color w:val="1A1A1A"/>
          <w:sz w:val="24"/>
          <w:szCs w:val="24"/>
        </w:rPr>
        <w:t xml:space="preserve">The streaming implementation handles edge cases gracefully: if the connection drops mid-stream, the UI displays the partial response and offers a retry button. If the model produces an error token, the stream is terminated with a user-friendly error message. The final complete response is still cached in SQLite for subsequent instant retrieval. For the JSON output mode, the UI can optionally parse partial JSON to display the signal type and confidence score as soon as those fields are available, even while the summary is still being generated.</w:t>
      </w:r>
    </w:p>
    <w:p>
      <w:pPr>
        <w:pStyle w:val="Heading1"/>
        <w:spacing w:after="200" w:before="360" w:line="312"/>
      </w:pPr>
      <w:bookmarkStart w:id="100018" w:name="_Toc100018"/>
      <w:r>
        <w:rPr>
          <w:rFonts w:ascii="Calibri" w:eastAsia="Microsoft YaHei"/>
          <w:b/>
          <w:bCs/>
          <w:color w:val="0B1C2C"/>
          <w:sz w:val="32"/>
          <w:szCs w:val="32"/>
        </w:rPr>
        <w:t xml:space="preserve">7. P1 - Professional Trading Features</w:t>
      </w:r>
      <w:bookmarkEnd w:id="100018"/>
    </w:p>
    <w:p>
      <w:pPr>
        <w:spacing w:after="120" w:line="312"/>
        <w:jc w:val="both"/>
      </w:pPr>
      <w:r>
        <w:rPr>
          <w:rFonts w:ascii="Calibri" w:eastAsia="Microsoft YaHei"/>
          <w:color w:val="1A1A1A"/>
          <w:sz w:val="24"/>
          <w:szCs w:val="24"/>
        </w:rPr>
        <w:t xml:space="preserve">P1 features are the most impactful additions for practical trading. They transform the application from a simple signal generator into a self-improving, multi-perspective analysis platform. These features should be implemented immediately after the P0 items are stable and tested.</w:t>
      </w:r>
    </w:p>
    <w:p>
      <w:pPr>
        <w:pStyle w:val="Heading2"/>
        <w:spacing w:after="140" w:before="280" w:line="312"/>
      </w:pPr>
      <w:bookmarkStart w:id="100019" w:name="_Toc100019"/>
      <w:r>
        <w:rPr>
          <w:rFonts w:ascii="Calibri" w:eastAsia="Microsoft YaHei"/>
          <w:b/>
          <w:bCs/>
          <w:color w:val="0B1C2C"/>
          <w:sz w:val="28"/>
          <w:szCs w:val="28"/>
        </w:rPr>
        <w:t xml:space="preserve">7.1 Signal Quality Assessment</w:t>
      </w:r>
      <w:bookmarkEnd w:id="100019"/>
    </w:p>
    <w:p>
      <w:pPr>
        <w:spacing w:after="120" w:line="312"/>
        <w:jc w:val="both"/>
      </w:pPr>
      <w:r>
        <w:rPr>
          <w:rFonts w:ascii="Calibri" w:eastAsia="Microsoft YaHei"/>
          <w:color w:val="1A1A1A"/>
          <w:sz w:val="24"/>
          <w:szCs w:val="24"/>
        </w:rPr>
        <w:t xml:space="preserve">The signal quality module introduces a feedback loop that makes the application self-improving. After each signal is generated, the user can input the actual outcome (price movement after 24 hours, 48 hours, or custom period). The system then calculates key performance metrics: Win Rate (percentage of profitable signals), Profit Factor (total gains divided by total losses), Maximum Drawdown (largest peak-to-trough decline), and Sharpe Ratio (risk-adjusted return).</w:t>
      </w:r>
    </w:p>
    <w:p>
      <w:pPr>
        <w:spacing w:after="120" w:line="312"/>
        <w:jc w:val="both"/>
      </w:pPr>
      <w:r>
        <w:rPr>
          <w:rFonts w:ascii="Calibri" w:eastAsia="Microsoft YaHei"/>
          <w:color w:val="1A1A1A"/>
          <w:sz w:val="24"/>
          <w:szCs w:val="24"/>
        </w:rPr>
        <w:t xml:space="preserve">These metrics are stored in SQLite and displayed on a dedicated dashboard. Over time, the system can identify which market conditions, timeframes, or model configurations produce the best results. Users can filter historical signals by confidence range, signal type, or timeframe to analyze performance patterns. This data-driven approach enables continuous refinement of both the prompt engineering and the trading strategy.</w:t>
      </w:r>
    </w:p>
    <w:p>
      <w:pPr>
        <w:pStyle w:val="Heading2"/>
        <w:spacing w:after="140" w:before="280" w:line="312"/>
      </w:pPr>
      <w:bookmarkStart w:id="100020" w:name="_Toc100020"/>
      <w:r>
        <w:rPr>
          <w:rFonts w:ascii="Calibri" w:eastAsia="Microsoft YaHei"/>
          <w:b/>
          <w:bCs/>
          <w:color w:val="0B1C2C"/>
          <w:sz w:val="28"/>
          <w:szCs w:val="28"/>
        </w:rPr>
        <w:t xml:space="preserve">7.2 Multi-Model Consensus</w:t>
      </w:r>
      <w:bookmarkEnd w:id="100020"/>
    </w:p>
    <w:p>
      <w:pPr>
        <w:spacing w:after="120" w:line="312"/>
        <w:jc w:val="both"/>
      </w:pPr>
      <w:r>
        <w:rPr>
          <w:rFonts w:ascii="Calibri" w:eastAsia="Microsoft YaHei"/>
          <w:color w:val="1A1A1A"/>
          <w:sz w:val="24"/>
          <w:szCs w:val="24"/>
        </w:rPr>
        <w:t xml:space="preserve">Instead of relying on a single model's output, the consensus module simultaneously sends the same prompt to multiple models (Qwen3 8B, GLM-4.7, DeepSeek 7B) and aggregates the results. The UI displays each model's signal side-by-side with color-coded alignment indicators: green when models agree, yellow when there is partial agreement, and red when models contradict each other.</w:t>
      </w:r>
    </w:p>
    <w:p>
      <w:pPr>
        <w:spacing w:after="120" w:line="312"/>
        <w:jc w:val="both"/>
      </w:pPr>
      <w:r>
        <w:rPr>
          <w:rFonts w:ascii="Calibri" w:eastAsia="Microsoft YaHei"/>
          <w:color w:val="1A1A1A"/>
          <w:sz w:val="24"/>
          <w:szCs w:val="24"/>
        </w:rPr>
        <w:t xml:space="preserve">Research in ensemble learning consistently shows that combining multiple models produces more robust predictions than any individual model alone. In the trading context, this is especially valuable because different models have different training data, architectures, and biases. When all three models agree on a BUY signal, the resulting confidence is significantly higher than any single model's assessment. When models disagree, the divergence itself becomes valuable information, signaling market uncertainty that warrants caution.</w:t>
      </w:r>
    </w:p>
    <w:p>
      <w:pPr>
        <w:pStyle w:val="Heading2"/>
        <w:spacing w:after="140" w:before="280" w:line="312"/>
      </w:pPr>
      <w:bookmarkStart w:id="100021" w:name="_Toc100021"/>
      <w:r>
        <w:rPr>
          <w:rFonts w:ascii="Calibri" w:eastAsia="Microsoft YaHei"/>
          <w:b/>
          <w:bCs/>
          <w:color w:val="0B1C2C"/>
          <w:sz w:val="28"/>
          <w:szCs w:val="28"/>
        </w:rPr>
        <w:t xml:space="preserve">7.3 Expert Agent Mode</w:t>
      </w:r>
      <w:bookmarkEnd w:id="100021"/>
    </w:p>
    <w:p>
      <w:pPr>
        <w:spacing w:after="120" w:line="312"/>
        <w:jc w:val="both"/>
      </w:pPr>
      <w:r>
        <w:rPr>
          <w:rFonts w:ascii="Calibri" w:eastAsia="Microsoft YaHei"/>
          <w:color w:val="1A1A1A"/>
          <w:sz w:val="24"/>
          <w:szCs w:val="24"/>
        </w:rPr>
        <w:t xml:space="preserve">The expert mode replaces the single monolithic prompt with a multi-agent architecture. Each agent specializes in a specific market dimension and receives only the relevant data for its domain. Agent 1 (Price Action) analyzes candlestick patterns, support/resistance zones, trend lines, and chart structures. Agent 2 (Volume) examines volume profiles, volume-weighted average price (VWAP), volume deltas, and accumulation/distribution patterns. Agent 3 (Open Interest) evaluates changes in open interest, funding rates, and leverage ratios.</w:t>
      </w:r>
    </w:p>
    <w:p>
      <w:pPr>
        <w:spacing w:after="120" w:line="312"/>
        <w:jc w:val="both"/>
      </w:pPr>
      <w:r>
        <w:rPr>
          <w:rFonts w:ascii="Calibri" w:eastAsia="Microsoft YaHei"/>
          <w:color w:val="1A1A1A"/>
          <w:sz w:val="24"/>
          <w:szCs w:val="24"/>
        </w:rPr>
        <w:t xml:space="preserve">Agent 4 (Microstructure) processes liquidation data, order book imbalances, bid-ask spreads, and market depth. A final Synthesis Agent receives the outputs of all four specialist agents and produces a unified assessment. This approach typically produces more stable and nuanced signals because each agent can focus deeply on its domain without the context window being diluted by irrelevant data. The system prompt for each agent is independently optimized, allowing fine-tuning of individual agents without affecting others.</w:t>
      </w:r>
    </w:p>
    <w:p>
      <w:pPr>
        <w:pStyle w:val="Heading1"/>
        <w:spacing w:after="200" w:before="360" w:line="312"/>
      </w:pPr>
      <w:bookmarkStart w:id="100022" w:name="_Toc100022"/>
      <w:r>
        <w:rPr>
          <w:rFonts w:ascii="Calibri" w:eastAsia="Microsoft YaHei"/>
          <w:b/>
          <w:bCs/>
          <w:color w:val="0B1C2C"/>
          <w:sz w:val="32"/>
          <w:szCs w:val="32"/>
        </w:rPr>
        <w:t xml:space="preserve">8. P2 - Advanced Analysis Features</w:t>
      </w:r>
      <w:bookmarkEnd w:id="100022"/>
    </w:p>
    <w:p>
      <w:pPr>
        <w:spacing w:after="120" w:line="312"/>
        <w:jc w:val="both"/>
      </w:pPr>
      <w:r>
        <w:rPr>
          <w:rFonts w:ascii="Calibri" w:eastAsia="Microsoft YaHei"/>
          <w:color w:val="1A1A1A"/>
          <w:sz w:val="24"/>
          <w:szCs w:val="24"/>
        </w:rPr>
        <w:t xml:space="preserve">P2 features differentiate AI Analyzer from most existing LLM-based trading tools. These are capabilities that are rarely found in retail applications and typically require professional-grade platforms costing hundreds of dollars per month.</w:t>
      </w:r>
    </w:p>
    <w:p>
      <w:pPr>
        <w:pStyle w:val="Heading2"/>
        <w:spacing w:after="140" w:before="280" w:line="312"/>
      </w:pPr>
      <w:bookmarkStart w:id="100023" w:name="_Toc100023"/>
      <w:r>
        <w:rPr>
          <w:rFonts w:ascii="Calibri" w:eastAsia="Microsoft YaHei"/>
          <w:b/>
          <w:bCs/>
          <w:color w:val="0B1C2C"/>
          <w:sz w:val="28"/>
          <w:szCs w:val="28"/>
        </w:rPr>
        <w:t xml:space="preserve">8.1 Backtesting Engine</w:t>
      </w:r>
      <w:bookmarkEnd w:id="100023"/>
    </w:p>
    <w:p>
      <w:pPr>
        <w:spacing w:after="120" w:line="312"/>
        <w:jc w:val="both"/>
      </w:pPr>
      <w:r>
        <w:rPr>
          <w:rFonts w:ascii="Calibri" w:eastAsia="Microsoft YaHei"/>
          <w:color w:val="1A1A1A"/>
          <w:sz w:val="24"/>
          <w:szCs w:val="24"/>
        </w:rPr>
        <w:t xml:space="preserve">The backtesting module allows users to validate their analysis strategies against historical data. Users select a coin, timeframe, and number of candles (1,000 / 5,000 / 10,000), and the system runs the analysis prompt against each historical data point. The module tracks every signal that would have been generated, calculates the theoretical profit and loss for each trade, and produces a comprehensive statistical report.</w:t>
      </w:r>
    </w:p>
    <w:p>
      <w:pPr>
        <w:spacing w:after="120" w:line="312"/>
        <w:jc w:val="both"/>
      </w:pPr>
      <w:r>
        <w:rPr>
          <w:rFonts w:ascii="Calibri" w:eastAsia="Microsoft YaHei"/>
          <w:color w:val="1A1A1A"/>
          <w:sz w:val="24"/>
          <w:szCs w:val="24"/>
        </w:rPr>
        <w:t xml:space="preserve">The report includes total return, annualized return, maximum drawdown, Sharpe ratio, win rate, average winning trade, average losing trade, profit factor, and a chronological trade log. The results are displayed both as summary statistics and as an equity curve chart rendered by fl_chart. This feature is invaluable for prompt engineering, as it allows users to quantify the impact of every prompt modification on historical performance.</w:t>
      </w:r>
    </w:p>
    <w:p>
      <w:pPr>
        <w:pStyle w:val="Heading2"/>
        <w:spacing w:after="140" w:before="280" w:line="312"/>
      </w:pPr>
      <w:bookmarkStart w:id="100024" w:name="_Toc100024"/>
      <w:r>
        <w:rPr>
          <w:rFonts w:ascii="Calibri" w:eastAsia="Microsoft YaHei"/>
          <w:b/>
          <w:bCs/>
          <w:color w:val="0B1C2C"/>
          <w:sz w:val="28"/>
          <w:szCs w:val="28"/>
        </w:rPr>
        <w:t xml:space="preserve">8.2 Liquidation Visualization</w:t>
      </w:r>
      <w:bookmarkEnd w:id="100024"/>
    </w:p>
    <w:p>
      <w:pPr>
        <w:spacing w:after="120" w:line="312"/>
        <w:jc w:val="both"/>
      </w:pPr>
      <w:r>
        <w:rPr>
          <w:rFonts w:ascii="Calibri" w:eastAsia="Microsoft YaHei"/>
          <w:color w:val="1A1A1A"/>
          <w:sz w:val="24"/>
          <w:szCs w:val="24"/>
        </w:rPr>
        <w:t xml:space="preserve">When connected to CoinGlass data sources, the application can display liquidation maps showing clusters of stop-loss orders, heat zones of concentrated liquidation levels, and historical liquidation cascades. For cryptocurrency markets, this information is often more valuable than traditional technical indicators like RSI or MACD, because liquidation clusters act as both support and resistance levels and can trigger rapid price movements when breached.</w:t>
      </w:r>
    </w:p>
    <w:p>
      <w:pPr>
        <w:spacing w:after="120" w:line="312"/>
        <w:jc w:val="both"/>
      </w:pPr>
      <w:r>
        <w:rPr>
          <w:rFonts w:ascii="Calibri" w:eastAsia="Microsoft YaHei"/>
          <w:color w:val="1A1A1A"/>
          <w:sz w:val="24"/>
          <w:szCs w:val="24"/>
        </w:rPr>
        <w:t xml:space="preserve">The visualization module renders liquidation data as a heatmap overlay on the price chart, with warmer colors indicating higher density of stop orders. Users can toggle between different liquidation types (long liquidations, short liquidations, total) and adjust the time window. When a price level with a high concentration of liquidations is approaching, the UI displays a proximity alert warning the trader of a potential cascade event.</w:t>
      </w:r>
    </w:p>
    <w:p>
      <w:pPr>
        <w:pStyle w:val="Heading2"/>
        <w:spacing w:after="140" w:before="280" w:line="312"/>
      </w:pPr>
      <w:bookmarkStart w:id="100025" w:name="_Toc100025"/>
      <w:r>
        <w:rPr>
          <w:rFonts w:ascii="Calibri" w:eastAsia="Microsoft YaHei"/>
          <w:b/>
          <w:bCs/>
          <w:color w:val="0B1C2C"/>
          <w:sz w:val="28"/>
          <w:szCs w:val="28"/>
        </w:rPr>
        <w:t xml:space="preserve">8.3 Order Flow Analysis</w:t>
      </w:r>
      <w:bookmarkEnd w:id="100025"/>
    </w:p>
    <w:p>
      <w:pPr>
        <w:spacing w:after="120" w:line="312"/>
        <w:jc w:val="both"/>
      </w:pPr>
      <w:r>
        <w:rPr>
          <w:rFonts w:ascii="Calibri" w:eastAsia="Microsoft YaHei"/>
          <w:color w:val="1A1A1A"/>
          <w:sz w:val="24"/>
          <w:szCs w:val="24"/>
        </w:rPr>
        <w:t xml:space="preserve">The order flow module provides professional-grade market microstructure analysis, including Delta (difference between market buy and sell volume), Cumulative Volume Delta (CVD), Footprint charts showing volume distribution at each price level, and Imbalance detection for large institutional orders. These tools are standard in professional trading platforms like Bookmap and VolFix, and integrating them into a local AI analyzer creates a unique and powerful combination.</w:t>
      </w:r>
    </w:p>
    <w:p>
      <w:pPr>
        <w:spacing w:after="120" w:line="312"/>
        <w:jc w:val="both"/>
      </w:pPr>
      <w:r>
        <w:rPr>
          <w:rFonts w:ascii="Calibri" w:eastAsia="Microsoft YaHei"/>
          <w:color w:val="1A1A1A"/>
          <w:sz w:val="24"/>
          <w:szCs w:val="24"/>
        </w:rPr>
        <w:t xml:space="preserve">The order flow data can be fed directly to the AI agents for analysis, allowing the model to incorporate real-time supply and demand dynamics into its signals. For example, the Volume agent can use CVD divergence as an additional confirmation signal, and the Microstructure agent can use imbalance data to detect institutional accumulation or distribution patterns.</w:t>
      </w:r>
    </w:p>
    <w:p>
      <w:pPr>
        <w:pStyle w:val="Heading1"/>
        <w:spacing w:after="200" w:before="360" w:line="312"/>
      </w:pPr>
      <w:bookmarkStart w:id="100026" w:name="_Toc100026"/>
      <w:r>
        <w:rPr>
          <w:rFonts w:ascii="Calibri" w:eastAsia="Microsoft YaHei"/>
          <w:b/>
          <w:bCs/>
          <w:color w:val="0B1C2C"/>
          <w:sz w:val="32"/>
          <w:szCs w:val="32"/>
        </w:rPr>
        <w:t xml:space="preserve">9. P3 - Future Vision</w:t>
      </w:r>
      <w:bookmarkEnd w:id="100026"/>
    </w:p>
    <w:p>
      <w:pPr>
        <w:spacing w:after="120" w:line="312"/>
        <w:jc w:val="both"/>
      </w:pPr>
      <w:r>
        <w:rPr>
          <w:rFonts w:ascii="Calibri" w:eastAsia="Microsoft YaHei"/>
          <w:color w:val="1A1A1A"/>
          <w:sz w:val="24"/>
          <w:szCs w:val="24"/>
        </w:rPr>
        <w:t xml:space="preserve">P3 features represent the long-term vision for AI Analyzer. These are highly ambitious capabilities that push the boundaries of what a local application can achieve, but they are technically feasible with current open-source tools and local hardware.</w:t>
      </w:r>
    </w:p>
    <w:p>
      <w:pPr>
        <w:pStyle w:val="Heading2"/>
        <w:spacing w:after="140" w:before="280" w:line="312"/>
      </w:pPr>
      <w:bookmarkStart w:id="100027" w:name="_Toc100027"/>
      <w:r>
        <w:rPr>
          <w:rFonts w:ascii="Calibri" w:eastAsia="Microsoft YaHei"/>
          <w:b/>
          <w:bCs/>
          <w:color w:val="0B1C2C"/>
          <w:sz w:val="28"/>
          <w:szCs w:val="28"/>
        </w:rPr>
        <w:t xml:space="preserve">9.1 Local RAG Knowledge Base</w:t>
      </w:r>
      <w:bookmarkEnd w:id="100027"/>
    </w:p>
    <w:p>
      <w:pPr>
        <w:spacing w:after="120" w:line="312"/>
        <w:jc w:val="both"/>
      </w:pPr>
      <w:r>
        <w:rPr>
          <w:rFonts w:ascii="Calibri" w:eastAsia="Microsoft YaHei"/>
          <w:color w:val="1A1A1A"/>
          <w:sz w:val="24"/>
          <w:szCs w:val="24"/>
        </w:rPr>
        <w:t xml:space="preserve">The RAG (Retrieval-Augmented Generation) module introduces a vector database (ChromaDB or FAISS) that stores the user's personal trading knowledge: trading books, personal trade logs and journals, strategy notes, ICT and Wyckoff methodology references, and any custom analysis frameworks. When the user asks a question, the system first retrieves the most relevant passages from the knowledge base and injects them into the LLM prompt as context.</w:t>
      </w:r>
    </w:p>
    <w:p>
      <w:pPr>
        <w:spacing w:after="120" w:line="312"/>
        <w:jc w:val="both"/>
      </w:pPr>
      <w:r>
        <w:rPr>
          <w:rFonts w:ascii="Calibri" w:eastAsia="Microsoft YaHei"/>
          <w:color w:val="1A1A1A"/>
          <w:sz w:val="24"/>
          <w:szCs w:val="24"/>
        </w:rPr>
        <w:t xml:space="preserve">This creates a personalized AI analyst that has access to the user's specific trading philosophy, historical lessons, and preferred methodologies. Over time, as the knowledge base grows with each trade journal entry and market observation, the system becomes increasingly aligned with the user's individual trading style and produces more relevant and actionable analysis.</w:t>
      </w:r>
    </w:p>
    <w:p>
      <w:pPr>
        <w:pStyle w:val="Heading2"/>
        <w:spacing w:after="140" w:before="280" w:line="312"/>
      </w:pPr>
      <w:bookmarkStart w:id="100028" w:name="_Toc100028"/>
      <w:r>
        <w:rPr>
          <w:rFonts w:ascii="Calibri" w:eastAsia="Microsoft YaHei"/>
          <w:b/>
          <w:bCs/>
          <w:color w:val="0B1C2C"/>
          <w:sz w:val="28"/>
          <w:szCs w:val="28"/>
        </w:rPr>
        <w:t xml:space="preserve">9.2 Automated Screenshot Analysis</w:t>
      </w:r>
      <w:bookmarkEnd w:id="100028"/>
    </w:p>
    <w:p>
      <w:pPr>
        <w:spacing w:after="120" w:line="312"/>
        <w:jc w:val="both"/>
      </w:pPr>
      <w:r>
        <w:rPr>
          <w:rFonts w:ascii="Calibri" w:eastAsia="Microsoft YaHei"/>
          <w:color w:val="1A1A1A"/>
          <w:sz w:val="24"/>
          <w:szCs w:val="24"/>
        </w:rPr>
        <w:t xml:space="preserve">Using locally hosted vision models (Qwen-VL or GLM-VL), the application can analyze screenshots of trading charts uploaded by the user. The vision model identifies market structures, supply and demand zones, order blocks, Fair Value Gaps (FVG), Wyckoff phases, and other technical patterns directly from the visual chart data. This eliminates the need to manually describe chart patterns in text and allows for much more rapid and intuitive analysis workflows.</w:t>
      </w:r>
    </w:p>
    <w:p>
      <w:pPr>
        <w:spacing w:after="120" w:line="312"/>
        <w:jc w:val="both"/>
      </w:pPr>
      <w:r>
        <w:rPr>
          <w:rFonts w:ascii="Calibri" w:eastAsia="Microsoft YaHei"/>
          <w:color w:val="1A1A1A"/>
          <w:sz w:val="24"/>
          <w:szCs w:val="24"/>
        </w:rPr>
        <w:t xml:space="preserve">The implementation uses a two-stage pipeline: the vision model first extracts structured observations from the chart image (trend direction, key levels, pattern types), and then these observations are passed to the text-based analysis model along with numerical market data for a comprehensive assessment. This combination of visual and quantitative analysis closely mirrors how professional traders actually analyze markets.</w:t>
      </w:r>
    </w:p>
    <w:p>
      <w:pPr>
        <w:pStyle w:val="Heading2"/>
        <w:spacing w:after="140" w:before="280" w:line="312"/>
      </w:pPr>
      <w:bookmarkStart w:id="100029" w:name="_Toc100029"/>
      <w:r>
        <w:rPr>
          <w:rFonts w:ascii="Calibri" w:eastAsia="Microsoft YaHei"/>
          <w:b/>
          <w:bCs/>
          <w:color w:val="0B1C2C"/>
          <w:sz w:val="28"/>
          <w:szCs w:val="28"/>
        </w:rPr>
        <w:t xml:space="preserve">9.3 Voice Interaction Mode</w:t>
      </w:r>
      <w:bookmarkEnd w:id="100029"/>
    </w:p>
    <w:p>
      <w:pPr>
        <w:spacing w:after="120" w:line="312"/>
        <w:jc w:val="both"/>
      </w:pPr>
      <w:r>
        <w:rPr>
          <w:rFonts w:ascii="Calibri" w:eastAsia="Microsoft YaHei"/>
          <w:color w:val="1A1A1A"/>
          <w:sz w:val="24"/>
          <w:szCs w:val="24"/>
        </w:rPr>
        <w:t xml:space="preserve">The voice mode enables hands-free interaction with the analyzer. The user presses a button and speaks a question like 'What is the current BTC analysis?' The audio is transcribed locally using Whisper (also running through Ollama), sent to the analysis pipeline, and the response is converted back to speech using a local TTS engine like Coqui TTS or piper. The entire pipeline runs locally without any cloud API calls.</w:t>
      </w:r>
    </w:p>
    <w:p>
      <w:pPr>
        <w:spacing w:after="120" w:line="312"/>
        <w:jc w:val="both"/>
      </w:pPr>
      <w:r>
        <w:rPr>
          <w:rFonts w:ascii="Calibri" w:eastAsia="Microsoft YaHei"/>
          <w:color w:val="1A1A1A"/>
          <w:sz w:val="24"/>
          <w:szCs w:val="24"/>
        </w:rPr>
        <w:t xml:space="preserve">This feature is particularly valuable for traders who monitor multiple screens simultaneously or who want to get quick market updates without shifting their attention from their primary trading interface. The voice mode supports both wake-word activation and push-to-talk modes, and the user can configure custom voice commands for frequently requested analyses.</w:t>
      </w:r>
    </w:p>
    <w:p>
      <w:pPr>
        <w:pStyle w:val="Heading1"/>
        <w:spacing w:after="200" w:before="360" w:line="312"/>
      </w:pPr>
      <w:bookmarkStart w:id="100030" w:name="_Toc100030"/>
      <w:r>
        <w:rPr>
          <w:rFonts w:ascii="Calibri" w:eastAsia="Microsoft YaHei"/>
          <w:b/>
          <w:bCs/>
          <w:color w:val="0B1C2C"/>
          <w:sz w:val="32"/>
          <w:szCs w:val="32"/>
        </w:rPr>
        <w:t xml:space="preserve">10. Security Architecture</w:t>
      </w:r>
      <w:bookmarkEnd w:id="100030"/>
    </w:p>
    <w:p>
      <w:pPr>
        <w:spacing w:after="120" w:line="312"/>
        <w:jc w:val="both"/>
      </w:pPr>
      <w:r>
        <w:rPr>
          <w:rFonts w:ascii="Calibri" w:eastAsia="Microsoft YaHei"/>
          <w:color w:val="1A1A1A"/>
          <w:sz w:val="24"/>
          <w:szCs w:val="24"/>
        </w:rPr>
        <w:t xml:space="preserve">Security in AI Analyzer v2.0 follows a defense-in-depth strategy with multiple independent layers. Each layer is designed to prevent a specific class of attack, and the failure of any single layer does not compromise the overall system security. The approach has been elevated to what can reasonably be described as a paranoia-level security posture appropriate for a financial application handling sensitive trading data.</w:t>
      </w:r>
    </w:p>
    <w:p>
      <w:pPr>
        <w:pStyle w:val="Heading2"/>
        <w:spacing w:after="140" w:before="280" w:line="312"/>
      </w:pPr>
      <w:bookmarkStart w:id="100031" w:name="_Toc100031"/>
      <w:r>
        <w:rPr>
          <w:rFonts w:ascii="Calibri" w:eastAsia="Microsoft YaHei"/>
          <w:b/>
          <w:bCs/>
          <w:color w:val="0B1C2C"/>
          <w:sz w:val="28"/>
          <w:szCs w:val="28"/>
        </w:rPr>
        <w:t xml:space="preserve">10.1 Prompt Injection Prevention</w:t>
      </w:r>
      <w:bookmarkEnd w:id="100031"/>
    </w:p>
    <w:p>
      <w:pPr>
        <w:spacing w:after="120" w:line="312"/>
        <w:jc w:val="both"/>
      </w:pPr>
      <w:r>
        <w:rPr>
          <w:rFonts w:ascii="Calibri" w:eastAsia="Microsoft YaHei"/>
          <w:color w:val="1A1A1A"/>
          <w:sz w:val="24"/>
          <w:szCs w:val="24"/>
        </w:rPr>
        <w:t xml:space="preserve">Prompt injection is the most critical security risk for LLM-based applications. An attacker (or corrupted data source) could attempt to manipulate the model's output by injecting malicious instructions into the market data. The defense strategy operates on three levels: input validation using JSON Schema, prompt template isolation, and output validation against the expected schema.</w:t>
      </w:r>
    </w:p>
    <w:p>
      <w:pPr>
        <w:spacing w:after="120" w:line="312"/>
        <w:jc w:val="both"/>
      </w:pPr>
      <w:r>
        <w:rPr>
          <w:rFonts w:ascii="Calibri" w:eastAsia="Microsoft YaHei"/>
          <w:color w:val="1A1A1A"/>
          <w:sz w:val="24"/>
          <w:szCs w:val="24"/>
        </w:rPr>
        <w:t xml:space="preserve">The Security Layer validates all incoming JSON data against a strict schema before any data is incorporated into the prompt. Fields that are not part of the expected schema are silently dropped. The system prompt and user prompt are constructed separately and combined with clear delimiters that prevent the user data from being interpreted as instructions. The output is parsed through a JSON validator that rejects any response not conforming to the expected structure, ensuring that even if injection succeeds, the malicious output cannot reach the UI.</w:t>
      </w:r>
    </w:p>
    <w:p>
      <w:pPr>
        <w:pStyle w:val="Heading2"/>
        <w:spacing w:after="140" w:before="280" w:line="312"/>
      </w:pPr>
      <w:bookmarkStart w:id="100032" w:name="_Toc100032"/>
      <w:r>
        <w:rPr>
          <w:rFonts w:ascii="Calibri" w:eastAsia="Microsoft YaHei"/>
          <w:b/>
          <w:bCs/>
          <w:color w:val="0B1C2C"/>
          <w:sz w:val="28"/>
          <w:szCs w:val="28"/>
        </w:rPr>
        <w:t xml:space="preserve">10.2 Digital JSON Signatures</w:t>
      </w:r>
      <w:bookmarkEnd w:id="100032"/>
    </w:p>
    <w:p>
      <w:pPr>
        <w:spacing w:after="120" w:line="312"/>
        <w:jc w:val="both"/>
      </w:pPr>
      <w:r>
        <w:rPr>
          <w:rFonts w:ascii="Calibri" w:eastAsia="Microsoft YaHei"/>
          <w:color w:val="1A1A1A"/>
          <w:sz w:val="24"/>
          <w:szCs w:val="24"/>
        </w:rPr>
        <w:t xml:space="preserve">Every JSON data file received from external sources (Binance API responses, CoinGlass data exports) is signed with an HMAC-SHA256 signature using a locally stored key. Before the data is used in any analysis, the system verifies the signature to ensure the file has not been tampered with since it was downloaded. This prevents a class of attacks where an attacker modifies downloaded data files to inject false market information.</w:t>
      </w:r>
    </w:p>
    <w:p>
      <w:pPr>
        <w:spacing w:after="120" w:line="312"/>
        <w:jc w:val="both"/>
      </w:pPr>
      <w:r>
        <w:rPr>
          <w:rFonts w:ascii="Calibri" w:eastAsia="Microsoft YaHei"/>
          <w:color w:val="1A1A1A"/>
          <w:sz w:val="24"/>
          <w:szCs w:val="24"/>
        </w:rPr>
        <w:t xml:space="preserve">The signing key is itself encrypted using Fernet symmetric encryption and stored in a configuration file. The encryption key is derived from a user-provided passphrase using PBKDF2 with a random salt. This means that even if an attacker gains access to the configuration file, they cannot forge signatures without knowing the passphrase.</w:t>
      </w:r>
    </w:p>
    <w:p>
      <w:pPr>
        <w:pStyle w:val="Heading2"/>
        <w:spacing w:after="140" w:before="280" w:line="312"/>
      </w:pPr>
      <w:bookmarkStart w:id="100033" w:name="_Toc100033"/>
      <w:r>
        <w:rPr>
          <w:rFonts w:ascii="Calibri" w:eastAsia="Microsoft YaHei"/>
          <w:b/>
          <w:bCs/>
          <w:color w:val="0B1C2C"/>
          <w:sz w:val="28"/>
          <w:szCs w:val="28"/>
        </w:rPr>
        <w:t xml:space="preserve">10.3 Process Watchdog</w:t>
      </w:r>
      <w:bookmarkEnd w:id="100033"/>
    </w:p>
    <w:p>
      <w:pPr>
        <w:spacing w:after="120" w:line="312"/>
        <w:jc w:val="both"/>
      </w:pPr>
      <w:r>
        <w:rPr>
          <w:rFonts w:ascii="Calibri" w:eastAsia="Microsoft YaHei"/>
          <w:color w:val="1A1A1A"/>
          <w:sz w:val="24"/>
          <w:szCs w:val="24"/>
        </w:rPr>
        <w:t xml:space="preserve">A dedicated watchdog process monitors the health of Ollama, FastAPI, and SQLite at configurable intervals (default: every 30 seconds). The watchdog checks for process existence, response latency, and error rates. If a process is determined to be unhealthy (non-responsive for more than 60 seconds, returning error codes, or consuming excessive resources), the watchdog automatically restarts the affected service and logs the incident.</w:t>
      </w:r>
    </w:p>
    <w:p>
      <w:pPr>
        <w:spacing w:after="120" w:line="312"/>
        <w:jc w:val="both"/>
      </w:pPr>
      <w:r>
        <w:rPr>
          <w:rFonts w:ascii="Calibri" w:eastAsia="Microsoft YaHei"/>
          <w:color w:val="1A1A1A"/>
          <w:sz w:val="24"/>
          <w:szCs w:val="24"/>
        </w:rPr>
        <w:t xml:space="preserve">The watchdog also implements a circuit breaker pattern: if a service fails more than three times within a 10-minute window, the watchdog stops automatic restart attempts and alerts the user through the UI. This prevents infinite restart loops that could mask persistent configuration errors or resource exhaustion. All watchdog events are logged to SQLite for post-mortem analysis.</w:t>
      </w:r>
    </w:p>
    <w:p>
      <w:pPr>
        <w:pStyle w:val="Heading2"/>
        <w:spacing w:after="140" w:before="280" w:line="312"/>
      </w:pPr>
      <w:bookmarkStart w:id="100034" w:name="_Toc100034"/>
      <w:r>
        <w:rPr>
          <w:rFonts w:ascii="Calibri" w:eastAsia="Microsoft YaHei"/>
          <w:b/>
          <w:bCs/>
          <w:color w:val="0B1C2C"/>
          <w:sz w:val="28"/>
          <w:szCs w:val="28"/>
        </w:rPr>
        <w:t xml:space="preserve">10.4 Sandboxed Execution</w:t>
      </w:r>
      <w:bookmarkEnd w:id="100034"/>
    </w:p>
    <w:p>
      <w:pPr>
        <w:spacing w:after="120" w:line="312"/>
        <w:jc w:val="both"/>
      </w:pPr>
      <w:r>
        <w:rPr>
          <w:rFonts w:ascii="Calibri" w:eastAsia="Microsoft YaHei"/>
          <w:color w:val="1A1A1A"/>
          <w:sz w:val="24"/>
          <w:szCs w:val="24"/>
        </w:rPr>
        <w:t xml:space="preserve">The analysis modules run in a sandboxed environment with minimal system privileges. On Windows, the analyzer processes run under a dedicated user account with restricted permissions: no network access beyond 127.0.0.1, no filesystem write access outside the application data directory, and no registry modification rights. This limits the potential damage from any vulnerability in the analysis code or the LLM output processing.</w:t>
      </w:r>
    </w:p>
    <w:p>
      <w:pPr>
        <w:spacing w:after="120" w:line="312"/>
        <w:jc w:val="both"/>
      </w:pPr>
      <w:r>
        <w:rPr>
          <w:rFonts w:ascii="Calibri" w:eastAsia="Microsoft YaHei"/>
          <w:color w:val="1A1A1A"/>
          <w:sz w:val="24"/>
          <w:szCs w:val="24"/>
        </w:rPr>
        <w:t xml:space="preserve">Additionally, the use of Python's eval() and exec() functions is strictly prohibited throughout the codebase. A pre-commit hook scans all Python files for these dangerous functions and blocks any commit that contains them. All dynamic code execution is handled through the Ollama API, which runs in its own sandboxed process with its own security restrictions.</w:t>
      </w:r>
    </w:p>
    <w:p>
      <w:pPr>
        <w:pStyle w:val="Heading2"/>
        <w:spacing w:after="140" w:before="280" w:line="312"/>
      </w:pPr>
      <w:bookmarkStart w:id="100035" w:name="_Toc100035"/>
      <w:r>
        <w:rPr>
          <w:rFonts w:ascii="Calibri" w:eastAsia="Microsoft YaHei"/>
          <w:b/>
          <w:bCs/>
          <w:color w:val="0B1C2C"/>
          <w:sz w:val="28"/>
          <w:szCs w:val="28"/>
        </w:rPr>
        <w:t xml:space="preserve">10.5 Ollama Network Isolation</w:t>
      </w:r>
      <w:bookmarkEnd w:id="100035"/>
    </w:p>
    <w:p>
      <w:pPr>
        <w:spacing w:after="120" w:line="312"/>
        <w:jc w:val="both"/>
      </w:pPr>
      <w:r>
        <w:rPr>
          <w:rFonts w:ascii="Calibri" w:eastAsia="Microsoft YaHei"/>
          <w:color w:val="1A1A1A"/>
          <w:sz w:val="24"/>
          <w:szCs w:val="24"/>
        </w:rPr>
        <w:t xml:space="preserve">Ollama is configured to listen exclusively on 127.0.0.1:11434, making it inaccessible from any external network interface. The FastAPI backend, which is the only component that communicates with Ollama, is similarly bound to 127.0.0.1 for local use. If remote access is needed (for example, from an Android device on the same local network), the connection is secured through a TLS-encrypted reverse proxy with certificate-based authentication.</w:t>
      </w:r>
    </w:p>
    <w:p>
      <w:pPr>
        <w:spacing w:after="120" w:line="312"/>
        <w:jc w:val="both"/>
      </w:pPr>
      <w:r>
        <w:rPr>
          <w:rFonts w:ascii="Calibri" w:eastAsia="Microsoft YaHei"/>
          <w:color w:val="1A1A1A"/>
          <w:sz w:val="24"/>
          <w:szCs w:val="24"/>
        </w:rPr>
        <w:t xml:space="preserve">The system also implements rate limiting on the Ollama endpoint to prevent accidental or intentional resource exhaustion. Each user session is limited to a configurable number of requests per minute, with burst allowance for interactive streaming sessions. Exceeded limits result in queued requests rather than errors, ensuring that the system remains responsive under load.</w:t>
      </w:r>
    </w:p>
    <w:p>
      <w:pPr>
        <w:pStyle w:val="Heading2"/>
        <w:spacing w:after="140" w:before="280" w:line="312"/>
      </w:pPr>
      <w:bookmarkStart w:id="100036" w:name="_Toc100036"/>
      <w:r>
        <w:rPr>
          <w:rFonts w:ascii="Calibri" w:eastAsia="Microsoft YaHei"/>
          <w:b/>
          <w:bCs/>
          <w:color w:val="0B1C2C"/>
          <w:sz w:val="28"/>
          <w:szCs w:val="28"/>
        </w:rPr>
        <w:t xml:space="preserve">10.6 Encryption at Rest</w:t>
      </w:r>
      <w:bookmarkEnd w:id="100036"/>
    </w:p>
    <w:p>
      <w:pPr>
        <w:spacing w:after="120" w:line="312"/>
        <w:jc w:val="both"/>
      </w:pPr>
      <w:r>
        <w:rPr>
          <w:rFonts w:ascii="Calibri" w:eastAsia="Microsoft YaHei"/>
          <w:color w:val="1A1A1A"/>
          <w:sz w:val="24"/>
          <w:szCs w:val="24"/>
        </w:rPr>
        <w:t xml:space="preserve">All sensitive data stored on disk is encrypted using Fernet symmetric encryption provided by the Python cryptography library. This includes API keys, the HMAC signing key, user preferences, and any cached analysis results that contain personal trading information. The encryption keys are derived from the user's passphrase using PBKDF2 with 600,000 iterations of SHA256 and a cryptographically random salt.</w:t>
      </w:r>
    </w:p>
    <w:p>
      <w:pPr>
        <w:spacing w:after="120" w:line="312"/>
        <w:jc w:val="both"/>
      </w:pPr>
      <w:r>
        <w:rPr>
          <w:rFonts w:ascii="Calibri" w:eastAsia="Microsoft YaHei"/>
          <w:color w:val="1A1A1A"/>
          <w:sz w:val="24"/>
          <w:szCs w:val="24"/>
        </w:rPr>
        <w:t xml:space="preserve">The passphrase is never stored on disk in any form. Instead, it is requested from the user at application startup and held only in memory for the duration of the session. When the application is closed, all encryption key material is securely zeroed from memory. This ensures that a stolen hard drive or compromised backup cannot reveal any sensitive trading data or credentials.</w:t>
      </w:r>
    </w:p>
    <w:p>
      <w:pPr>
        <w:pStyle w:val="Heading2"/>
        <w:spacing w:after="140" w:before="280" w:line="312"/>
      </w:pPr>
      <w:bookmarkStart w:id="100037" w:name="_Toc100037"/>
      <w:r>
        <w:rPr>
          <w:rFonts w:ascii="Calibri" w:eastAsia="Microsoft YaHei"/>
          <w:b/>
          <w:bCs/>
          <w:color w:val="0B1C2C"/>
          <w:sz w:val="28"/>
          <w:szCs w:val="28"/>
        </w:rPr>
        <w:t xml:space="preserve">10.7 Rate Limiting</w:t>
      </w:r>
      <w:bookmarkEnd w:id="100037"/>
    </w:p>
    <w:p>
      <w:pPr>
        <w:spacing w:after="120" w:line="312"/>
        <w:jc w:val="both"/>
      </w:pPr>
      <w:r>
        <w:rPr>
          <w:rFonts w:ascii="Calibri" w:eastAsia="Microsoft YaHei"/>
          <w:color w:val="1A1A1A"/>
          <w:sz w:val="24"/>
          <w:szCs w:val="24"/>
        </w:rPr>
        <w:t xml:space="preserve">Even in a fully local deployment, rate limiting is essential to prevent accidental or intentional resource exhaustion. The API gateway enforces configurable per-session request limits: by default, 20 requests per minute for standard analysis, 5 requests per minute for multi-model consensus, and 2 requests per minute for expert agent mode (which spawns 5 sub-agents per request). Exceeded limits result in requests being queued rather than rejected, with an estimated wait time displayed in the UI.</w:t>
      </w:r>
    </w:p>
    <w:p>
      <w:pPr>
        <w:spacing w:after="120" w:line="312"/>
        <w:jc w:val="both"/>
      </w:pPr>
      <w:r>
        <w:rPr>
          <w:rFonts w:ascii="Calibri" w:eastAsia="Microsoft YaHei"/>
          <w:color w:val="1A1A1A"/>
          <w:sz w:val="24"/>
          <w:szCs w:val="24"/>
        </w:rPr>
        <w:t xml:space="preserve">The rate limiter uses a sliding window algorithm implemented in Redis-compatible in-memory storage (for single-machine deployments, a simple Python dict with timestamps suffices). Each request consumes tokens based on its computational cost: a standard analysis costs 1 token, a consensus check costs 3 tokens, and an expert agent run costs 5 tokens. This weighted approach ensures that heavier requests are naturally throttled before they can saturate the GPU.</w:t>
      </w:r>
    </w:p>
    <w:p>
      <w:pPr>
        <w:pStyle w:val="Heading2"/>
        <w:spacing w:after="140" w:before="280" w:line="312"/>
      </w:pPr>
      <w:bookmarkStart w:id="100038" w:name="_Toc100038"/>
      <w:r>
        <w:rPr>
          <w:rFonts w:ascii="Calibri" w:eastAsia="Microsoft YaHei"/>
          <w:b/>
          <w:bCs/>
          <w:color w:val="0B1C2C"/>
          <w:sz w:val="28"/>
          <w:szCs w:val="28"/>
        </w:rPr>
        <w:t xml:space="preserve">10.8 Source Trust Module</w:t>
      </w:r>
      <w:bookmarkEnd w:id="100038"/>
    </w:p>
    <w:p>
      <w:pPr>
        <w:spacing w:after="120" w:line="312"/>
        <w:jc w:val="both"/>
      </w:pPr>
      <w:r>
        <w:rPr>
          <w:rFonts w:ascii="Calibri" w:eastAsia="Microsoft YaHei"/>
          <w:color w:val="1A1A1A"/>
          <w:sz w:val="24"/>
          <w:szCs w:val="24"/>
        </w:rPr>
        <w:t xml:space="preserve">The source trust module assigns configurable trust scores (0-100) to every external data provider: Binance, CoinGlass, TradingView, and any future integrations. Each provider has a baseline trust score derived from its historical reliability, data freshness, and known issues. When data is received from a low-trust source, the system applies additional validation: stricter schema checks, anomaly detection, and cross-referencing with higher-trust sources if available.</w:t>
      </w:r>
    </w:p>
    <w:p>
      <w:pPr>
        <w:spacing w:after="120" w:line="312"/>
        <w:jc w:val="both"/>
      </w:pPr>
      <w:r>
        <w:rPr>
          <w:rFonts w:ascii="Calibri" w:eastAsia="Microsoft YaHei"/>
          <w:color w:val="1A1A1A"/>
          <w:sz w:val="24"/>
          <w:szCs w:val="24"/>
        </w:rPr>
        <w:t xml:space="preserve">If a source's trust score drops below a configurable threshold (default: 30) due to repeated data quality issues, the system automatically disables that source and alerts the administrator. Trust scores are stored in SQLite with a full audit trail of every score adjustment, including the reason, timestamp, and the user who made the change. This creates a self-healing data pipeline that progressively learns which sources are most reliable for each type of market data.</w:t>
      </w:r>
    </w:p>
    <w:p>
      <w:pPr>
        <w:pStyle w:val="Heading1"/>
        <w:spacing w:after="200" w:before="360" w:line="312"/>
      </w:pPr>
      <w:bookmarkStart w:id="100039" w:name="_Toc100039"/>
      <w:r>
        <w:rPr>
          <w:rFonts w:ascii="Calibri" w:eastAsia="Microsoft YaHei"/>
          <w:b/>
          <w:bCs/>
          <w:color w:val="0B1C2C"/>
          <w:sz w:val="32"/>
          <w:szCs w:val="32"/>
        </w:rPr>
        <w:t xml:space="preserve">11. CI/CD and DevOps</w:t>
      </w:r>
      <w:bookmarkEnd w:id="100039"/>
    </w:p>
    <w:p>
      <w:pPr>
        <w:spacing w:after="120" w:line="312"/>
        <w:jc w:val="both"/>
      </w:pPr>
      <w:r>
        <w:rPr>
          <w:rFonts w:ascii="Calibri" w:eastAsia="Microsoft YaHei"/>
          <w:color w:val="1A1A1A"/>
          <w:sz w:val="24"/>
          <w:szCs w:val="24"/>
        </w:rPr>
        <w:t xml:space="preserve">Continuous Integration and Continuous Deployment pipelines ensure that every code change is automatically tested, validated, and packaged before reaching the user. For a local application like AI Analyzer, CI/CD serves a dual purpose: it prevents regressions from breaking existing functionality, and it automates the creation of distributable packages (Windows installer, Android APK) so that updates can be delivered efficiently.</w:t>
      </w:r>
    </w:p>
    <w:p>
      <w:pPr>
        <w:pStyle w:val="Heading2"/>
        <w:spacing w:after="140" w:before="280" w:line="312"/>
      </w:pPr>
      <w:bookmarkStart w:id="100040" w:name="_Toc100040"/>
      <w:r>
        <w:rPr>
          <w:rFonts w:ascii="Calibri" w:eastAsia="Microsoft YaHei"/>
          <w:b/>
          <w:bCs/>
          <w:color w:val="0B1C2C"/>
          <w:sz w:val="28"/>
          <w:szCs w:val="28"/>
        </w:rPr>
        <w:t xml:space="preserve">11.1 GitHub Actions Pipeline</w:t>
      </w:r>
      <w:bookmarkEnd w:id="100040"/>
    </w:p>
    <w:p>
      <w:pPr>
        <w:spacing w:after="120" w:line="312"/>
        <w:jc w:val="both"/>
      </w:pPr>
      <w:r>
        <w:rPr>
          <w:rFonts w:ascii="Calibri" w:eastAsia="Microsoft YaHei"/>
          <w:color w:val="1A1A1A"/>
          <w:sz w:val="24"/>
          <w:szCs w:val="24"/>
        </w:rPr>
        <w:t xml:space="preserve">The CI pipeline runs on every push to the main branch and on every pull request. It executes three stages: linting (ruff for Python, dart analyze for Flutter), unit testing (pytest for backend, flutter test for frontend), and integration testing (a Docker container spins up Ollama with a tiny model and runs end-to-end analysis requests through the full stack). If any stage fails, the pipeline blocks the merge and reports the failure with detailed logs.</w:t>
      </w:r>
    </w:p>
    <w:p>
      <w:pPr>
        <w:spacing w:after="120" w:line="312"/>
        <w:jc w:val="both"/>
      </w:pPr>
      <w:r>
        <w:rPr>
          <w:rFonts w:ascii="Calibri" w:eastAsia="Microsoft YaHei"/>
          <w:color w:val="1A1A1A"/>
          <w:sz w:val="24"/>
          <w:szCs w:val="24"/>
        </w:rPr>
        <w:t xml:space="preserve">The CD pipeline triggers on tagged releases (e.g., v2.1.0). It builds the Flutter application for Windows (MSIX installer) and Android (APK with split-per-ABI), packages the Python backend into a standalone executable using PyInstaller, and uploads all artifacts to a GitHub Release. For users who prefer manual installation, a setup script downloads the latest release and configures the environment automatically.</w:t>
      </w:r>
    </w:p>
    <w:p>
      <w:pPr>
        <w:pStyle w:val="Heading2"/>
        <w:spacing w:after="140" w:before="280" w:line="312"/>
      </w:pPr>
      <w:bookmarkStart w:id="100041" w:name="_Toc100041"/>
      <w:r>
        <w:rPr>
          <w:rFonts w:ascii="Calibri" w:eastAsia="Microsoft YaHei"/>
          <w:b/>
          <w:bCs/>
          <w:color w:val="0B1C2C"/>
          <w:sz w:val="28"/>
          <w:szCs w:val="28"/>
        </w:rPr>
        <w:t xml:space="preserve">11.2 Docker Containers</w:t>
      </w:r>
      <w:bookmarkEnd w:id="100041"/>
    </w:p>
    <w:p>
      <w:pPr>
        <w:spacing w:after="120" w:line="312"/>
        <w:jc w:val="both"/>
      </w:pPr>
      <w:r>
        <w:rPr>
          <w:rFonts w:ascii="Calibri" w:eastAsia="Microsoft YaHei"/>
          <w:color w:val="1A1A1A"/>
          <w:sz w:val="24"/>
          <w:szCs w:val="24"/>
        </w:rPr>
        <w:t xml:space="preserve">Docker provides reproducible build environments and simplifies deployment. Three containers are defined: ai-analyzer-backend (FastAPI + all Python dependencies), ai-analyzer-ollama (pre-configured with GLM-4.7 and Qwen3 models), and ai-analyzer-db (SQLite with mounted volume for persistent data). Docker Compose orchestrates all three containers with a single command, handling networking, volume mounts, and health checks.</w:t>
      </w:r>
    </w:p>
    <w:p>
      <w:pPr>
        <w:spacing w:after="120" w:line="312"/>
        <w:jc w:val="both"/>
      </w:pPr>
      <w:r>
        <w:rPr>
          <w:rFonts w:ascii="Calibri" w:eastAsia="Microsoft YaHei"/>
          <w:color w:val="1A1A1A"/>
          <w:sz w:val="24"/>
          <w:szCs w:val="24"/>
        </w:rPr>
        <w:t xml:space="preserve">For production deployments on Windows, the backend and Ollama can run as native services without Docker for maximum performance, while Docker remains available for development and testing. The Docker configuration includes resource limits (memory, CPU) to prevent Ollama from consuming all available system resources, which is particularly important on machines with limited RAM.</w:t>
      </w:r>
    </w:p>
    <w:p>
      <w:pPr>
        <w:pStyle w:val="Heading1"/>
        <w:spacing w:after="200" w:before="360" w:line="312"/>
      </w:pPr>
      <w:bookmarkStart w:id="100042" w:name="_Toc100042"/>
      <w:r>
        <w:rPr>
          <w:rFonts w:ascii="Calibri" w:eastAsia="Microsoft YaHei"/>
          <w:b/>
          <w:bCs/>
          <w:color w:val="0B1C2C"/>
          <w:sz w:val="32"/>
          <w:szCs w:val="32"/>
        </w:rPr>
        <w:t xml:space="preserve">12. Local Update Module</w:t>
      </w:r>
      <w:bookmarkEnd w:id="100042"/>
    </w:p>
    <w:p>
      <w:pPr>
        <w:spacing w:after="120" w:line="312"/>
        <w:jc w:val="both"/>
      </w:pPr>
      <w:r>
        <w:rPr>
          <w:rFonts w:ascii="Calibri" w:eastAsia="Microsoft YaHei"/>
          <w:color w:val="1A1A1A"/>
          <w:sz w:val="24"/>
          <w:szCs w:val="24"/>
        </w:rPr>
        <w:t xml:space="preserve">The update module enables secure, verified updates without requiring an internet connection during operation. Updates are distributed as signed packages containing new prompts, model configurations, database migrations, and application binaries. Before any update is applied, the module verifies the digital signature, checks the package integrity via SHA256 checksums, and creates a full backup of the current state.</w:t>
      </w:r>
    </w:p>
    <w:p>
      <w:pPr>
        <w:pStyle w:val="Heading2"/>
        <w:spacing w:after="140" w:before="280" w:line="312"/>
      </w:pPr>
      <w:bookmarkStart w:id="100043" w:name="_Toc100043"/>
      <w:r>
        <w:rPr>
          <w:rFonts w:ascii="Calibri" w:eastAsia="Microsoft YaHei"/>
          <w:b/>
          <w:bCs/>
          <w:color w:val="0B1C2C"/>
          <w:sz w:val="28"/>
          <w:szCs w:val="28"/>
        </w:rPr>
        <w:t xml:space="preserve">12.1 Update Process</w:t>
      </w:r>
      <w:bookmarkEnd w:id="100043"/>
    </w:p>
    <w:p>
      <w:pPr>
        <w:spacing w:after="120" w:line="312"/>
        <w:jc w:val="both"/>
      </w:pPr>
      <w:r>
        <w:rPr>
          <w:rFonts w:ascii="Calibri" w:eastAsia="Microsoft YaHei"/>
          <w:color w:val="1A1A1A"/>
          <w:sz w:val="24"/>
          <w:szCs w:val="24"/>
        </w:rPr>
        <w:t xml:space="preserve">The update workflow follows a strict five-step process designed to prevent any possibility of leaving the system in a broken state. First, the update package is downloaded or loaded from a USB drive. Second, the digital signature is verified against the developer's public key (embedded in the application). Third, the SHA256 checksum of every file in the package is compared against the manifest. Fourth, the current database and configuration are backed up to a timestamped directory. Fifth, the update is applied atomically: files are written to a temporary location, and only after all writes succeed, the temporary files are swapped into the active directories.</w:t>
      </w:r>
    </w:p>
    <w:p>
      <w:pPr>
        <w:spacing w:after="120" w:line="312"/>
        <w:jc w:val="both"/>
      </w:pPr>
      <w:r>
        <w:rPr>
          <w:rFonts w:ascii="Calibri" w:eastAsia="Microsoft YaHei"/>
          <w:color w:val="1A1A1A"/>
          <w:sz w:val="24"/>
          <w:szCs w:val="24"/>
        </w:rPr>
        <w:t xml:space="preserve">If the application fails to start after an update (detected by the watchdog within 30 seconds), the system automatically rolls back to the previous version using the backup created in step four. This guarantees that an update can never permanently break the installation. The update module also supports differential updates that only download changed files, reducing the update size for minor releases from potentially hundreds of megabytes to just a few megabytes.</w:t>
      </w:r>
    </w:p>
    <w:p>
      <w:pPr>
        <w:pStyle w:val="Heading2"/>
        <w:spacing w:after="140" w:before="280" w:line="312"/>
      </w:pPr>
      <w:bookmarkStart w:id="100044" w:name="_Toc100044"/>
      <w:r>
        <w:rPr>
          <w:rFonts w:ascii="Calibri" w:eastAsia="Microsoft YaHei"/>
          <w:b/>
          <w:bCs/>
          <w:color w:val="0B1C2C"/>
          <w:sz w:val="28"/>
          <w:szCs w:val="28"/>
        </w:rPr>
        <w:t xml:space="preserve">12.2 Updatable Components</w:t>
      </w:r>
      <w:bookmarkEnd w:id="100044"/>
    </w:p>
    <w:p>
      <w:pPr>
        <w:spacing w:after="120" w:line="312"/>
        <w:jc w:val="both"/>
      </w:pPr>
      <w:r>
        <w:rPr>
          <w:rFonts w:ascii="Calibri" w:eastAsia="Microsoft YaHei"/>
          <w:color w:val="1A1A1A"/>
          <w:sz w:val="24"/>
          <w:szCs w:val="24"/>
        </w:rPr>
        <w:t xml:space="preserve">Not all components are updatable through the same mechanism. System prompts, model configurations, and analysis templates are hot-reloadable without restarting the service. Database migrations require a brief service interruption (typically under 2 seconds). Application binaries (Flutter UI, FastAPI backend) require a full restart. The update manifest explicitly declares which components are included in each package and their required restart level, allowing the system to minimize downtime by applying non-breaking updates without interruption.</w:t>
      </w:r>
    </w:p>
    <w:p>
      <w:pPr>
        <w:pStyle w:val="Heading1"/>
        <w:spacing w:after="200" w:before="360" w:line="312"/>
      </w:pPr>
      <w:bookmarkStart w:id="100045" w:name="_Toc100045"/>
      <w:r>
        <w:rPr>
          <w:rFonts w:ascii="Calibri" w:eastAsia="Microsoft YaHei"/>
          <w:b/>
          <w:bCs/>
          <w:color w:val="0B1C2C"/>
          <w:sz w:val="32"/>
          <w:szCs w:val="32"/>
        </w:rPr>
        <w:t xml:space="preserve">13. User Roles and Access Control</w:t>
      </w:r>
      <w:bookmarkEnd w:id="100045"/>
    </w:p>
    <w:p>
      <w:pPr>
        <w:spacing w:after="120" w:line="312"/>
        <w:jc w:val="both"/>
      </w:pPr>
      <w:r>
        <w:rPr>
          <w:rFonts w:ascii="Calibri" w:eastAsia="Microsoft YaHei"/>
          <w:color w:val="1A1A1A"/>
          <w:sz w:val="24"/>
          <w:szCs w:val="24"/>
        </w:rPr>
        <w:t xml:space="preserve">Role-based access control (RBAC) enables multi-user deployments where different team members have different levels of access to the system's features and data. This is particularly valuable for trading teams where analysts develop strategies, traders execute them, and administrators manage the infrastructure. Each role has a carefully scoped permission set that follows the principle of least privilege.</w:t>
      </w:r>
    </w:p>
    <w:p>
      <w:pPr>
        <w:pStyle w:val="Heading2"/>
        <w:spacing w:after="140" w:before="280" w:line="312"/>
      </w:pPr>
      <w:bookmarkStart w:id="100046" w:name="_Toc100046"/>
      <w:r>
        <w:rPr>
          <w:rFonts w:ascii="Calibri" w:eastAsia="Microsoft YaHei"/>
          <w:b/>
          <w:bCs/>
          <w:color w:val="0B1C2C"/>
          <w:sz w:val="28"/>
          <w:szCs w:val="28"/>
        </w:rPr>
        <w:t xml:space="preserve">13.1 Role Definitions</w:t>
      </w:r>
      <w:bookmarkEnd w:id="10004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Calibri"/>
                <w:b/>
                <w:bCs/>
                <w:color w:val="FFFFFF"/>
                <w:sz w:val="21"/>
                <w:szCs w:val="21"/>
              </w:rPr>
              <w:t xml:space="preserve">Role</w:t>
            </w:r>
          </w:p>
        </w:tc>
        <w:tc>
          <w:tcPr>
            <w:tcW w:type="pct" w:w="33%"/>
            <w:shd w:fill="1B6B7A" w:val="clear"/>
            <w:tcMar>
              <w:top w:type="dxa" w:w="60"/>
              <w:left w:type="dxa" w:w="120"/>
              <w:bottom w:type="dxa" w:w="60"/>
              <w:right w:type="dxa" w:w="120"/>
            </w:tcMar>
          </w:tcPr>
          <w:p>
            <w:r>
              <w:rPr>
                <w:rFonts w:ascii="Calibri"/>
                <w:b/>
                <w:bCs/>
                <w:color w:val="FFFFFF"/>
                <w:sz w:val="21"/>
                <w:szCs w:val="21"/>
              </w:rPr>
              <w:t xml:space="preserve">Permissions</w:t>
            </w:r>
          </w:p>
        </w:tc>
        <w:tc>
          <w:tcPr>
            <w:tcW w:type="pct" w:w="33%"/>
            <w:shd w:fill="1B6B7A" w:val="clear"/>
            <w:tcMar>
              <w:top w:type="dxa" w:w="60"/>
              <w:left w:type="dxa" w:w="120"/>
              <w:bottom w:type="dxa" w:w="60"/>
              <w:right w:type="dxa" w:w="120"/>
            </w:tcMar>
          </w:tcPr>
          <w:p>
            <w:r>
              <w:rPr>
                <w:rFonts w:ascii="Calibri"/>
                <w:b/>
                <w:bCs/>
                <w:color w:val="FFFFFF"/>
                <w:sz w:val="21"/>
                <w:szCs w:val="21"/>
              </w:rPr>
              <w:t xml:space="preserve">Use Case</w:t>
            </w:r>
          </w:p>
        </w:tc>
      </w:tr>
      <w:tr>
        <w:trPr>
          <w:cantSplit/>
        </w:trPr>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Admin</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Full access: settings, users, models, backups, audit logs, updates</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System administrator</w:t>
            </w:r>
          </w:p>
        </w:tc>
      </w:tr>
      <w:tr>
        <w:trPr>
          <w:cantSplit/>
        </w:trPr>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Analyst</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Create/edit prompts, run backtests, view all signals, manage models</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Quantitative analyst</w:t>
            </w:r>
          </w:p>
        </w:tc>
      </w:tr>
      <w:tr>
        <w:trPr>
          <w:cantSplit/>
        </w:trPr>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Trader</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View signals, execute trades (MT5), view personal history</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Active trader</w:t>
            </w:r>
          </w:p>
        </w:tc>
      </w:tr>
      <w:tr>
        <w:trPr>
          <w:cantSplit/>
        </w:trPr>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Viewer</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Read-only: view published signals and dashboard</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Junior team member</w:t>
            </w:r>
          </w:p>
        </w:tc>
      </w:tr>
    </w:tbl>
    <w:p>
      <w:pPr>
        <w:spacing w:after="60"/>
      </w:pPr>
    </w:p>
    <w:p>
      <w:pPr>
        <w:spacing w:after="120" w:line="312"/>
        <w:jc w:val="both"/>
      </w:pPr>
      <w:r>
        <w:rPr>
          <w:rFonts w:ascii="Calibri" w:eastAsia="Microsoft YaHei"/>
          <w:color w:val="1A1A1A"/>
          <w:sz w:val="24"/>
          <w:szCs w:val="24"/>
        </w:rPr>
        <w:t xml:space="preserve">Each role is stored in the users table of SQLite with a bcrypt-hashed password and a role identifier. The FastAPI backend middleware checks the user's role on every API request and rejects unauthorized attempts with HTTP 403. Session tokens are generated using cryptographically secure random bytes and expire after a configurable timeout (default: 24 hours). The admin can force-expire any session through the audit management interface.</w:t>
      </w:r>
    </w:p>
    <w:p>
      <w:pPr>
        <w:pStyle w:val="Heading2"/>
        <w:spacing w:after="140" w:before="280" w:line="312"/>
      </w:pPr>
      <w:bookmarkStart w:id="100047" w:name="_Toc100047"/>
      <w:r>
        <w:rPr>
          <w:rFonts w:ascii="Calibri" w:eastAsia="Microsoft YaHei"/>
          <w:b/>
          <w:bCs/>
          <w:color w:val="0B1C2C"/>
          <w:sz w:val="28"/>
          <w:szCs w:val="28"/>
        </w:rPr>
        <w:t xml:space="preserve">13.2 Personal Data Isolation</w:t>
      </w:r>
      <w:bookmarkEnd w:id="100047"/>
    </w:p>
    <w:p>
      <w:pPr>
        <w:spacing w:after="120" w:line="312"/>
        <w:jc w:val="both"/>
      </w:pPr>
      <w:r>
        <w:rPr>
          <w:rFonts w:ascii="Calibri" w:eastAsia="Microsoft YaHei"/>
          <w:color w:val="1A1A1A"/>
          <w:sz w:val="24"/>
          <w:szCs w:val="24"/>
        </w:rPr>
        <w:t xml:space="preserve">When multiple traders use the same installation, their signal histories, trade logs, and personal notes are strictly isolated. Each user can only access their own data, and the admin role can access aggregated (not individual) statistics for team performance evaluation. This isolation is enforced at the database level through user ID foreign keys on all personal data tables, preventing any possibility of cross-user data leakage even in the event of an application-level bug.</w:t>
      </w:r>
    </w:p>
    <w:p>
      <w:pPr>
        <w:pStyle w:val="Heading1"/>
        <w:spacing w:after="200" w:before="360" w:line="312"/>
      </w:pPr>
      <w:bookmarkStart w:id="100048" w:name="_Toc100048"/>
      <w:r>
        <w:rPr>
          <w:rFonts w:ascii="Calibri" w:eastAsia="Microsoft YaHei"/>
          <w:b/>
          <w:bCs/>
          <w:color w:val="0B1C2C"/>
          <w:sz w:val="32"/>
          <w:szCs w:val="32"/>
        </w:rPr>
        <w:t xml:space="preserve">14. Audit Logging</w:t>
      </w:r>
      <w:bookmarkEnd w:id="100048"/>
    </w:p>
    <w:p>
      <w:pPr>
        <w:spacing w:after="120" w:line="312"/>
        <w:jc w:val="both"/>
      </w:pPr>
      <w:r>
        <w:rPr>
          <w:rFonts w:ascii="Calibri" w:eastAsia="Microsoft YaHei"/>
          <w:color w:val="1A1A1A"/>
          <w:sz w:val="24"/>
          <w:szCs w:val="24"/>
        </w:rPr>
        <w:t xml:space="preserve">A comprehensive audit log records every significant action taken within the system, creating an immutable chronological trail that supports forensic analysis, compliance requirements, and performance debugging. The audit log is stored in a separate SQLite database (audit.db) that is write-only from the application's perspective, preventing any user, including admins, from tampering with historical records.</w:t>
      </w:r>
    </w:p>
    <w:p>
      <w:pPr>
        <w:pStyle w:val="Heading2"/>
        <w:spacing w:after="140" w:before="280" w:line="312"/>
      </w:pPr>
      <w:bookmarkStart w:id="100049" w:name="_Toc100049"/>
      <w:r>
        <w:rPr>
          <w:rFonts w:ascii="Calibri" w:eastAsia="Microsoft YaHei"/>
          <w:b/>
          <w:bCs/>
          <w:color w:val="0B1C2C"/>
          <w:sz w:val="28"/>
          <w:szCs w:val="28"/>
        </w:rPr>
        <w:t xml:space="preserve">14.1 Logged Events</w:t>
      </w:r>
      <w:bookmarkEnd w:id="10004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Calibri"/>
                <w:b/>
                <w:bCs/>
                <w:color w:val="FFFFFF"/>
                <w:sz w:val="21"/>
                <w:szCs w:val="21"/>
              </w:rPr>
              <w:t xml:space="preserve">Category</w:t>
            </w:r>
          </w:p>
        </w:tc>
        <w:tc>
          <w:tcPr>
            <w:tcW w:type="pct" w:w="33%"/>
            <w:shd w:fill="1B6B7A" w:val="clear"/>
            <w:tcMar>
              <w:top w:type="dxa" w:w="60"/>
              <w:left w:type="dxa" w:w="120"/>
              <w:bottom w:type="dxa" w:w="60"/>
              <w:right w:type="dxa" w:w="120"/>
            </w:tcMar>
          </w:tcPr>
          <w:p>
            <w:r>
              <w:rPr>
                <w:rFonts w:ascii="Calibri"/>
                <w:b/>
                <w:bCs/>
                <w:color w:val="FFFFFF"/>
                <w:sz w:val="21"/>
                <w:szCs w:val="21"/>
              </w:rPr>
              <w:t xml:space="preserve">Events</w:t>
            </w:r>
          </w:p>
        </w:tc>
        <w:tc>
          <w:tcPr>
            <w:tcW w:type="pct" w:w="33%"/>
            <w:shd w:fill="1B6B7A" w:val="clear"/>
            <w:tcMar>
              <w:top w:type="dxa" w:w="60"/>
              <w:left w:type="dxa" w:w="120"/>
              <w:bottom w:type="dxa" w:w="60"/>
              <w:right w:type="dxa" w:w="120"/>
            </w:tcMar>
          </w:tcPr>
          <w:p>
            <w:r>
              <w:rPr>
                <w:rFonts w:ascii="Calibri"/>
                <w:b/>
                <w:bCs/>
                <w:color w:val="FFFFFF"/>
                <w:sz w:val="21"/>
                <w:szCs w:val="21"/>
              </w:rPr>
              <w:t xml:space="preserve">Details Stored</w:t>
            </w:r>
          </w:p>
        </w:tc>
      </w:tr>
      <w:tr>
        <w:trPr>
          <w:cantSplit/>
        </w:trPr>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Analysis</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Signal requests, model selection, cache hits/misses</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Timestamp, user, coin, model, confidence, JSON hash</w:t>
            </w:r>
          </w:p>
        </w:tc>
      </w:tr>
      <w:tr>
        <w:trPr>
          <w:cantSplit/>
        </w:trPr>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Data Import</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JSON file loads, source validation, signature checks</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Timestamp, source, file hash, trust score, validation result</w:t>
            </w:r>
          </w:p>
        </w:tc>
      </w:tr>
      <w:tr>
        <w:trPr>
          <w:cantSplit/>
        </w:trPr>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Authentication</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Login, logout, session expiry, failed attempts</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Timestamp, user, IP, result, session token hash</w:t>
            </w:r>
          </w:p>
        </w:tc>
      </w:tr>
      <w:tr>
        <w:trPr>
          <w:cantSplit/>
        </w:trPr>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Configuration</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Settings changes, model updates, role assignments</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Timestamp, admin, old value, new value, change reason</w:t>
            </w:r>
          </w:p>
        </w:tc>
      </w:tr>
      <w:tr>
        <w:trPr>
          <w:cantSplit/>
        </w:trPr>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System</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Service restarts, watchdog interventions, update events</w:t>
            </w:r>
          </w:p>
        </w:tc>
        <w:tc>
          <w:tcPr>
            <w:tcW w:type="pct" w:w="33%"/>
            <w:shd w:fill="F0F5F8" w:val="clear"/>
            <w:tcMar>
              <w:top w:type="dxa" w:w="60"/>
              <w:left w:type="dxa" w:w="120"/>
              <w:bottom w:type="dxa" w:w="60"/>
              <w:right w:type="dxa" w:w="120"/>
            </w:tcMar>
          </w:tcPr>
          <w:p>
            <w:r>
              <w:rPr>
                <w:rFonts w:ascii="Calibri" w:eastAsia="Microsoft YaHei"/>
                <w:color w:val="1A1A1A"/>
                <w:sz w:val="21"/>
                <w:szCs w:val="21"/>
              </w:rPr>
              <w:t xml:space="preserve">Timestamp, process, action, result, recovery time</w:t>
            </w:r>
          </w:p>
        </w:tc>
      </w:tr>
      <w:tr>
        <w:trPr>
          <w:cantSplit/>
        </w:trPr>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Errors</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LLM failures, JSON parse errors, cache corruption</w:t>
            </w:r>
          </w:p>
        </w:tc>
        <w:tc>
          <w:tcPr>
            <w:tcW w:type="pct" w:w="33%"/>
            <w:shd w:fill="FFFFFF" w:val="clear"/>
            <w:tcMar>
              <w:top w:type="dxa" w:w="60"/>
              <w:left w:type="dxa" w:w="120"/>
              <w:bottom w:type="dxa" w:w="60"/>
              <w:right w:type="dxa" w:w="120"/>
            </w:tcMar>
          </w:tcPr>
          <w:p>
            <w:r>
              <w:rPr>
                <w:rFonts w:ascii="Calibri" w:eastAsia="Microsoft YaHei"/>
                <w:color w:val="1A1A1A"/>
                <w:sz w:val="21"/>
                <w:szCs w:val="21"/>
              </w:rPr>
              <w:t xml:space="preserve">Timestamp, error code, context, model response preview</w:t>
            </w:r>
          </w:p>
        </w:tc>
      </w:tr>
    </w:tbl>
    <w:p>
      <w:pPr>
        <w:spacing w:after="60"/>
      </w:pPr>
    </w:p>
    <w:p>
      <w:pPr>
        <w:spacing w:after="120" w:line="312"/>
        <w:jc w:val="both"/>
      </w:pPr>
      <w:r>
        <w:rPr>
          <w:rFonts w:ascii="Calibri" w:eastAsia="Microsoft YaHei"/>
          <w:color w:val="1A1A1A"/>
          <w:sz w:val="24"/>
          <w:szCs w:val="24"/>
        </w:rPr>
        <w:t xml:space="preserve">The audit log implements a circular buffer strategy by default, retaining the most recent 100,000 entries (approximately 3-6 months of operation for a single user). Older entries are archived to timestamped CSV files that can be stored externally for long-term retention. The admin interface provides a searchable audit viewer with filters by category, user, date range, and severity level. This makes it straightforward to answer questions like: Which signals were generated using corrupted data? or How many times did Ollama crash last month?</w:t>
      </w:r>
    </w:p>
    <w:p>
      <w:pPr>
        <w:pStyle w:val="Heading1"/>
        <w:spacing w:after="200" w:before="360" w:line="312"/>
      </w:pPr>
      <w:bookmarkStart w:id="100050" w:name="_Toc100050"/>
      <w:r>
        <w:rPr>
          <w:rFonts w:ascii="Calibri" w:eastAsia="Microsoft YaHei"/>
          <w:b/>
          <w:bCs/>
          <w:color w:val="0B1C2C"/>
          <w:sz w:val="32"/>
          <w:szCs w:val="32"/>
        </w:rPr>
        <w:t xml:space="preserve">15. Failover and Resilience</w:t>
      </w:r>
      <w:bookmarkEnd w:id="100050"/>
    </w:p>
    <w:p>
      <w:pPr>
        <w:spacing w:after="120" w:line="312"/>
        <w:jc w:val="both"/>
      </w:pPr>
      <w:r>
        <w:rPr>
          <w:rFonts w:ascii="Calibri" w:eastAsia="Microsoft YaHei"/>
          <w:color w:val="1A1A1A"/>
          <w:sz w:val="24"/>
          <w:szCs w:val="24"/>
        </w:rPr>
        <w:t xml:space="preserve">The failover system ensures that the application remains functional even when critical components fail. Unlike cloud applications that can rely on auto-scaling groups and load balancers, a local application must implement failover using only on-machine resources. The strategy combines hot standby processes, graceful degradation, and automatic recovery to maximize uptime without requiring user intervention.</w:t>
      </w:r>
    </w:p>
    <w:p>
      <w:pPr>
        <w:pStyle w:val="Heading2"/>
        <w:spacing w:after="140" w:before="280" w:line="312"/>
      </w:pPr>
      <w:bookmarkStart w:id="100051" w:name="_Toc100051"/>
      <w:r>
        <w:rPr>
          <w:rFonts w:ascii="Calibri" w:eastAsia="Microsoft YaHei"/>
          <w:b/>
          <w:bCs/>
          <w:color w:val="0B1C2C"/>
          <w:sz w:val="28"/>
          <w:szCs w:val="28"/>
        </w:rPr>
        <w:t xml:space="preserve">15.1 Ollama Failover</w:t>
      </w:r>
      <w:bookmarkEnd w:id="100051"/>
    </w:p>
    <w:p>
      <w:pPr>
        <w:spacing w:after="120" w:line="312"/>
        <w:jc w:val="both"/>
      </w:pPr>
      <w:r>
        <w:rPr>
          <w:rFonts w:ascii="Calibri" w:eastAsia="Microsoft YaHei"/>
          <w:color w:val="1A1A1A"/>
          <w:sz w:val="24"/>
          <w:szCs w:val="24"/>
        </w:rPr>
        <w:t xml:space="preserve">When the primary Ollama process becomes unresponsive (detected by the watchdog within 60 seconds), the system attempts a cascading recovery sequence. First, it tries to restart the existing process with a graceful shutdown signal. If that fails within 15 seconds, it forcefully terminates the process and starts a fresh instance. If the fresh instance fails to load the model within 120 seconds (indicating a potential GPU memory issue), the system falls back to a pre-configured secondary model that uses less VRAM.</w:t>
      </w:r>
    </w:p>
    <w:p>
      <w:pPr>
        <w:spacing w:after="120" w:line="312"/>
        <w:jc w:val="both"/>
      </w:pPr>
      <w:r>
        <w:rPr>
          <w:rFonts w:ascii="Calibri" w:eastAsia="Microsoft YaHei"/>
          <w:color w:val="1A1A1A"/>
          <w:sz w:val="24"/>
          <w:szCs w:val="24"/>
        </w:rPr>
        <w:t xml:space="preserve">During the recovery period, the UI displays a clear status indicator showing the current state: loading (yellow), degraded mode with fallback model (orange), or fully operational (green). All pending requests are queued and automatically retried once the model is available again. If recovery fails after three attempts, the system enters read-only mode, allowing users to browse cached results and historical signals while the admin investigates the root cause.</w:t>
      </w:r>
    </w:p>
    <w:p>
      <w:pPr>
        <w:pStyle w:val="Heading2"/>
        <w:spacing w:after="140" w:before="280" w:line="312"/>
      </w:pPr>
      <w:bookmarkStart w:id="100052" w:name="_Toc100052"/>
      <w:r>
        <w:rPr>
          <w:rFonts w:ascii="Calibri" w:eastAsia="Microsoft YaHei"/>
          <w:b/>
          <w:bCs/>
          <w:color w:val="0B1C2C"/>
          <w:sz w:val="28"/>
          <w:szCs w:val="28"/>
        </w:rPr>
        <w:t xml:space="preserve">15.2 Database Failover</w:t>
      </w:r>
      <w:bookmarkEnd w:id="100052"/>
    </w:p>
    <w:p>
      <w:pPr>
        <w:spacing w:after="120" w:line="312"/>
        <w:jc w:val="both"/>
      </w:pPr>
      <w:r>
        <w:rPr>
          <w:rFonts w:ascii="Calibri" w:eastAsia="Microsoft YaHei"/>
          <w:color w:val="1A1A1A"/>
          <w:sz w:val="24"/>
          <w:szCs w:val="24"/>
        </w:rPr>
        <w:t xml:space="preserve">SQLite is remarkably resilient, but corruption can occur due to power failures, disk errors, or concurrent access bugs. The failover system maintains two copies of the database: the active database and a replication target that is updated asynchronously with a 1-second delay. If the active database becomes corrupted (detected by SQLite's integrity_check pragma on every startup), the system automatically switches to the replication target with zero data loss.</w:t>
      </w:r>
    </w:p>
    <w:p>
      <w:pPr>
        <w:spacing w:after="120" w:line="312"/>
        <w:jc w:val="both"/>
      </w:pPr>
      <w:r>
        <w:rPr>
          <w:rFonts w:ascii="Calibri" w:eastAsia="Microsoft YaHei"/>
          <w:color w:val="1A1A1A"/>
          <w:sz w:val="24"/>
          <w:szCs w:val="24"/>
        </w:rPr>
        <w:t xml:space="preserve">Additionally, the system performs a full database backup every 6 hours, storing compressed snapshots in a backups/ directory with configurable retention (default: 7 days). The backup includes both the main database and the audit log database. In the unlikely event that both the active and replicated databases are corrupted, the admin can restore from the most recent backup through the application's recovery interface, which guides them through the process step-by-step.</w:t>
      </w:r>
    </w:p>
    <w:p>
      <w:pPr>
        <w:pStyle w:val="Heading1"/>
        <w:spacing w:after="200" w:before="360" w:line="312"/>
      </w:pPr>
      <w:bookmarkStart w:id="100053" w:name="_Toc100053"/>
      <w:r>
        <w:rPr>
          <w:rFonts w:ascii="Calibri" w:eastAsia="Microsoft YaHei"/>
          <w:b/>
          <w:bCs/>
          <w:color w:val="0B1C2C"/>
          <w:sz w:val="32"/>
          <w:szCs w:val="32"/>
        </w:rPr>
        <w:t xml:space="preserve">16. Simulation Module</w:t>
      </w:r>
      <w:bookmarkEnd w:id="100053"/>
    </w:p>
    <w:p>
      <w:pPr>
        <w:spacing w:after="120" w:line="312"/>
        <w:jc w:val="both"/>
      </w:pPr>
      <w:r>
        <w:rPr>
          <w:rFonts w:ascii="Calibri" w:eastAsia="Microsoft YaHei"/>
          <w:color w:val="1A1A1A"/>
          <w:sz w:val="24"/>
          <w:szCs w:val="24"/>
        </w:rPr>
        <w:t xml:space="preserve">The simulation module provides a risk-free sandbox environment for testing prompts, models, and strategies without using real market data or generating actionable signals. It generates synthetic market data with configurable characteristics (trend direction, volatility, volume patterns) and runs the full analysis pipeline against this synthetic data, producing detailed reports on how the system behaves under various market conditions.</w:t>
      </w:r>
    </w:p>
    <w:p>
      <w:pPr>
        <w:pStyle w:val="Heading2"/>
        <w:spacing w:after="140" w:before="280" w:line="312"/>
      </w:pPr>
      <w:bookmarkStart w:id="100054" w:name="_Toc100054"/>
      <w:r>
        <w:rPr>
          <w:rFonts w:ascii="Calibri" w:eastAsia="Microsoft YaHei"/>
          <w:b/>
          <w:bCs/>
          <w:color w:val="0B1C2C"/>
          <w:sz w:val="28"/>
          <w:szCs w:val="28"/>
        </w:rPr>
        <w:t xml:space="preserve">16.1 Synthetic Data Generator</w:t>
      </w:r>
      <w:bookmarkEnd w:id="100054"/>
    </w:p>
    <w:p>
      <w:pPr>
        <w:spacing w:after="120" w:line="312"/>
        <w:jc w:val="both"/>
      </w:pPr>
      <w:r>
        <w:rPr>
          <w:rFonts w:ascii="Calibri" w:eastAsia="Microsoft YaHei"/>
          <w:color w:val="1A1A1A"/>
          <w:sz w:val="24"/>
          <w:szCs w:val="24"/>
        </w:rPr>
        <w:t xml:space="preserve">The generator produces realistic candlestick data using a combination of geometric Brownian motion for price paths and Poisson processes for volume spikes. Users can configure parameters such as trend bias (bullish/bearish/neutral), volatility coefficient, mean reversion strength, and the probability of sudden price jumps. The generated data includes all fields required by the analysis pipeline: OHLCV candles, volume, simulated open interest, and synthetic funding rates.</w:t>
      </w:r>
    </w:p>
    <w:p>
      <w:pPr>
        <w:spacing w:after="120" w:line="312"/>
        <w:jc w:val="both"/>
      </w:pPr>
      <w:r>
        <w:rPr>
          <w:rFonts w:ascii="Calibri" w:eastAsia="Microsoft YaHei"/>
          <w:color w:val="1A1A1A"/>
          <w:sz w:val="24"/>
          <w:szCs w:val="24"/>
        </w:rPr>
        <w:t xml:space="preserve">This is invaluable for prompt engineering: developers can create a standardized test suite of 100 market scenarios with known characteristics, run their prompts against each scenario, and measure how well the model's signals align with the ground truth. For example, a prompt that generates BUY signals in 90% of bearish synthetic scenarios clearly needs adjustment, regardless of how it performs on real market data.</w:t>
      </w:r>
    </w:p>
    <w:p>
      <w:pPr>
        <w:pStyle w:val="Heading2"/>
        <w:spacing w:after="140" w:before="280" w:line="312"/>
      </w:pPr>
      <w:bookmarkStart w:id="100055" w:name="_Toc100055"/>
      <w:r>
        <w:rPr>
          <w:rFonts w:ascii="Calibri" w:eastAsia="Microsoft YaHei"/>
          <w:b/>
          <w:bCs/>
          <w:color w:val="0B1C2C"/>
          <w:sz w:val="28"/>
          <w:szCs w:val="28"/>
        </w:rPr>
        <w:t xml:space="preserve">16.2 A/B Testing for Prompts</w:t>
      </w:r>
      <w:bookmarkEnd w:id="100055"/>
    </w:p>
    <w:p>
      <w:pPr>
        <w:spacing w:after="120" w:line="312"/>
        <w:jc w:val="both"/>
      </w:pPr>
      <w:r>
        <w:rPr>
          <w:rFonts w:ascii="Calibri" w:eastAsia="Microsoft YaHei"/>
          <w:color w:val="1A1A1A"/>
          <w:sz w:val="24"/>
          <w:szCs w:val="24"/>
        </w:rPr>
        <w:t xml:space="preserve">The simulation module supports side-by-side comparison of two prompt versions (A and B) against the same synthetic dataset. The system runs both prompts through every scenario and produces a detailed comparison report: signal accuracy, confidence calibration, average response time, and JSON parse success rate. This quantitative approach to prompt engineering replaces the subjective guesswork that typically dominates LLM prompt optimization, enabling data-driven decisions about which prompt changes actually improve performance.</w:t>
      </w:r>
    </w:p>
    <w:p>
      <w:pPr>
        <w:pStyle w:val="Heading1"/>
        <w:spacing w:after="200" w:before="360" w:line="312"/>
      </w:pPr>
      <w:bookmarkStart w:id="100056" w:name="_Toc100056"/>
      <w:r>
        <w:rPr>
          <w:rFonts w:ascii="Calibri" w:eastAsia="Microsoft YaHei"/>
          <w:b/>
          <w:bCs/>
          <w:color w:val="0B1C2C"/>
          <w:sz w:val="32"/>
          <w:szCs w:val="32"/>
        </w:rPr>
        <w:t xml:space="preserve">17. API Gateway</w:t>
      </w:r>
      <w:bookmarkEnd w:id="100056"/>
    </w:p>
    <w:p>
      <w:pPr>
        <w:spacing w:after="120" w:line="312"/>
        <w:jc w:val="both"/>
      </w:pPr>
      <w:r>
        <w:rPr>
          <w:rFonts w:ascii="Calibri" w:eastAsia="Microsoft YaHei"/>
          <w:color w:val="1A1A1A"/>
          <w:sz w:val="24"/>
          <w:szCs w:val="24"/>
        </w:rPr>
        <w:t xml:space="preserve">The API gateway sits between the Flutter UI and the FastAPI backend services, providing a single entry point for all requests with built-in rate limiting, request filtering, load balancing, and response caching. Even in a local deployment, the gateway serves a critical role by preventing any single client or internal process from overwhelming the system, and by providing a clean abstraction layer that allows internal services to evolve independently.</w:t>
      </w:r>
    </w:p>
    <w:p>
      <w:pPr>
        <w:pStyle w:val="Heading2"/>
        <w:spacing w:after="140" w:before="280" w:line="312"/>
      </w:pPr>
      <w:bookmarkStart w:id="100057" w:name="_Toc100057"/>
      <w:r>
        <w:rPr>
          <w:rFonts w:ascii="Calibri" w:eastAsia="Microsoft YaHei"/>
          <w:b/>
          <w:bCs/>
          <w:color w:val="0B1C2C"/>
          <w:sz w:val="28"/>
          <w:szCs w:val="28"/>
        </w:rPr>
        <w:t xml:space="preserve">17.1 Gateway Architecture</w:t>
      </w:r>
      <w:bookmarkEnd w:id="100057"/>
    </w:p>
    <w:p>
      <w:pPr>
        <w:spacing w:after="120" w:line="312"/>
        <w:jc w:val="both"/>
      </w:pPr>
      <w:r>
        <w:rPr>
          <w:rFonts w:ascii="Calibri" w:eastAsia="Microsoft YaHei"/>
          <w:color w:val="1A1A1A"/>
          <w:sz w:val="24"/>
          <w:szCs w:val="24"/>
        </w:rPr>
        <w:t xml:space="preserve">The gateway is implemented as a lightweight FastAPI middleware layer that intercepts all incoming requests before they reach the route handlers. It performs four operations in sequence: authentication (verify session token and user role), rate limiting (check and update the sliding window counter), request sanitization (remove unknown fields, truncate oversized payloads), and routing (dispatch to the appropriate service handler). Responses pass through the gateway in reverse, where they are compressed (gzip) and tagged with cache headers before being sent to the client.</w:t>
      </w:r>
    </w:p>
    <w:p>
      <w:pPr>
        <w:spacing w:after="120" w:line="312"/>
        <w:jc w:val="both"/>
      </w:pPr>
      <w:r>
        <w:rPr>
          <w:rFonts w:ascii="Calibri" w:eastAsia="Microsoft YaHei"/>
          <w:color w:val="1A1A1A"/>
          <w:sz w:val="24"/>
          <w:szCs w:val="24"/>
        </w:rPr>
        <w:t xml:space="preserve">For multi-user deployments, the gateway also handles request queuing. When the system is under heavy load (multiple concurrent consensus or expert agent requests), the gateway queues excess requests and returns a 202 Accepted with an estimated wait time, rather than allowing the system to become unresponsive. The queue is priority-based: admin requests have the highest priority, followed by single-model analysis, consensus, and expert agent requests.</w:t>
      </w:r>
    </w:p>
    <w:p>
      <w:pPr>
        <w:pStyle w:val="Heading2"/>
        <w:spacing w:after="140" w:before="280" w:line="312"/>
      </w:pPr>
      <w:bookmarkStart w:id="100058" w:name="_Toc100058"/>
      <w:r>
        <w:rPr>
          <w:rFonts w:ascii="Calibri" w:eastAsia="Microsoft YaHei"/>
          <w:b/>
          <w:bCs/>
          <w:color w:val="0B1C2C"/>
          <w:sz w:val="28"/>
          <w:szCs w:val="28"/>
        </w:rPr>
        <w:t xml:space="preserve">17.2 Health Check Endpoint</w:t>
      </w:r>
      <w:bookmarkEnd w:id="100058"/>
    </w:p>
    <w:p>
      <w:pPr>
        <w:spacing w:after="120" w:line="312"/>
        <w:jc w:val="both"/>
      </w:pPr>
      <w:r>
        <w:rPr>
          <w:rFonts w:ascii="Calibri" w:eastAsia="Microsoft YaHei"/>
          <w:color w:val="1A1A1A"/>
          <w:sz w:val="24"/>
          <w:szCs w:val="24"/>
        </w:rPr>
        <w:t xml:space="preserve">The gateway exposes a /health endpoint that reports the status of every downstream service: Ollama (model loaded, VRAM usage, response latency), SQLite (connection pool status, database size, integrity check result), and the analysis pipeline (queue depth, average response time, error rate). This endpoint is polled by the watchdog and displayed on the admin dashboard, providing a real-time overview of the system's health. External monitoring tools can also consume this endpoint for integration with existing infrastructure monitoring solutions.</w:t>
      </w:r>
    </w:p>
    <w:p>
      <w:pPr>
        <w:pStyle w:val="Heading1"/>
        <w:spacing w:after="200" w:before="360" w:line="312"/>
      </w:pPr>
      <w:bookmarkStart w:id="100059" w:name="_Toc100059"/>
      <w:r>
        <w:rPr>
          <w:rFonts w:ascii="Calibri" w:eastAsia="Microsoft YaHei"/>
          <w:b/>
          <w:bCs/>
          <w:color w:val="0B1C2C"/>
          <w:sz w:val="32"/>
          <w:szCs w:val="32"/>
        </w:rPr>
        <w:t xml:space="preserve">18. Development Roadmap v2.0</w:t>
      </w:r>
      <w:bookmarkEnd w:id="100059"/>
    </w:p>
    <w:p>
      <w:pPr>
        <w:spacing w:after="120" w:line="312"/>
        <w:jc w:val="both"/>
      </w:pPr>
      <w:r>
        <w:rPr>
          <w:rFonts w:ascii="Calibri" w:eastAsia="Microsoft YaHei"/>
          <w:color w:val="1A1A1A"/>
          <w:sz w:val="24"/>
          <w:szCs w:val="24"/>
        </w:rPr>
        <w:t xml:space="preserve">The development roadmap prioritizes features by their impact on trading quality and user experience. The ordering reflects the observation that items 5 through 10 (signal statistics, consensus, data integrations, MT5, RAG, and screenshot analysis) typically deliver the largest quality improvement compared to a basic LLM analyzer. Each phase includes testing and validation milestones.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1"/>
                <w:szCs w:val="21"/>
              </w:rPr>
              <w:t xml:space="preserve">Phase</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Feature</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Priority</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Est. Time</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1</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JSON Output Schema enforcement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P0</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3 days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2</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Confidence Score with UI indicators</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P0</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2 days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3</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SHA256 Local Cache Engine</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P0</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2 days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4</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Streaming Ollama output</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P0</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3 days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5</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Signal Quality Statistics (Win Rate, Sharpe)</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P1</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5 days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6</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Multi-Model Consensus (Qwen+GLM+DeepSeek)</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P1</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4 days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7</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Binance + CoinGlass data integration</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P1</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5 days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8</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MT5 integration for automated trading</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P1</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7 days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9</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Expert Multi-Agent mode</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P1</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7 days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10</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RAG with personal trade history</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P3</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7 days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11</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Chart Screenshot analysis (VL models)</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P3</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5 days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12</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Voice interaction mode (Whisper + TTS)</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P3</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5 days</w:t>
            </w:r>
          </w:p>
        </w:tc>
      </w:tr>
    </w:tbl>
    <w:p>
      <w:pPr>
        <w:spacing w:after="60"/>
      </w:pPr>
    </w:p>
    <w:p>
      <w:pPr>
        <w:spacing w:after="120" w:line="312"/>
        <w:jc w:val="both"/>
      </w:pPr>
      <w:r>
        <w:rPr>
          <w:rFonts w:ascii="Calibri" w:eastAsia="Microsoft YaHei"/>
          <w:color w:val="1A1A1A"/>
          <w:sz w:val="24"/>
          <w:szCs w:val="24"/>
        </w:rPr>
        <w:t xml:space="preserve">The estimated timeline assumes a single developer working full-time. Phases 1-4 (P0 items) form the MVP and should be completed within the first two weeks. Phases 5-9 (P1 items) add professional trading capabilities and should be completed within the next four to six weeks. Phases 10-12 (P3 items) represent the advanced features that can be developed iteratively over the following months.</w:t>
      </w:r>
    </w:p>
    <w:p>
      <w:pPr>
        <w:pStyle w:val="Heading1"/>
        <w:spacing w:after="200" w:before="360" w:line="312"/>
      </w:pPr>
      <w:bookmarkStart w:id="100060" w:name="_Toc100060"/>
      <w:r>
        <w:rPr>
          <w:rFonts w:ascii="Calibri" w:eastAsia="Microsoft YaHei"/>
          <w:b/>
          <w:bCs/>
          <w:color w:val="0B1C2C"/>
          <w:sz w:val="32"/>
          <w:szCs w:val="32"/>
        </w:rPr>
        <w:t xml:space="preserve">19. MVP Checklist</w:t>
      </w:r>
      <w:bookmarkEnd w:id="100060"/>
    </w:p>
    <w:p>
      <w:pPr>
        <w:spacing w:after="120" w:line="312"/>
        <w:jc w:val="both"/>
      </w:pPr>
      <w:r>
        <w:rPr>
          <w:rFonts w:ascii="Calibri" w:eastAsia="Microsoft YaHei"/>
          <w:color w:val="1A1A1A"/>
          <w:sz w:val="24"/>
          <w:szCs w:val="24"/>
        </w:rPr>
        <w:t xml:space="preserve">The MVP checklist tracks the minimum set of features required for the first production-ready release. Each item must be completed, tested, and documented before the application can be considered ready for daily use.</w:t>
      </w:r>
    </w:p>
    <w:p>
      <w:pPr>
        <w:pStyle w:val="Heading2"/>
        <w:spacing w:after="140" w:before="280" w:line="312"/>
      </w:pPr>
      <w:bookmarkStart w:id="100061" w:name="_Toc100061"/>
      <w:r>
        <w:rPr>
          <w:rFonts w:ascii="Calibri" w:eastAsia="Microsoft YaHei"/>
          <w:b/>
          <w:bCs/>
          <w:color w:val="0B1C2C"/>
          <w:sz w:val="28"/>
          <w:szCs w:val="28"/>
        </w:rPr>
        <w:t xml:space="preserve">19.1 Environment Setup</w:t>
      </w:r>
      <w:bookmarkEnd w:id="100061"/>
    </w:p>
    <w:p>
      <w:pPr>
        <w:pStyle w:val="ListParagraph"/>
        <w:numPr>
          <w:ilvl w:val="0"/>
          <w:numId w:val="1"/>
        </w:numPr>
        <w:spacing w:after="60" w:line="312"/>
      </w:pPr>
      <w:r>
        <w:rPr>
          <w:rFonts w:ascii="Calibri" w:eastAsia="Microsoft YaHei"/>
          <w:color w:val="1A1A1A"/>
          <w:sz w:val="24"/>
          <w:szCs w:val="24"/>
        </w:rPr>
        <w:t xml:space="preserve">Install and configure Ollama with GLM-4.7 Q4_K_M model</w:t>
      </w:r>
    </w:p>
    <w:p>
      <w:pPr>
        <w:pStyle w:val="ListParagraph"/>
        <w:numPr>
          <w:ilvl w:val="0"/>
          <w:numId w:val="1"/>
        </w:numPr>
        <w:spacing w:after="60" w:line="312"/>
      </w:pPr>
      <w:r>
        <w:rPr>
          <w:rFonts w:ascii="Calibri" w:eastAsia="Microsoft YaHei"/>
          <w:color w:val="1A1A1A"/>
          <w:sz w:val="24"/>
          <w:szCs w:val="24"/>
        </w:rPr>
        <w:t xml:space="preserve">Install and configure Qwen3 8B model</w:t>
      </w:r>
    </w:p>
    <w:p>
      <w:pPr>
        <w:pStyle w:val="ListParagraph"/>
        <w:numPr>
          <w:ilvl w:val="0"/>
          <w:numId w:val="1"/>
        </w:numPr>
        <w:spacing w:after="60" w:line="312"/>
      </w:pPr>
      <w:r>
        <w:rPr>
          <w:rFonts w:ascii="Calibri" w:eastAsia="Microsoft YaHei"/>
          <w:color w:val="1A1A1A"/>
          <w:sz w:val="24"/>
          <w:szCs w:val="24"/>
        </w:rPr>
        <w:t xml:space="preserve">Verify Ollama responds at http://127.0.0.1:11434/api/generate</w:t>
      </w:r>
    </w:p>
    <w:p>
      <w:pPr>
        <w:pStyle w:val="ListParagraph"/>
        <w:numPr>
          <w:ilvl w:val="0"/>
          <w:numId w:val="1"/>
        </w:numPr>
        <w:spacing w:after="60" w:line="312"/>
      </w:pPr>
      <w:r>
        <w:rPr>
          <w:rFonts w:ascii="Calibri" w:eastAsia="Microsoft YaHei"/>
          <w:color w:val="1A1A1A"/>
          <w:sz w:val="24"/>
          <w:szCs w:val="24"/>
        </w:rPr>
        <w:t xml:space="preserve">Set up Python 3.11+ virtual environment</w:t>
      </w:r>
    </w:p>
    <w:p>
      <w:pPr>
        <w:pStyle w:val="ListParagraph"/>
        <w:numPr>
          <w:ilvl w:val="0"/>
          <w:numId w:val="1"/>
        </w:numPr>
        <w:spacing w:after="60" w:line="312"/>
      </w:pPr>
      <w:r>
        <w:rPr>
          <w:rFonts w:ascii="Calibri" w:eastAsia="Microsoft YaHei"/>
          <w:color w:val="1A1A1A"/>
          <w:sz w:val="24"/>
          <w:szCs w:val="24"/>
        </w:rPr>
        <w:t xml:space="preserve">Install FastAPI, uvicorn, httpx, pydantic, cryptography</w:t>
      </w:r>
    </w:p>
    <w:p>
      <w:pPr>
        <w:pStyle w:val="ListParagraph"/>
        <w:numPr>
          <w:ilvl w:val="0"/>
          <w:numId w:val="1"/>
        </w:numPr>
        <w:spacing w:after="60" w:line="312"/>
      </w:pPr>
      <w:r>
        <w:rPr>
          <w:rFonts w:ascii="Calibri" w:eastAsia="Microsoft YaHei"/>
          <w:color w:val="1A1A1A"/>
          <w:sz w:val="24"/>
          <w:szCs w:val="24"/>
        </w:rPr>
        <w:t xml:space="preserve">Initialize SQLite database with schema migrations</w:t>
      </w:r>
    </w:p>
    <w:p>
      <w:pPr>
        <w:pStyle w:val="ListParagraph"/>
        <w:numPr>
          <w:ilvl w:val="0"/>
          <w:numId w:val="1"/>
        </w:numPr>
        <w:spacing w:after="60" w:line="312"/>
      </w:pPr>
      <w:r>
        <w:rPr>
          <w:rFonts w:ascii="Calibri" w:eastAsia="Microsoft YaHei"/>
          <w:color w:val="1A1A1A"/>
          <w:sz w:val="24"/>
          <w:szCs w:val="24"/>
        </w:rPr>
        <w:t xml:space="preserve">Set up Flutter project for Windows and Android</w:t>
      </w:r>
    </w:p>
    <w:p>
      <w:pPr>
        <w:pStyle w:val="Heading2"/>
        <w:spacing w:after="140" w:before="280" w:line="312"/>
      </w:pPr>
      <w:bookmarkStart w:id="100062" w:name="_Toc100062"/>
      <w:r>
        <w:rPr>
          <w:rFonts w:ascii="Calibri" w:eastAsia="Microsoft YaHei"/>
          <w:b/>
          <w:bCs/>
          <w:color w:val="0B1C2C"/>
          <w:sz w:val="28"/>
          <w:szCs w:val="28"/>
        </w:rPr>
        <w:t xml:space="preserve">19.2 Backend Core</w:t>
      </w:r>
      <w:bookmarkEnd w:id="100062"/>
    </w:p>
    <w:p>
      <w:pPr>
        <w:pStyle w:val="ListParagraph"/>
        <w:numPr>
          <w:ilvl w:val="0"/>
          <w:numId w:val="1"/>
        </w:numPr>
        <w:spacing w:after="60" w:line="312"/>
      </w:pPr>
      <w:r>
        <w:rPr>
          <w:rFonts w:ascii="Calibri" w:eastAsia="Microsoft YaHei"/>
          <w:color w:val="1A1A1A"/>
          <w:sz w:val="24"/>
          <w:szCs w:val="24"/>
        </w:rPr>
        <w:t xml:space="preserve">Implement /analyze endpoint with JSON schema enforcement</w:t>
      </w:r>
    </w:p>
    <w:p>
      <w:pPr>
        <w:pStyle w:val="ListParagraph"/>
        <w:numPr>
          <w:ilvl w:val="0"/>
          <w:numId w:val="1"/>
        </w:numPr>
        <w:spacing w:after="60" w:line="312"/>
      </w:pPr>
      <w:r>
        <w:rPr>
          <w:rFonts w:ascii="Calibri" w:eastAsia="Microsoft YaHei"/>
          <w:color w:val="1A1A1A"/>
          <w:sz w:val="24"/>
          <w:szCs w:val="24"/>
        </w:rPr>
        <w:t xml:space="preserve">Implement /analyze/stream endpoint with SSE streaming</w:t>
      </w:r>
    </w:p>
    <w:p>
      <w:pPr>
        <w:pStyle w:val="ListParagraph"/>
        <w:numPr>
          <w:ilvl w:val="0"/>
          <w:numId w:val="1"/>
        </w:numPr>
        <w:spacing w:after="60" w:line="312"/>
      </w:pPr>
      <w:r>
        <w:rPr>
          <w:rFonts w:ascii="Calibri" w:eastAsia="Microsoft YaHei"/>
          <w:color w:val="1A1A1A"/>
          <w:sz w:val="24"/>
          <w:szCs w:val="24"/>
        </w:rPr>
        <w:t xml:space="preserve">Implement SHA256 cache engine with configurable TTL</w:t>
      </w:r>
    </w:p>
    <w:p>
      <w:pPr>
        <w:pStyle w:val="ListParagraph"/>
        <w:numPr>
          <w:ilvl w:val="0"/>
          <w:numId w:val="1"/>
        </w:numPr>
        <w:spacing w:after="60" w:line="312"/>
      </w:pPr>
      <w:r>
        <w:rPr>
          <w:rFonts w:ascii="Calibri" w:eastAsia="Microsoft YaHei"/>
          <w:color w:val="1A1A1A"/>
          <w:sz w:val="24"/>
          <w:szCs w:val="24"/>
        </w:rPr>
        <w:t xml:space="preserve">Implement prompt builder with injection prevention</w:t>
      </w:r>
    </w:p>
    <w:p>
      <w:pPr>
        <w:pStyle w:val="ListParagraph"/>
        <w:numPr>
          <w:ilvl w:val="0"/>
          <w:numId w:val="1"/>
        </w:numPr>
        <w:spacing w:after="60" w:line="312"/>
      </w:pPr>
      <w:r>
        <w:rPr>
          <w:rFonts w:ascii="Calibri" w:eastAsia="Microsoft YaHei"/>
          <w:color w:val="1A1A1A"/>
          <w:sz w:val="24"/>
          <w:szCs w:val="24"/>
        </w:rPr>
        <w:t xml:space="preserve">Implement JSON Schema input validation (Pydantic)</w:t>
      </w:r>
    </w:p>
    <w:p>
      <w:pPr>
        <w:pStyle w:val="ListParagraph"/>
        <w:numPr>
          <w:ilvl w:val="0"/>
          <w:numId w:val="1"/>
        </w:numPr>
        <w:spacing w:after="60" w:line="312"/>
      </w:pPr>
      <w:r>
        <w:rPr>
          <w:rFonts w:ascii="Calibri" w:eastAsia="Microsoft YaHei"/>
          <w:color w:val="1A1A1A"/>
          <w:sz w:val="24"/>
          <w:szCs w:val="24"/>
        </w:rPr>
        <w:t xml:space="preserve">Implement confidence score calculation and weak signal tagging</w:t>
      </w:r>
    </w:p>
    <w:p>
      <w:pPr>
        <w:pStyle w:val="ListParagraph"/>
        <w:numPr>
          <w:ilvl w:val="0"/>
          <w:numId w:val="1"/>
        </w:numPr>
        <w:spacing w:after="60" w:line="312"/>
      </w:pPr>
      <w:r>
        <w:rPr>
          <w:rFonts w:ascii="Calibri" w:eastAsia="Microsoft YaHei"/>
          <w:color w:val="1A1A1A"/>
          <w:sz w:val="24"/>
          <w:szCs w:val="24"/>
        </w:rPr>
        <w:t xml:space="preserve">Add HMAC-SHA256 digital signature verification for input data</w:t>
      </w:r>
    </w:p>
    <w:p>
      <w:pPr>
        <w:pStyle w:val="Heading2"/>
        <w:spacing w:after="140" w:before="280" w:line="312"/>
      </w:pPr>
      <w:bookmarkStart w:id="100063" w:name="_Toc100063"/>
      <w:r>
        <w:rPr>
          <w:rFonts w:ascii="Calibri" w:eastAsia="Microsoft YaHei"/>
          <w:b/>
          <w:bCs/>
          <w:color w:val="0B1C2C"/>
          <w:sz w:val="28"/>
          <w:szCs w:val="28"/>
        </w:rPr>
        <w:t xml:space="preserve">19.3 Frontend Core</w:t>
      </w:r>
      <w:bookmarkEnd w:id="100063"/>
    </w:p>
    <w:p>
      <w:pPr>
        <w:pStyle w:val="ListParagraph"/>
        <w:numPr>
          <w:ilvl w:val="0"/>
          <w:numId w:val="1"/>
        </w:numPr>
        <w:spacing w:after="60" w:line="312"/>
      </w:pPr>
      <w:r>
        <w:rPr>
          <w:rFonts w:ascii="Calibri" w:eastAsia="Microsoft YaHei"/>
          <w:color w:val="1A1A1A"/>
          <w:sz w:val="24"/>
          <w:szCs w:val="24"/>
        </w:rPr>
        <w:t xml:space="preserve">Dashboard screen with market overview and latest signals</w:t>
      </w:r>
    </w:p>
    <w:p>
      <w:pPr>
        <w:pStyle w:val="ListParagraph"/>
        <w:numPr>
          <w:ilvl w:val="0"/>
          <w:numId w:val="1"/>
        </w:numPr>
        <w:spacing w:after="60" w:line="312"/>
      </w:pPr>
      <w:r>
        <w:rPr>
          <w:rFonts w:ascii="Calibri" w:eastAsia="Microsoft YaHei"/>
          <w:color w:val="1A1A1A"/>
          <w:sz w:val="24"/>
          <w:szCs w:val="24"/>
        </w:rPr>
        <w:t xml:space="preserve">Analysis request form with market data input</w:t>
      </w:r>
    </w:p>
    <w:p>
      <w:pPr>
        <w:pStyle w:val="ListParagraph"/>
        <w:numPr>
          <w:ilvl w:val="0"/>
          <w:numId w:val="1"/>
        </w:numPr>
        <w:spacing w:after="60" w:line="312"/>
      </w:pPr>
      <w:r>
        <w:rPr>
          <w:rFonts w:ascii="Calibri" w:eastAsia="Microsoft YaHei"/>
          <w:color w:val="1A1A1A"/>
          <w:sz w:val="24"/>
          <w:szCs w:val="24"/>
        </w:rPr>
        <w:t xml:space="preserve">Signal card component with confidence indicator</w:t>
      </w:r>
    </w:p>
    <w:p>
      <w:pPr>
        <w:pStyle w:val="ListParagraph"/>
        <w:numPr>
          <w:ilvl w:val="0"/>
          <w:numId w:val="1"/>
        </w:numPr>
        <w:spacing w:after="60" w:line="312"/>
      </w:pPr>
      <w:r>
        <w:rPr>
          <w:rFonts w:ascii="Calibri" w:eastAsia="Microsoft YaHei"/>
          <w:color w:val="1A1A1A"/>
          <w:sz w:val="24"/>
          <w:szCs w:val="24"/>
        </w:rPr>
        <w:t xml:space="preserve">Streaming text display with typewriter effect</w:t>
      </w:r>
    </w:p>
    <w:p>
      <w:pPr>
        <w:pStyle w:val="ListParagraph"/>
        <w:numPr>
          <w:ilvl w:val="0"/>
          <w:numId w:val="1"/>
        </w:numPr>
        <w:spacing w:after="60" w:line="312"/>
      </w:pPr>
      <w:r>
        <w:rPr>
          <w:rFonts w:ascii="Calibri" w:eastAsia="Microsoft YaHei"/>
          <w:color w:val="1A1A1A"/>
          <w:sz w:val="24"/>
          <w:szCs w:val="24"/>
        </w:rPr>
        <w:t xml:space="preserve">Cache hit/miss indicator on analysis results</w:t>
      </w:r>
    </w:p>
    <w:p>
      <w:pPr>
        <w:pStyle w:val="ListParagraph"/>
        <w:numPr>
          <w:ilvl w:val="0"/>
          <w:numId w:val="1"/>
        </w:numPr>
        <w:spacing w:after="60" w:line="312"/>
      </w:pPr>
      <w:r>
        <w:rPr>
          <w:rFonts w:ascii="Calibri" w:eastAsia="Microsoft YaHei"/>
          <w:color w:val="1A1A1A"/>
          <w:sz w:val="24"/>
          <w:szCs w:val="24"/>
        </w:rPr>
        <w:t xml:space="preserve">Settings screen for model selection, confidence threshold, cache TTL</w:t>
      </w:r>
    </w:p>
    <w:p>
      <w:pPr>
        <w:pStyle w:val="Heading2"/>
        <w:spacing w:after="140" w:before="280" w:line="312"/>
      </w:pPr>
      <w:bookmarkStart w:id="100064" w:name="_Toc100064"/>
      <w:r>
        <w:rPr>
          <w:rFonts w:ascii="Calibri" w:eastAsia="Microsoft YaHei"/>
          <w:b/>
          <w:bCs/>
          <w:color w:val="0B1C2C"/>
          <w:sz w:val="28"/>
          <w:szCs w:val="28"/>
        </w:rPr>
        <w:t xml:space="preserve">19.4 Security Verification</w:t>
      </w:r>
      <w:bookmarkEnd w:id="100064"/>
    </w:p>
    <w:p>
      <w:pPr>
        <w:pStyle w:val="ListParagraph"/>
        <w:numPr>
          <w:ilvl w:val="0"/>
          <w:numId w:val="1"/>
        </w:numPr>
        <w:spacing w:after="60" w:line="312"/>
      </w:pPr>
      <w:r>
        <w:rPr>
          <w:rFonts w:ascii="Calibri" w:eastAsia="Microsoft YaHei"/>
          <w:color w:val="1A1A1A"/>
          <w:sz w:val="24"/>
          <w:szCs w:val="24"/>
        </w:rPr>
        <w:t xml:space="preserve">Verify Ollama listens only on 127.0.0.1:11434</w:t>
      </w:r>
    </w:p>
    <w:p>
      <w:pPr>
        <w:pStyle w:val="ListParagraph"/>
        <w:numPr>
          <w:ilvl w:val="0"/>
          <w:numId w:val="1"/>
        </w:numPr>
        <w:spacing w:after="60" w:line="312"/>
      </w:pPr>
      <w:r>
        <w:rPr>
          <w:rFonts w:ascii="Calibri" w:eastAsia="Microsoft YaHei"/>
          <w:color w:val="1A1A1A"/>
          <w:sz w:val="24"/>
          <w:szCs w:val="24"/>
        </w:rPr>
        <w:t xml:space="preserve">Test prompt injection prevention with adversarial inputs</w:t>
      </w:r>
    </w:p>
    <w:p>
      <w:pPr>
        <w:pStyle w:val="ListParagraph"/>
        <w:numPr>
          <w:ilvl w:val="0"/>
          <w:numId w:val="1"/>
        </w:numPr>
        <w:spacing w:after="60" w:line="312"/>
      </w:pPr>
      <w:r>
        <w:rPr>
          <w:rFonts w:ascii="Calibri" w:eastAsia="Microsoft YaHei"/>
          <w:color w:val="1A1A1A"/>
          <w:sz w:val="24"/>
          <w:szCs w:val="24"/>
        </w:rPr>
        <w:t xml:space="preserve">Verify eval/exec prohibition via pre-commit hook</w:t>
      </w:r>
    </w:p>
    <w:p>
      <w:pPr>
        <w:pStyle w:val="ListParagraph"/>
        <w:numPr>
          <w:ilvl w:val="0"/>
          <w:numId w:val="1"/>
        </w:numPr>
        <w:spacing w:after="60" w:line="312"/>
      </w:pPr>
      <w:r>
        <w:rPr>
          <w:rFonts w:ascii="Calibri" w:eastAsia="Microsoft YaHei"/>
          <w:color w:val="1A1A1A"/>
          <w:sz w:val="24"/>
          <w:szCs w:val="24"/>
        </w:rPr>
        <w:t xml:space="preserve">Test digital signature verification with tampered files</w:t>
      </w:r>
    </w:p>
    <w:p>
      <w:pPr>
        <w:pStyle w:val="ListParagraph"/>
        <w:numPr>
          <w:ilvl w:val="0"/>
          <w:numId w:val="1"/>
        </w:numPr>
        <w:spacing w:after="60" w:line="312"/>
      </w:pPr>
      <w:r>
        <w:rPr>
          <w:rFonts w:ascii="Calibri" w:eastAsia="Microsoft YaHei"/>
          <w:color w:val="1A1A1A"/>
          <w:sz w:val="24"/>
          <w:szCs w:val="24"/>
        </w:rPr>
        <w:t xml:space="preserve">Verify encryption at rest for all sensitive configuration</w:t>
      </w:r>
    </w:p>
    <w:p>
      <w:pPr>
        <w:pStyle w:val="Heading2"/>
        <w:spacing w:after="140" w:before="280" w:line="312"/>
      </w:pPr>
      <w:bookmarkStart w:id="100065" w:name="_Toc100065"/>
      <w:r>
        <w:rPr>
          <w:rFonts w:ascii="Calibri" w:eastAsia="Microsoft YaHei"/>
          <w:b/>
          <w:bCs/>
          <w:color w:val="0B1C2C"/>
          <w:sz w:val="28"/>
          <w:szCs w:val="28"/>
        </w:rPr>
        <w:t xml:space="preserve">19.5 Testing and Deployment</w:t>
      </w:r>
      <w:bookmarkEnd w:id="100065"/>
    </w:p>
    <w:p>
      <w:pPr>
        <w:pStyle w:val="ListParagraph"/>
        <w:numPr>
          <w:ilvl w:val="0"/>
          <w:numId w:val="1"/>
        </w:numPr>
        <w:spacing w:after="60" w:line="312"/>
      </w:pPr>
      <w:r>
        <w:rPr>
          <w:rFonts w:ascii="Calibri" w:eastAsia="Microsoft YaHei"/>
          <w:color w:val="1A1A1A"/>
          <w:sz w:val="24"/>
          <w:szCs w:val="24"/>
        </w:rPr>
        <w:t xml:space="preserve">Unit tests for cache engine, prompt builder, security layer</w:t>
      </w:r>
    </w:p>
    <w:p>
      <w:pPr>
        <w:pStyle w:val="ListParagraph"/>
        <w:numPr>
          <w:ilvl w:val="0"/>
          <w:numId w:val="1"/>
        </w:numPr>
        <w:spacing w:after="60" w:line="312"/>
      </w:pPr>
      <w:r>
        <w:rPr>
          <w:rFonts w:ascii="Calibri" w:eastAsia="Microsoft YaHei"/>
          <w:color w:val="1A1A1A"/>
          <w:sz w:val="24"/>
          <w:szCs w:val="24"/>
        </w:rPr>
        <w:t xml:space="preserve">Integration tests for full analysis pipeline</w:t>
      </w:r>
    </w:p>
    <w:p>
      <w:pPr>
        <w:pStyle w:val="ListParagraph"/>
        <w:numPr>
          <w:ilvl w:val="0"/>
          <w:numId w:val="1"/>
        </w:numPr>
        <w:spacing w:after="60" w:line="312"/>
      </w:pPr>
      <w:r>
        <w:rPr>
          <w:rFonts w:ascii="Calibri" w:eastAsia="Microsoft YaHei"/>
          <w:color w:val="1A1A1A"/>
          <w:sz w:val="24"/>
          <w:szCs w:val="24"/>
        </w:rPr>
        <w:t xml:space="preserve">Performance benchmarks: cache hit response time under 100ms</w:t>
      </w:r>
    </w:p>
    <w:p>
      <w:pPr>
        <w:pStyle w:val="ListParagraph"/>
        <w:numPr>
          <w:ilvl w:val="0"/>
          <w:numId w:val="1"/>
        </w:numPr>
        <w:spacing w:after="60" w:line="312"/>
      </w:pPr>
      <w:r>
        <w:rPr>
          <w:rFonts w:ascii="Calibri" w:eastAsia="Microsoft YaHei"/>
          <w:color w:val="1A1A1A"/>
          <w:sz w:val="24"/>
          <w:szCs w:val="24"/>
        </w:rPr>
        <w:t xml:space="preserve">Streaming latency test: first token within 2 seconds</w:t>
      </w:r>
    </w:p>
    <w:p>
      <w:pPr>
        <w:pStyle w:val="ListParagraph"/>
        <w:numPr>
          <w:ilvl w:val="0"/>
          <w:numId w:val="1"/>
        </w:numPr>
        <w:spacing w:after="60" w:line="312"/>
      </w:pPr>
      <w:r>
        <w:rPr>
          <w:rFonts w:ascii="Calibri" w:eastAsia="Microsoft YaHei"/>
          <w:color w:val="1A1A1A"/>
          <w:sz w:val="24"/>
          <w:szCs w:val="24"/>
        </w:rPr>
        <w:t xml:space="preserve">Create Windows installer package</w:t>
      </w:r>
    </w:p>
    <w:p>
      <w:pPr>
        <w:pStyle w:val="ListParagraph"/>
        <w:numPr>
          <w:ilvl w:val="0"/>
          <w:numId w:val="1"/>
        </w:numPr>
        <w:spacing w:after="60" w:line="312"/>
      </w:pPr>
      <w:r>
        <w:rPr>
          <w:rFonts w:ascii="Calibri" w:eastAsia="Microsoft YaHei"/>
          <w:color w:val="1A1A1A"/>
          <w:sz w:val="24"/>
          <w:szCs w:val="24"/>
        </w:rPr>
        <w:t xml:space="preserve">Create Android APK with local network configuration</w:t>
      </w:r>
    </w:p>
    <w:p>
      <w:pPr>
        <w:pStyle w:val="ListParagraph"/>
        <w:numPr>
          <w:ilvl w:val="0"/>
          <w:numId w:val="1"/>
        </w:numPr>
        <w:spacing w:after="60" w:line="312"/>
      </w:pPr>
      <w:r>
        <w:rPr>
          <w:rFonts w:ascii="Calibri" w:eastAsia="Microsoft YaHei"/>
          <w:color w:val="1A1A1A"/>
          <w:sz w:val="24"/>
          <w:szCs w:val="24"/>
        </w:rPr>
        <w:t xml:space="preserve">Write user documentation and quick-start guide</w:t>
      </w:r>
    </w:p>
    <w:p>
      <w:pPr>
        <w:pStyle w:val="Heading1"/>
        <w:spacing w:after="200" w:before="360" w:line="312"/>
      </w:pPr>
      <w:bookmarkStart w:id="100066" w:name="_Toc100066"/>
      <w:r>
        <w:rPr>
          <w:rFonts w:ascii="Calibri" w:eastAsia="Microsoft YaHei"/>
          <w:b/>
          <w:bCs/>
          <w:color w:val="0B1C2C"/>
          <w:sz w:val="32"/>
          <w:szCs w:val="32"/>
        </w:rPr>
        <w:t xml:space="preserve">20. Risks and Mitigations</w:t>
      </w:r>
      <w:bookmarkEnd w:id="100066"/>
    </w:p>
    <w:p>
      <w:pPr>
        <w:spacing w:after="120" w:line="312"/>
        <w:jc w:val="both"/>
      </w:pPr>
      <w:r>
        <w:rPr>
          <w:rFonts w:ascii="Calibri" w:eastAsia="Microsoft YaHei"/>
          <w:color w:val="1A1A1A"/>
          <w:sz w:val="24"/>
          <w:szCs w:val="24"/>
        </w:rPr>
        <w:t xml:space="preserve">Every software project carries risks, and AI Analyzer v2.0 is no exception. The following table identifies the most significant risks, assesses their likelihood and impact, and describes concrete mitigation strategies for each.</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1"/>
                <w:szCs w:val="21"/>
              </w:rPr>
              <w:t xml:space="preserve">Risk</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Likelihood</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Impact</w:t>
            </w:r>
          </w:p>
        </w:tc>
        <w:tc>
          <w:tcPr>
            <w:tcW w:type="pct" w:w="25%"/>
            <w:shd w:fill="1B6B7A" w:val="clear"/>
            <w:tcMar>
              <w:top w:type="dxa" w:w="60"/>
              <w:left w:type="dxa" w:w="120"/>
              <w:bottom w:type="dxa" w:w="60"/>
              <w:right w:type="dxa" w:w="120"/>
            </w:tcMar>
          </w:tcPr>
          <w:p>
            <w:r>
              <w:rPr>
                <w:rFonts w:ascii="Calibri"/>
                <w:b/>
                <w:bCs/>
                <w:color w:val="FFFFFF"/>
                <w:sz w:val="21"/>
                <w:szCs w:val="21"/>
              </w:rPr>
              <w:t xml:space="preserve">Mitigation</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LLM produces malformed JSON</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High</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Pydantic validation + auto-retry (2x) with simplified prompt</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Ollama process crash during analysis</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Low</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High</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Watchdog auto-restart + circuit breaker pattern</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Prompt injection via market data</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Low</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Critical</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3-layer defense: schema validation, template isolation, output validation</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Model hallucination in price levels</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Cross-validate with numerical indicators; flag unreasonable targets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Cache poisoning attack</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Very Low</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High</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HMAC-SHA256 signatures + encrypted keys + TTL expiration</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Hardware insufficient for multi-model</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Configurable model selection; single-model fallback mode</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SQLite corruption from concurrent access</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Low</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High</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WAL mode + connection pooling + regular integrity checks</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Windows firewall blocks local ports</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Low</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Auto-configuration script + user documentation</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TPM unavailable on hardware</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Low</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Fallback to software-based encryption (Fernet + PBKDF2)</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Anomalous JSON fields evade detection</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Low</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High</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Multi-layer validation: schema + length limits + entropy analysis</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Data source provides stale/corrupted data</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Trust score module + cross-referencing + automatic disable</w:t>
            </w:r>
          </w:p>
        </w:tc>
      </w:tr>
      <w:tr>
        <w:trPr>
          <w:cantSplit/>
        </w:trPr>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Concurrent sessions exhaust GPU memory</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Medium</w:t>
            </w:r>
          </w:p>
        </w:tc>
        <w:tc>
          <w:tcPr>
            <w:tcW w:type="pct" w:w="25%"/>
            <w:shd w:fill="FFFFFF" w:val="clear"/>
            <w:tcMar>
              <w:top w:type="dxa" w:w="60"/>
              <w:left w:type="dxa" w:w="120"/>
              <w:bottom w:type="dxa" w:w="60"/>
              <w:right w:type="dxa" w:w="120"/>
            </w:tcMar>
          </w:tcPr>
          <w:p>
            <w:r>
              <w:rPr>
                <w:rFonts w:ascii="Calibri" w:eastAsia="Microsoft YaHei"/>
                <w:color w:val="1A1A1A"/>
                <w:sz w:val="21"/>
                <w:szCs w:val="21"/>
              </w:rPr>
              <w:t xml:space="preserve">Rate limiting + request queuing + fallback model (lower VRAM)</w:t>
            </w:r>
          </w:p>
        </w:tc>
      </w:tr>
      <w:tr>
        <w:trPr>
          <w:cantSplit/>
        </w:trPr>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Update package compromised in transit</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Very Low</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Critical</w:t>
            </w:r>
          </w:p>
        </w:tc>
        <w:tc>
          <w:tcPr>
            <w:tcW w:type="pct" w:w="25%"/>
            <w:shd w:fill="F0F5F8" w:val="clear"/>
            <w:tcMar>
              <w:top w:type="dxa" w:w="60"/>
              <w:left w:type="dxa" w:w="120"/>
              <w:bottom w:type="dxa" w:w="60"/>
              <w:right w:type="dxa" w:w="120"/>
            </w:tcMar>
          </w:tcPr>
          <w:p>
            <w:r>
              <w:rPr>
                <w:rFonts w:ascii="Calibri" w:eastAsia="Microsoft YaHei"/>
                <w:color w:val="1A1A1A"/>
                <w:sz w:val="21"/>
                <w:szCs w:val="21"/>
              </w:rPr>
              <w:t xml:space="preserve">Digital signature + SHA256 checksum + atomic rollback</w:t>
            </w:r>
          </w:p>
        </w:tc>
      </w:tr>
    </w:tbl>
    <w:p>
      <w:pPr>
        <w:spacing w:after="60"/>
      </w:pPr>
    </w:p>
    <w:p>
      <w:pPr>
        <w:spacing w:after="120" w:line="312"/>
        <w:jc w:val="both"/>
      </w:pPr>
      <w:r>
        <w:rPr>
          <w:rFonts w:ascii="Calibri" w:eastAsia="Microsoft YaHei"/>
          <w:color w:val="1A1A1A"/>
          <w:sz w:val="24"/>
          <w:szCs w:val="24"/>
        </w:rPr>
        <w:t xml:space="preserve">The overall risk profile of AI Analyzer v2.0 is manageable. The most critical risks (prompt injection, data tampering) are addressed by multiple independent security layers, ensuring that no single point of failure can compromise the system. The most likely risks (malformed JSON output, hardware limitations) have straightforward fallback mechanisms that degrade gracefully rather than failing catastrophically. Regular security audits and performance reviews should be scheduled quarterly to identify and address any emerging risks.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8"/>
        <w:szCs w:val="18"/>
      </w:rPr>
      <w:t xml:space="preserve">AI Analyzer v2.0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B1C2C"/>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0B1C2C"/>
      <w:sz w:val="28"/>
      <w:szCs w:val="28"/>
    </w:rPr>
  </w:style>
  <w:style w:type="paragraph" w:styleId="Heading3">
    <w:name w:val="Heading 3"/>
    <w:basedOn w:val="Normal"/>
    <w:next w:val="Normal"/>
    <w:qFormat/>
    <w:pPr>
      <w:spacing w:after="100" w:before="200" w:line="312"/>
      <w:outlineLvl w:val="2"/>
    </w:pPr>
    <w:rPr>
      <w:rFonts w:ascii="Calibri" w:eastAsia="Microsoft YaHe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2026-06-07T19:26:37.841Z</dcterms:created>
  <dcterms:modified xsi:type="dcterms:W3CDTF">2026-06-07T19:26:37.842Z</dcterms:modified>
</cp:coreProperties>
</file>

<file path=docProps/custom.xml><?xml version="1.0" encoding="utf-8"?>
<Properties xmlns="http://schemas.openxmlformats.org/officeDocument/2006/custom-properties" xmlns:vt="http://schemas.openxmlformats.org/officeDocument/2006/docPropsVTypes"/>
</file>