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Vonatarius Valerion</w:t>
      </w:r>
    </w:p>
    <w:p w:rsidR="00000000" w:rsidDel="00000000" w:rsidP="00000000" w:rsidRDefault="00000000" w:rsidRPr="00000000" w14:paraId="00000002">
      <w:pPr>
        <w:spacing w:after="240" w:before="240"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vonatarius.valerion@snhu.edu</w:t>
        </w:r>
      </w:hyperlink>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1/31/2026</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Artemis financial</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Artemis financial has requested guidance on how to securely encrypt its long term archive files in order to protect sensitive customer information. Because archived data may be stored for many years, it is important to select an encryption algorithm that is both highly secure and widely trusted. Based on current industry standards and best practices, the most appropriate encryption algorithm for this use case is the advanced encryption standard using a 256 bit key in galois counter mode.</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cipher implementation is aes-256-gcm, which in java is referenced as “aes/gcm/nopadding.” This algorithm is approved by the national institute of standards and technology and is commonly used to protect sensitive data across financial institutions. Aes provides strong confidentiality, while gcm adds built in integrity checking through the use of an authentication tag, allowing the system to detect if archived data has been altered or tampered with.</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selecting an encryption algorithm, several security best practices must be considered to defend against potential attacks. Strong encryption at rest helps protect data from unauthorized access in the event of system compromise or data theft. Aes-256 offers a high level of resistance against brute force attacks due to its key length. Gcm mode also protects against data modification attacks by ensuring that any changes to encrypted files are detected during decryption. These protections are critical for long term archives that may not be accessed frequently but still contain valuable financial data.</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aes-256-gcm is considered very secure, there are still risks that must be managed. The largest risk is not the algorithm itself, but poor key management. If encryption keys are exposed or improperly stored, attackers could decrypt archived files. To reduce this risk, encryption keys should be protected using a secure key management system and rotated periodically. Another risk involves incorrect implementation, such as reusing initialization vectors in gcm mode, which can weaken security if not handled properly.</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regulations also play an important role in this recommendation. As a financial services organization, artemis financial must comply with the gramm leach bliley act, which requires companies to protect customer financial information using reasonable security measures. Encrypting archive files with a strong nist approved algorithm such as aes-256 supports compliance with these regulatory expectations. If artemis financial works with government clients, using encryption implemented in a fips validated module may also be required.This algorithm cipher would be used specifically for encrypting archived files stored long term, such as historical customer records and financial documentation. Each file should be encrypted before being stored, and only authorized systems or personnel with the correct encryption keys should be able to decrypt the data. This ensures that even if archive storage is accessed without authorization, the data remains protected.</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Aes-256-gcm is the best cipher for this situation because it balances strong security, efficiency, and widespread support. It is fast enough to handle large files while still providing a high level of protection. It is also well documented and actively supported in modern programming environments such as java. For these reasons, it is widely trusted for securing sensitive data.</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reasons why the most secure cipher may not always be chosen. In some cases, older systems may not support gcm mode, or performance constraints may require simpler encryption methods. However, these limitations are typically related to system design rather than security best practices. When long term data protection is a priority, stronger encryption should take precedence over convenience.The purpose of encryption related hash functions and bit levels is to ensure data confidentiality and integrity. The 256 bit key length used by aes provides a large number of possible key combinations, making brute force attacks impractical. In gcm mode, an authentication tag is generated using a cryptographic hashing process to confirm that encrypted data has not been modified. If the tag does not match during decryption, the data is rejected.</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numbers play a critical role in encryption security. Secure random values are used to generate encryption keys and initialization vectors, which prevent attackers from predicting encryption patterns. Aes is a symmetric encryption algorithm, meaning the same secret key is used for both encryption and decryption. This differs from non symmetric encryption, which uses separate public and private keys. Symmetric encryption is preferred for large file storage because it is significantly faster and more efficient.Encryption algorithms have evolved significantly over time. Older algorithms such as des and 3des were once considered secure but are now outdated due to advances in computing power. Aes replaced these algorithms as the modern standard and remains secure today due to ongoing analysis and testing by the cryptographic community. Currently, aes with strong key lengths continues to be recommended for protecting sensitive information, especially in long term storage scenarios.</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dworkin, m. (2007). recommendation for block cipher modes of operation:</w:t>
      </w:r>
      <w:r w:rsidDel="00000000" w:rsidR="00000000" w:rsidRPr="00000000">
        <w:rPr>
          <w:rFonts w:ascii="Times New Roman" w:cs="Times New Roman" w:eastAsia="Times New Roman" w:hAnsi="Times New Roman"/>
          <w:b w:val="1"/>
          <w:bCs w:val="1"/>
          <w:sz w:val="24"/>
          <w:szCs w:val="24"/>
          <w:rtl w:val="0"/>
        </w:rPr>
        <w:t xml:space="preserve"> galois counter mode (gcm) and gmac (nist sp 800 38d)</w:t>
      </w:r>
      <w:r w:rsidDel="00000000" w:rsidR="00000000" w:rsidRPr="00000000">
        <w:rPr>
          <w:rFonts w:ascii="Times New Roman" w:cs="Times New Roman" w:eastAsia="Times New Roman" w:hAnsi="Times New Roman"/>
          <w:sz w:val="24"/>
          <w:szCs w:val="24"/>
          <w:rtl w:val="0"/>
        </w:rPr>
        <w:t xml:space="preserve">. national institute of standards and technology. https://csrc.nist.gov/publications/detail/sp/800-38d/final</w:t>
      </w:r>
    </w:p>
    <w:p w:rsidR="00000000" w:rsidDel="00000000" w:rsidP="00000000" w:rsidRDefault="00000000" w:rsidRPr="00000000" w14:paraId="0000001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federal trade commission. (2022).</w:t>
      </w:r>
      <w:r w:rsidDel="00000000" w:rsidR="00000000" w:rsidRPr="00000000">
        <w:rPr>
          <w:rFonts w:ascii="Times New Roman" w:cs="Times New Roman" w:eastAsia="Times New Roman" w:hAnsi="Times New Roman"/>
          <w:b w:val="1"/>
          <w:bCs w:val="1"/>
          <w:sz w:val="24"/>
          <w:szCs w:val="24"/>
          <w:rtl w:val="0"/>
        </w:rPr>
        <w:t xml:space="preserve"> ftc safeguards rule: what your business needs to know.</w:t>
      </w:r>
      <w:hyperlink r:id="rId7">
        <w:r w:rsidDel="00000000" w:rsidR="00000000" w:rsidRPr="00000000">
          <w:rPr>
            <w:rFonts w:ascii="Times New Roman" w:cs="Times New Roman" w:eastAsia="Times New Roman" w:hAnsi="Times New Roman"/>
            <w:b w:val="1"/>
            <w:bCs w:val="1"/>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https://www.ftc.gov/business-guidance/resources/ftc-safeguards-rule-what-your-business-needs-know</w:t>
        </w:r>
      </w:hyperlink>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(2024).</w:t>
      </w:r>
      <w:r w:rsidDel="00000000" w:rsidR="00000000" w:rsidRPr="00000000">
        <w:rPr>
          <w:rFonts w:ascii="Times New Roman" w:cs="Times New Roman" w:eastAsia="Times New Roman" w:hAnsi="Times New Roman"/>
          <w:b w:val="1"/>
          <w:bCs w:val="1"/>
          <w:sz w:val="24"/>
          <w:szCs w:val="24"/>
          <w:rtl w:val="0"/>
        </w:rPr>
        <w:t xml:space="preserve"> java security standard algorithm names.</w:t>
      </w:r>
      <w:hyperlink r:id="rId9">
        <w:r w:rsidDel="00000000" w:rsidR="00000000" w:rsidRPr="00000000">
          <w:rPr>
            <w:rFonts w:ascii="Times New Roman" w:cs="Times New Roman" w:eastAsia="Times New Roman" w:hAnsi="Times New Roman"/>
            <w:b w:val="1"/>
            <w:bCs w:val="1"/>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https://docs.oracle.com/en/java/javase/23/docs/specs/security/standard-names.ht</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ml</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oracle.com/en/java/javase/23/docs/specs/security/standard-names.html?utm_source=chatgpt.com" TargetMode="External"/><Relationship Id="rId10" Type="http://schemas.openxmlformats.org/officeDocument/2006/relationships/hyperlink" Target="https://docs.oracle.com/en/java/javase/23/docs/specs/security/standard-names.html?utm_source=chatgpt.com" TargetMode="External"/><Relationship Id="rId9" Type="http://schemas.openxmlformats.org/officeDocument/2006/relationships/hyperlink" Target="https://docs.oracle.com/en/java/javase/23/docs/specs/security/standard-names.html?utm_source=chatgpt.com" TargetMode="External"/><Relationship Id="rId5" Type="http://schemas.openxmlformats.org/officeDocument/2006/relationships/styles" Target="styles.xml"/><Relationship Id="rId6" Type="http://schemas.openxmlformats.org/officeDocument/2006/relationships/hyperlink" Target="mailto:vonatarius.valerion@snhu.edu" TargetMode="External"/><Relationship Id="rId7" Type="http://schemas.openxmlformats.org/officeDocument/2006/relationships/hyperlink" Target="https://www.ftc.gov/business-guidance/resources/ftc-safeguards-rule-what-your-business-needs-know?utm_source=chatgpt.com" TargetMode="External"/><Relationship Id="rId8" Type="http://schemas.openxmlformats.org/officeDocument/2006/relationships/hyperlink" Target="https://www.ftc.gov/business-guidance/resources/ftc-safeguards-rule-what-your-business-needs-kno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