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pBdr>
          <w:bottom/>
        </w:pBdr>
        <w:jc w:val="center"/>
        <w:rPr/>
      </w:pPr>
      <w:r>
        <w:rPr/>
        <w:t>中国</w:t>
      </w:r>
      <w:r>
        <w:rPr/>
        <w:t>食品(产品)安全追溯</w:t>
      </w:r>
      <w:r>
        <w:rPr/>
        <w:t>平台现状分析</w:t>
      </w:r>
    </w:p>
    <w:p>
      <w:pPr>
        <w:pStyle w:val="zlqqd4"/>
        <w:numPr>
          <w:ilvl w:val="0"/>
          <w:numId w:val="1"/>
        </w:numPr>
        <w:pBdr/>
        <w:rPr/>
      </w:pPr>
      <w:r>
        <w:rPr/>
        <w:t>现状概述</w:t>
      </w:r>
    </w:p>
    <w:p>
      <w:pPr>
        <w:pStyle w:val="qhkzgy"/>
        <w:rPr/>
      </w:pPr>
      <w:r>
        <w:rPr/>
        <w:t>1、平台简介</w:t>
      </w:r>
    </w:p>
    <w:p>
      <w:pPr>
        <w:snapToGrid/>
        <w:spacing w:before="260" w:after="260" w:line="360"/>
        <w:ind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中国食品（产品）安全追溯平台的核心功能为易码追溯，其主要利用GS1 EPCIS国际标准和商品条码技术，帮助企业建立商品的全生命周期追溯体系。该平台主要负责维护追溯所需的商品信息、供应链信息、二维码等数据，并为网页、小程序、三方平台提供调用接口。</w:t>
      </w:r>
    </w:p>
    <w:p>
      <w:pPr>
        <w:snapToGrid/>
        <w:spacing w:before="0" w:after="0" w:line="360"/>
        <w:ind w:firstLine="480" w:firstLineChars="200"/>
        <w:jc w:val="both"/>
        <w:rPr/>
      </w:pPr>
    </w:p>
    <w:bookmarkStart w:id="1" w:name="_Hlk172020618"/>
    <w:bookmarkEnd w:id="1"/>
    <w:p>
      <w:pPr>
        <w:pStyle w:val="qhkzgy"/>
        <w:rPr/>
      </w:pPr>
      <w:r>
        <w:rPr/>
        <w:t>2、系统产品与应用情况</w:t>
      </w:r>
    </w:p>
    <w:p>
      <w:pPr>
        <w:pBdr/>
        <w:snapToGrid/>
        <w:spacing w:before="0" w:after="0" w:line="360"/>
        <w:ind w:firstLine="480" w:firstLineChars="200"/>
        <w:jc w:val="both"/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1）系统应用情况</w:t>
      </w:r>
    </w:p>
    <w:p>
      <w:pPr>
        <w:snapToGrid/>
        <w:spacing w:before="0" w:after="0" w:line="360"/>
        <w:ind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 xml:space="preserve">  </w:t>
      </w: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中国商品信息服务V3平台是一个集成了多种功能的综合服务平台，该平台涵盖了从条码管理到产品审核的一系列服务，支持条码微站、编码共享、全球注册等功能，提供产品管理、监测统计、微信共享、数据API接口和全球注册服务等模块，服务于企业用户、扫码用户、编码中心和GS1总部等群体。</w:t>
      </w:r>
      <w:bookmarkStart w:id="2" w:name="_Hlk172531966"/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平台服务最大注册用户数达1099530人次，最大日累计访问量为15000次，最大并发量为15000，平均访问延迟为50~530ms</w:t>
      </w:r>
      <w:bookmarkEnd w:id="2"/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。</w:t>
      </w:r>
    </w:p>
    <w:p>
      <w:pPr>
        <w:snapToGrid/>
        <w:spacing w:before="260" w:after="260" w:line="300"/>
        <w:ind w:firstLine="200" w:firstLineChars="20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>表</w:t>
      </w:r>
      <w:r>
        <w:rPr>
          <w:rFonts w:ascii="Arial" w:hAnsi="Arial" w:eastAsia="Arial" w:cs="Arial"/>
          <w:i w:val="false"/>
          <w:strike w:val="false"/>
          <w:color w:val="000000"/>
          <w:sz w:val="20"/>
          <w:u w:val="none"/>
        </w:rPr>
        <w:t xml:space="preserve"> 3</w:t>
      </w: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 xml:space="preserve"> 中国商品信息服务平台功能列表</w:t>
      </w:r>
    </w:p>
    <w:tbl>
      <w:tblPr>
        <w:tblStyle w:val="k53q0k"/>
        <w:tblLayout w:type="fixed"/>
      </w:tblPr>
      <w:tblGrid>
        <w:gridCol w:w="1320"/>
        <w:gridCol w:w="1770"/>
        <w:gridCol w:w="2085"/>
        <w:gridCol w:w="3120"/>
      </w:tblGrid>
      <w:tr>
        <w:trPr>
          <w:trHeight w:val="205"/>
        </w:trPr>
        <w:tc>
          <w:tcPr>
            <w:tcW w:w="132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系统名称</w:t>
            </w:r>
          </w:p>
        </w:tc>
        <w:tc>
          <w:tcPr>
            <w:tcW w:w="177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一级功能</w:t>
            </w: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二级功能</w:t>
            </w:r>
          </w:p>
        </w:tc>
        <w:tc>
          <w:tcPr>
            <w:tcW w:w="312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三级功能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000000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000000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vMerge w:val="continue"/>
            <w:tcBorders>
              <w:top w:val="single" w:color="000000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line="240"/>
              <w:rPr/>
            </w:pPr>
          </w:p>
        </w:tc>
      </w:tr>
      <w:tr>
        <w:trPr>
          <w:trHeight w:val="205"/>
        </w:trPr>
        <w:tc>
          <w:tcPr>
            <w:tcW w:w="132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中国商品信息服务平台</w:t>
            </w:r>
          </w:p>
        </w:tc>
        <w:tc>
          <w:tcPr>
            <w:tcW w:w="1770" w:type="dxa"/>
            <w:vMerge w:val="restart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产品管理</w:t>
            </w:r>
          </w:p>
        </w:tc>
        <w:tc>
          <w:tcPr>
            <w:tcW w:w="2085" w:type="dxa"/>
            <w:vMerge w:val="restart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产品添加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添加基本信息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添加商品图片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生成商品条码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激活二维码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产品列表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产品查询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编辑产品信息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激活商品二维码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删除产品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产品信息评分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导出产品列表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品牌管理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品牌查询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查看品牌信息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修改品牌信息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删除品牌信息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批量上传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批量模板下载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数据批量上传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检验报告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产品查询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上传检验报告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缺失产品</w:t>
            </w:r>
          </w:p>
        </w:tc>
        <w:tc>
          <w:tcPr>
            <w:tcW w:w="31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信息补录</w:t>
            </w:r>
          </w:p>
        </w:tc>
      </w:tr>
      <w:tr>
        <w:trPr>
          <w:trHeight w:val="205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停止启用</w:t>
            </w:r>
          </w:p>
        </w:tc>
      </w:tr>
      <w:tr>
        <w:trPr>
          <w:trHeight w:val="90"/>
        </w:trPr>
        <w:tc>
          <w:tcPr>
            <w:tcW w:w="132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2085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3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下市产品</w:t>
            </w:r>
          </w:p>
        </w:tc>
      </w:tr>
    </w:tbl>
    <w:p>
      <w:pPr>
        <w:snapToGrid/>
        <w:spacing w:before="0" w:after="0" w:line="360"/>
        <w:ind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C00000"/>
          <w:sz w:val="24"/>
          <w:u w:val="none"/>
        </w:rPr>
        <w:t> 2）系统功能</w:t>
      </w:r>
    </w:p>
    <w:p>
      <w:pPr>
        <w:pStyle w:val="qhkzgy"/>
        <w:rPr/>
      </w:pPr>
      <w:r>
        <w:rPr/>
        <w:t>3、系统核心业务流程</w:t>
      </w:r>
    </w:p>
    <w:p>
      <w:pPr>
        <w:snapToGrid/>
        <w:spacing w:before="0" w:after="0" w:line="360"/>
        <w:ind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平台的核心业务流程包括产品管理、监测统计、微信共享、数据API接口和全球注册服务。产品管理模块提供条码产品类型管理、品牌管理等功能；监测统计模块提供缺失统计和产品统计服务；微信共享模块管理同步微信数据扫一扫功能；数据API接口提供对外数据接口服务；而全球注册服务则负责向GS1总部同步产品、企业、厂商识别代码数据。</w:t>
      </w:r>
    </w:p>
    <w:p>
      <w:pPr>
        <w:pStyle w:val="qhkzgy"/>
        <w:rPr/>
      </w:pPr>
      <w:r>
        <w:rPr/>
        <w:t>4、系统开发技术架构</w:t>
      </w:r>
    </w:p>
    <w:p>
      <w:pPr>
        <w:snapToGrid/>
        <w:spacing w:before="0" w:after="0" w:line="360"/>
        <w:ind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中国商品信息服务V3平台包含整体架构为BS架构，不同系统服务开发框架差异较大，包括Asp.net、.NET MVC、.NET API、.NET 5、springmvc等。开发语言包括C#和Java，前端框架差异极大、技术使用不统一，包括webForm、MVC、Webservice、VUE、HTML等。数据库为SQLSERVER和MySQL，并依赖于多种中间件和第三方组件，包括Elasticsearch（ES）、MongoDB、Redis、RabbitMQ、HangFire。</w:t>
      </w:r>
    </w:p>
    <w:p>
      <w:pPr>
        <w:snapToGrid/>
        <w:spacing w:before="260" w:after="260" w:line="300"/>
        <w:ind w:firstLine="400" w:firstLineChars="20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 xml:space="preserve">表 </w:t>
      </w:r>
      <w:r>
        <w:rPr>
          <w:rFonts w:ascii="Arial" w:hAnsi="Arial" w:eastAsia="Arial" w:cs="Arial"/>
          <w:i w:val="false"/>
          <w:strike w:val="false"/>
          <w:color w:val="000000"/>
          <w:sz w:val="20"/>
          <w:u w:val="none"/>
        </w:rPr>
        <w:t>4</w:t>
      </w: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 xml:space="preserve"> 系统开发技术架构</w:t>
      </w:r>
    </w:p>
    <w:tbl>
      <w:tblPr>
        <w:tblStyle w:val="xt209h"/>
        <w:tblLayout w:type="fixed"/>
      </w:tblPr>
      <w:tblGrid>
        <w:gridCol w:w="1635"/>
        <w:gridCol w:w="1635"/>
        <w:gridCol w:w="1650"/>
        <w:gridCol w:w="1635"/>
        <w:gridCol w:w="1695"/>
      </w:tblGrid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服务名称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架构类型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开发框架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开发语言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前端框架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产品管理（企业后台）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Style w:val="7652uv"/>
                <w:color/>
              </w:rPr>
              <w:fldChar w:fldCharType="begin"/>
            </w:r>
            <w:r>
              <w:rPr>
                <w:rStyle w:val="7652uv"/>
                <w:color/>
              </w:rPr>
              <w:instrText xml:space="preserve">HYPERLINK https://Asp.net normalLink \tdkey l6htzi \tdfe -10 \tdfn Asp.net \tdfu https://Asp.net \tdlt inline </w:instrText>
            </w:r>
            <w:r>
              <w:rPr>
                <w:rStyle w:val="7652uv"/>
                <w:color/>
              </w:rPr>
              <w:fldChar w:fldCharType="separate"/>
            </w:r>
            <w:r>
              <w:rPr>
                <w:rStyle w:val="7652uv"/>
                <w:color/>
              </w:rPr>
              <w:t>Asp.net</w:t>
            </w:r>
            <w:r>
              <w:rPr>
                <w:rStyle w:val="7652uv"/>
                <w:color/>
              </w:rPr>
              <w:fldChar w:fldCharType="end"/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webForm/MVC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产品管理（新版本）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.NET 5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VUE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监测统计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Style w:val="5o4i4m"/>
                <w:color/>
              </w:rPr>
              <w:fldChar w:fldCharType="begin"/>
            </w:r>
            <w:r>
              <w:rPr>
                <w:rStyle w:val="5o4i4m"/>
                <w:color/>
              </w:rPr>
              <w:instrText xml:space="preserve">HYPERLINK https://Asp.net normalLink \tdkey a9h37k \tdfe -10 \tdfn Asp.net \tdfu https://Asp.net \tdlt inline </w:instrText>
            </w:r>
            <w:r>
              <w:rPr>
                <w:rStyle w:val="5o4i4m"/>
                <w:color/>
              </w:rPr>
              <w:fldChar w:fldCharType="separate"/>
            </w:r>
            <w:r>
              <w:rPr>
                <w:rStyle w:val="5o4i4m"/>
                <w:color/>
              </w:rPr>
              <w:t>Asp.net</w:t>
            </w:r>
            <w:r>
              <w:rPr>
                <w:rStyle w:val="5o4i4m"/>
                <w:color/>
              </w:rPr>
              <w:fldChar w:fldCharType="end"/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webForm/MVC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微信共享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.NET MVC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MVC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对外数据API接口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Style w:val="0734dy"/>
                <w:color/>
              </w:rPr>
              <w:fldChar w:fldCharType="begin"/>
            </w:r>
            <w:r>
              <w:rPr>
                <w:rStyle w:val="0734dy"/>
                <w:color/>
              </w:rPr>
              <w:instrText xml:space="preserve">HYPERLINK https://Asp.net normalLink \tdkey rv10y2 \tdfe -10 \tdfn Asp.net \tdfu https://Asp.net \tdlt inline </w:instrText>
            </w:r>
            <w:r>
              <w:rPr>
                <w:rStyle w:val="0734dy"/>
                <w:color/>
              </w:rPr>
              <w:fldChar w:fldCharType="separate"/>
            </w:r>
            <w:r>
              <w:rPr>
                <w:rStyle w:val="0734dy"/>
                <w:color/>
              </w:rPr>
              <w:t>Asp.net</w:t>
            </w:r>
            <w:r>
              <w:rPr>
                <w:rStyle w:val="0734dy"/>
                <w:color/>
              </w:rPr>
              <w:fldChar w:fldCharType="end"/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WebService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中国编码APP以及第三方对外API接口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.NET API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API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全球注册服务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.NET MVC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MVC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条码微站（二维码管理模块）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.NET 5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VUE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自行车编码管理模块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Style w:val="1qx0qu"/>
                <w:color/>
              </w:rPr>
              <w:fldChar w:fldCharType="begin"/>
            </w:r>
            <w:r>
              <w:rPr>
                <w:rStyle w:val="1qx0qu"/>
                <w:color/>
              </w:rPr>
              <w:instrText xml:space="preserve">HYPERLINK https://Asp.net normalLink \tdkey aiwvp8 \tdfe -10 \tdfn Asp.net \tdfu https://Asp.net \tdlt inline </w:instrText>
            </w:r>
            <w:r>
              <w:rPr>
                <w:rStyle w:val="1qx0qu"/>
                <w:color/>
              </w:rPr>
              <w:fldChar w:fldCharType="separate"/>
            </w:r>
            <w:r>
              <w:rPr>
                <w:rStyle w:val="1qx0qu"/>
                <w:color/>
              </w:rPr>
              <w:t>Asp.net</w:t>
            </w:r>
            <w:r>
              <w:rPr>
                <w:rStyle w:val="1qx0qu"/>
                <w:color/>
              </w:rPr>
              <w:fldChar w:fldCharType="end"/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webForm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国际进口数据监控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.NET API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C#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HTML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静态资源服务器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 xml:space="preserve"> 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静态站点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 </w:t>
            </w:r>
          </w:p>
        </w:tc>
      </w:tr>
      <w:tr>
        <w:trPr/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产品基础数据查询接口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BS</w:t>
            </w:r>
          </w:p>
        </w:tc>
        <w:tc>
          <w:tcPr>
            <w:tcW w:w="165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springmvc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Java</w:t>
            </w:r>
          </w:p>
        </w:tc>
        <w:tc>
          <w:tcPr>
            <w:tcW w:w="169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Jsp</w:t>
            </w:r>
          </w:p>
        </w:tc>
      </w:tr>
    </w:tbl>
    <w:p>
      <w:pPr>
        <w:pStyle w:val="qhkzgy"/>
        <w:rPr/>
      </w:pPr>
      <w:r>
        <w:rPr/>
        <w:t>5、系统运维管理</w:t>
      </w:r>
    </w:p>
    <w:p>
      <w:pPr>
        <w:snapToGrid/>
        <w:spacing w:before="260" w:after="260" w:line="360"/>
        <w:ind w:hangingChars="0" w:firstLine="42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中国商品信息服务V3平台应用开发工具存在部分差异，在代码仓库上使用GDS.V4和GDS.Monitor，在开发工具则分别使用着较为庞大的VS Studio和轻量化的VS Code，代码管理工具使用的是gitea；在应用编译部署方式上目前仍较为传统，采用的是手工打包部署；目前缺失应用监控管理。</w:t>
      </w:r>
    </w:p>
    <w:p>
      <w:pPr>
        <w:snapToGrid/>
        <w:spacing w:before="260" w:after="260" w:line="300"/>
        <w:ind w:firstLine="400" w:firstLineChars="20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 xml:space="preserve">表 </w:t>
      </w:r>
      <w:r>
        <w:rPr>
          <w:rFonts w:ascii="Arial" w:hAnsi="Arial" w:eastAsia="Arial" w:cs="Arial"/>
          <w:i w:val="false"/>
          <w:strike w:val="false"/>
          <w:color w:val="000000"/>
          <w:sz w:val="20"/>
          <w:u w:val="none"/>
        </w:rPr>
        <w:t>5</w:t>
      </w: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 xml:space="preserve"> 系统运维架构</w:t>
      </w:r>
    </w:p>
    <w:tbl>
      <w:tblPr>
        <w:tblStyle w:val="498y5k"/>
        <w:tblLayout w:type="fixed"/>
      </w:tblPr>
      <w:tblGrid>
        <w:gridCol w:w="1560"/>
        <w:gridCol w:w="1620"/>
        <w:gridCol w:w="1770"/>
        <w:gridCol w:w="3255"/>
      </w:tblGrid>
      <w:tr>
        <w:trPr>
          <w:trHeight w:val="312"/>
        </w:trPr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系统平台</w:t>
            </w: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运维层次</w:t>
            </w: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具体内容</w:t>
            </w:r>
          </w:p>
        </w:tc>
        <w:tc>
          <w:tcPr>
            <w:tcW w:w="32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vAlign w:val="center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使用工具</w:t>
            </w:r>
          </w:p>
        </w:tc>
      </w:tr>
      <w:tr>
        <w:trPr>
          <w:trHeight w:val="205"/>
        </w:trPr>
        <w:tc>
          <w:tcPr>
            <w:tcW w:w="15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中国商品信息服务V3平台</w:t>
            </w:r>
          </w:p>
        </w:tc>
        <w:tc>
          <w:tcPr>
            <w:tcW w:w="1620" w:type="dxa"/>
            <w:vMerge w:val="restart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应用开发</w:t>
            </w:r>
          </w:p>
        </w:tc>
        <w:tc>
          <w:tcPr>
            <w:tcW w:w="177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代码仓库</w:t>
            </w:r>
          </w:p>
        </w:tc>
        <w:tc>
          <w:tcPr>
            <w:tcW w:w="32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GDS.V4、GDS.Monitor</w:t>
            </w:r>
          </w:p>
        </w:tc>
      </w:tr>
      <w:tr>
        <w:trPr>
          <w:trHeight w:val="205"/>
        </w:trPr>
        <w:tc>
          <w:tcPr>
            <w:tcW w:w="156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62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开发工具</w:t>
            </w:r>
          </w:p>
        </w:tc>
        <w:tc>
          <w:tcPr>
            <w:tcW w:w="32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VS Code、VS Studio</w:t>
            </w:r>
          </w:p>
        </w:tc>
      </w:tr>
      <w:tr>
        <w:trPr>
          <w:trHeight w:val="368"/>
        </w:trPr>
        <w:tc>
          <w:tcPr>
            <w:tcW w:w="156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620" w:type="dxa"/>
            <w:vMerge w:val="continue"/>
            <w:tcBorders>
              <w:top w:val="single" w:color="CBCDD1" w:sz="6" w:space="0"/>
              <w:left w:val="single" w:color="CBCDD1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7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源码管理</w:t>
            </w:r>
          </w:p>
        </w:tc>
        <w:tc>
          <w:tcPr>
            <w:tcW w:w="32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Gitea</w:t>
            </w:r>
          </w:p>
        </w:tc>
      </w:tr>
      <w:tr>
        <w:trPr>
          <w:trHeight w:val="90"/>
        </w:trPr>
        <w:tc>
          <w:tcPr>
            <w:tcW w:w="156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应用编译部署</w:t>
            </w:r>
          </w:p>
        </w:tc>
        <w:tc>
          <w:tcPr>
            <w:tcW w:w="1770" w:type="dxa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部署方式</w:t>
            </w:r>
          </w:p>
        </w:tc>
        <w:tc>
          <w:tcPr>
            <w:tcW w:w="32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手动部署</w:t>
            </w:r>
          </w:p>
        </w:tc>
      </w:tr>
      <w:tr>
        <w:trPr>
          <w:trHeight w:val="806"/>
        </w:trPr>
        <w:tc>
          <w:tcPr>
            <w:tcW w:w="1560" w:type="dxa"/>
            <w:vMerge w:val="continue"/>
            <w:tcBorders>
              <w:top w:val="single" w:color="CBCDD1" w:sz="6" w:space="0"/>
              <w:left w:val="single" w:color="000000" w:sz="6" w:space="0"/>
              <w:bottom w:val="single" w:color="CBCDD1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line="240"/>
              <w:rPr/>
            </w:pPr>
          </w:p>
        </w:tc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应用监控</w:t>
            </w:r>
          </w:p>
        </w:tc>
        <w:tc>
          <w:tcPr>
            <w:tcW w:w="502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暂无</w:t>
            </w:r>
          </w:p>
        </w:tc>
      </w:tr>
    </w:tbl>
    <w:p>
      <w:pPr>
        <w:pStyle w:val="qhkzgy"/>
        <w:rPr/>
      </w:pPr>
      <w:r>
        <w:rPr/>
        <w:t>6、系统交互</w:t>
      </w:r>
    </w:p>
    <w:p>
      <w:pPr>
        <w:snapToGrid/>
        <w:spacing w:before="0" w:after="0" w:line="360"/>
        <w:ind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中国商品信息服务V3平台与多个系统和模块进行交互，同时涉及自身和外部系统，包含UDI、条码微站、订单中心、应用中心、产品管理、条码卡服务、微信API接口、企业服务、条码卡服务和微服务等模块。</w:t>
      </w:r>
    </w:p>
    <w:p>
      <w:pPr>
        <w:pStyle w:val="qhkzgy"/>
        <w:rPr/>
      </w:pPr>
      <w:r>
        <w:rPr/>
        <w:t>7、系统部署资源</w:t>
      </w:r>
    </w:p>
    <w:p>
      <w:pPr>
        <w:snapToGrid/>
        <w:spacing w:before="0" w:after="0" w:line="360"/>
        <w:ind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平台的部署资源包括单机和容器两种方式，大部分为单机，仅条码微站为容器。网络同时覆盖内网和互联网。服务器数量根据模块的不同，从1到4不等，大部分为1台。CPU/内存/存储资源配置也有所差异，CPU数量范围为8C到32C，内存范围为16GB到128GB，存储配置范围为36.5GB到1.3TB。操作系统主要使用Windows Server 2008 r2和CentOS Linux 7 (core)两种，均为64位架构。</w:t>
      </w:r>
    </w:p>
    <w:p>
      <w:pPr>
        <w:snapToGrid/>
        <w:spacing w:before="260" w:after="260" w:line="300"/>
        <w:ind w:firstLine="400" w:firstLineChars="20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 xml:space="preserve">表 </w:t>
      </w:r>
      <w:r>
        <w:rPr>
          <w:rFonts w:ascii="Arial" w:hAnsi="Arial" w:eastAsia="Arial" w:cs="Arial"/>
          <w:i w:val="false"/>
          <w:strike w:val="false"/>
          <w:color w:val="000000"/>
          <w:sz w:val="20"/>
          <w:u w:val="none"/>
        </w:rPr>
        <w:t>6</w:t>
      </w: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>系统部署资源</w:t>
      </w:r>
    </w:p>
    <w:tbl>
      <w:tblPr>
        <w:tblStyle w:val="afk8dj"/>
        <w:tblLayout w:type="fixed"/>
      </w:tblPr>
      <w:tblGrid>
        <w:gridCol w:w="1590"/>
        <w:gridCol w:w="1215"/>
        <w:gridCol w:w="1980"/>
        <w:gridCol w:w="1830"/>
        <w:gridCol w:w="1635"/>
      </w:tblGrid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服务名称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部署方式</w:t>
            </w:r>
          </w:p>
        </w:tc>
        <w:tc>
          <w:tcPr>
            <w:tcW w:w="1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后台服务器数量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CPU/内存/存储</w:t>
            </w:r>
          </w:p>
        </w:tc>
        <w:tc>
          <w:tcPr>
            <w:tcW w:w="16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操作系统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产品管理（企业后台）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8C/16G/90G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Windwos Server 2007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产品管理（新版本）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32C/93G/1.1T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CentOS Linux 7 (Core)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监测统计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8C/16G/90G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Windwos Server 2007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微信共享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24C/128G/1.3TB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对外数据API接口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8C/16G/36.5G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中国编码APP以及第三方对外API接口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8C/16G/36.5G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全球注册服务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 xml:space="preserve"> 24C/128G/1.3TB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条码微站（二维码管理模块）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容器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32C/93G/1.1T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CentOS Linux 7 (Core)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自行车编码管理模块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 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国际进口数据监控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24C/16G/817G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静态资源服务器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24C/16G/817G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Windwos Server 2008 R2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产品基础数据查询接口</w:t>
            </w:r>
          </w:p>
        </w:tc>
        <w:tc>
          <w:tcPr>
            <w:tcW w:w="121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单机</w:t>
            </w:r>
          </w:p>
        </w:tc>
        <w:tc>
          <w:tcPr>
            <w:tcW w:w="198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4</w:t>
            </w:r>
          </w:p>
        </w:tc>
        <w:tc>
          <w:tcPr>
            <w:tcW w:w="183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 </w:t>
            </w:r>
          </w:p>
        </w:tc>
      </w:tr>
    </w:tbl>
    <w:p>
      <w:pPr>
        <w:pStyle w:val="qhkzgy"/>
        <w:rPr/>
      </w:pPr>
      <w:r>
        <w:rPr/>
        <w:t>8、系统数据资产盘点</w:t>
      </w:r>
    </w:p>
    <w:p>
      <w:pPr>
        <w:snapToGrid/>
        <w:spacing w:before="0" w:after="0" w:line="360"/>
        <w:ind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在数据资产方面，中国商品信息服务V3平台的日增数据量从1GB到5GB不等，具体取决于模块。数据库表数量也从20到691不等，预估涉及的数据库表数量在6到100之间。业务对象数量在10到150之间，缓存服务器数量较少，少数为1到4，大部分为0。非关系型数据库类型及数量包括ES、Redis、Mongo。</w:t>
      </w:r>
    </w:p>
    <w:p>
      <w:pPr>
        <w:snapToGrid/>
        <w:spacing w:before="260" w:after="260" w:line="300"/>
        <w:ind w:firstLine="400" w:firstLineChars="200"/>
        <w:jc w:val="center"/>
        <w:rPr/>
      </w:pP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 xml:space="preserve">表 </w:t>
      </w:r>
      <w:r>
        <w:rPr>
          <w:rFonts w:ascii="Arial" w:hAnsi="Arial" w:eastAsia="Arial" w:cs="Arial"/>
          <w:i w:val="false"/>
          <w:strike w:val="false"/>
          <w:color w:val="000000"/>
          <w:sz w:val="20"/>
          <w:u w:val="none"/>
        </w:rPr>
        <w:t>7</w:t>
      </w:r>
      <w:r>
        <w:rPr>
          <w:rFonts w:ascii="黑体" w:hAnsi="黑体" w:eastAsia="黑体" w:cs="黑体"/>
          <w:i w:val="false"/>
          <w:strike w:val="false"/>
          <w:color w:val="000000"/>
          <w:sz w:val="20"/>
          <w:u w:val="none"/>
        </w:rPr>
        <w:t xml:space="preserve"> 系统数据资产盘点</w:t>
      </w:r>
    </w:p>
    <w:tbl>
      <w:tblPr>
        <w:tblStyle w:val="s0f39o"/>
        <w:tblLayout w:type="fixed"/>
      </w:tblPr>
      <w:tblGrid>
        <w:gridCol w:w="1590"/>
        <w:gridCol w:w="1545"/>
        <w:gridCol w:w="1920"/>
        <w:gridCol w:w="1725"/>
        <w:gridCol w:w="1485"/>
      </w:tblGrid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服务名称</w:t>
            </w:r>
          </w:p>
        </w:tc>
        <w:tc>
          <w:tcPr>
            <w:tcW w:w="15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数据库表</w:t>
            </w:r>
          </w:p>
        </w:tc>
        <w:tc>
          <w:tcPr>
            <w:tcW w:w="1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预估涉及表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业务对象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center"/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strike w:val="false"/>
                <w:color w:val="FFFFFF"/>
                <w:spacing w:val="0"/>
                <w:sz w:val="22"/>
                <w:u w:val="none"/>
              </w:rPr>
              <w:t>缓存服务器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产品管理（企业后台）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25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产品管理（新版本）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50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100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监测统计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50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100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微信共享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对外数据API接口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中国编码APP以及第三方对外API接口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100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150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全球注册服务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条码微站（二维码管理模块）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44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14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国际进口数据监控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691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10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0</w:t>
            </w:r>
          </w:p>
        </w:tc>
      </w:tr>
      <w:tr>
        <w:trPr/>
        <w:tc>
          <w:tcPr>
            <w:tcW w:w="15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产品基础数据查询接口</w:t>
            </w:r>
          </w:p>
        </w:tc>
        <w:tc>
          <w:tcPr>
            <w:tcW w:w="154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20</w:t>
            </w:r>
          </w:p>
        </w:tc>
        <w:tc>
          <w:tcPr>
            <w:tcW w:w="192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20</w:t>
            </w:r>
          </w:p>
        </w:tc>
        <w:tc>
          <w:tcPr>
            <w:tcW w:w="172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18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360"/>
              <w:jc w:val="both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18"/>
                <w:u w:val="none"/>
              </w:rPr>
              <w:t>4</w:t>
            </w:r>
          </w:p>
        </w:tc>
      </w:tr>
    </w:tbl>
    <w:p>
      <w:pPr>
        <w:pStyle w:val="qhkzgy"/>
        <w:rPr/>
      </w:pPr>
      <w:r>
        <w:rPr/>
        <w:t>二、诉求及建议</w:t>
      </w:r>
    </w:p>
    <w:p>
      <w:pPr>
        <w:snapToGrid/>
        <w:spacing w:before="0" w:after="0" w:line="360"/>
        <w:ind w:firstLine="480" w:firstLineChars="20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在本次调研访谈中提及的诉求及建议，主要包括：</w:t>
      </w:r>
    </w:p>
    <w:p>
      <w:pPr>
        <w:snapToGrid/>
        <w:spacing w:before="0" w:after="0" w:line="360"/>
        <w:ind w:left="821" w:hanging="36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1)由于初期规划、开发建设平台和系统运维环境等因素的影响，当前的系统存在安全问题，面临很多隐患，其中包括一些错误的跳转和恶意数据修改等。</w:t>
      </w:r>
    </w:p>
    <w:p>
      <w:pPr>
        <w:snapToGrid/>
        <w:spacing w:before="0" w:after="0" w:line="360"/>
        <w:ind w:left="821" w:hanging="36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2)监控平台调用的数据主要来自于SQL SERVER，即使有涉及读取MySQL的内容，也需要先督导SQL SERVER中进行中转。</w:t>
      </w:r>
    </w:p>
    <w:p>
      <w:pPr>
        <w:snapToGrid/>
        <w:spacing w:before="0" w:after="0" w:line="360"/>
        <w:ind w:left="821" w:hanging="36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3)中国商品信息服务V3平台目前主要基于.NET 5框架开发，但各模块具体使用框架版本不一致，存在使用较低.NET架构的问题。建议进行技术栈的现代化升级，迁移至最新的.NET版本，并考虑采用微服务架构来提高系统的模块化和可扩展性。</w:t>
      </w:r>
    </w:p>
    <w:p>
      <w:pPr>
        <w:snapToGrid/>
        <w:spacing w:before="0" w:after="0" w:line="360"/>
        <w:ind w:left="821" w:hanging="36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4)平台注册用户数大，维护表多，日增数据量大，需要对数据库实施长期的优化措施，如建立高效的索引策略、定期清理和归档旧数据，以及合理运用NoSQL数据库以应对大数据量地存储和查询。同时，还需考虑数据库的扩展性，确保能够应对未来数据量的不断增长。</w:t>
      </w:r>
    </w:p>
    <w:p>
      <w:pPr>
        <w:snapToGrid/>
        <w:spacing w:before="0" w:after="0" w:line="360"/>
        <w:ind w:left="821" w:hanging="36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5)V3平台作为编码中心最核心系统，开发周期长，集成服务多，存在较多的安全隐患，需要格外关注系统安全防护措施。建议实施包括但不限于强化网络安全、数据加密、访问控制、安全审计和漏洞扫描等安全最佳实践。</w:t>
      </w:r>
    </w:p>
    <w:p>
      <w:pPr>
        <w:snapToGrid/>
        <w:spacing w:before="0" w:after="0" w:line="360"/>
        <w:ind w:left="821" w:hanging="36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6)核心数据来源主要由注册用户自行提供，为提供良好的商品信息服务，需要对数据的准确性和完整性有较高要求。建议加强数据治理，实施数据质量控制措施，确保数据的一致性和可靠性。</w:t>
      </w:r>
    </w:p>
    <w:p>
      <w:pPr>
        <w:snapToGrid/>
        <w:spacing w:before="0" w:after="0" w:line="360"/>
        <w:ind w:left="821" w:hanging="36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7)作为商品信息服务，数据合规性至关重要。需要确保平台的数据处理活动符合相关法律法规。建议定期进行合规性审查，确保数据处理流程透明、合法，并符合相应的数据保护法规。</w:t>
      </w:r>
    </w:p>
    <w:p>
      <w:pPr>
        <w:snapToGrid/>
        <w:spacing w:before="260" w:after="260" w:line="360"/>
        <w:jc w:val="both"/>
        <w:rPr/>
      </w:pPr>
      <w:r>
        <w:rPr>
          <w:rFonts w:ascii="微软雅黑" w:hAnsi="微软雅黑" w:eastAsia="微软雅黑" w:cs="微软雅黑"/>
          <w:i w:val="false"/>
          <w:strike w:val="false"/>
          <w:color w:val="000000"/>
          <w:sz w:val="24"/>
          <w:u w:val="none"/>
        </w:rPr>
        <w:t>平台的稳定运行依赖于有效的监控和维护。建议建立或优化系统监控体系，实现对关键性能指标的实时监控，以及快速响应和处理系统故障。</w:t>
      </w:r>
    </w:p>
    <w:p>
      <w:pPr>
        <w:pStyle w:val="5znyks"/>
        <w:jc w:val="both"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decimal"/>
      <w:lvlText w:val="%5、"/>
      <w:lvlJc w:val="left"/>
      <w:pPr>
        <w:ind w:left="209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5">
      <w:start w:val="1"/>
      <w:numFmt w:val="lowerLetter"/>
      <w:lvlText w:val="%6)"/>
      <w:lvlJc w:val="left"/>
      <w:pPr>
        <w:ind w:left="253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498y5k">
    <w:name w:val="Table Grid"/>
    <w:basedOn w:val="kkygef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k53q0k">
    <w:name w:val="Table Grid"/>
    <w:basedOn w:val="vjmqv6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apgty1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7652uv">
    <w:name w:val="Hyperlink"/>
    <w:basedOn w:val="5vqzku"/>
    <w:next w:val=""/>
    <w:uiPriority w:val="99"/>
    <w:unhideWhenUsed/>
    <w:rPr>
      <w:color w:val="1E6FFF" w:themeColor="hyperlink"/>
      <w:u w:val="single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h1eyph" w:default="true">
    <w:name w:val="Default Paragraph Font"/>
    <w:basedOn w:val=""/>
    <w:next w:val=""/>
    <w:uiPriority w:val="1"/>
    <w:semiHidden/>
    <w:unhideWhenUsed/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table" w:styleId="xt209h">
    <w:name w:val="Table Grid"/>
    <w:basedOn w:val="kzq9tn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vjmqv6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46axo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k8dj">
    <w:name w:val="Table Grid"/>
    <w:basedOn w:val="m46axo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lqqd4">
    <w:name w:val="heading 1"/>
    <w:basedOn w:val="5znyks"/>
    <w:next w:val="5znyks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5o4i4m">
    <w:name w:val="Hyperlink"/>
    <w:basedOn w:val="96r4y0"/>
    <w:next w:val=""/>
    <w:uiPriority w:val="99"/>
    <w:unhideWhenUsed/>
    <w:rPr>
      <w:color w:val="1E6FFF" w:themeColor="hyperlink"/>
      <w:u w:val="single"/>
    </w:rPr>
  </w:style>
  <w:style w:type="table" w:styleId="kkygef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c251a">
    <w:name w:val="heading 4"/>
    <w:basedOn w:val="5znyks"/>
    <w:next w:val="5znyks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table" w:styleId="s0f39o">
    <w:name w:val="Table Grid"/>
    <w:basedOn w:val="apgty1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qx0qu">
    <w:name w:val="Hyperlink"/>
    <w:basedOn w:val="h1eyph"/>
    <w:next w:val=""/>
    <w:uiPriority w:val="99"/>
    <w:unhideWhenUsed/>
    <w:rPr>
      <w:color w:val="1E6FFF" w:themeColor="hyperlink"/>
      <w:u w:val="single"/>
    </w:rPr>
  </w:style>
  <w:style w:type="character" w:styleId="96r4y0" w:default="true">
    <w:name w:val="Default Paragraph Font"/>
    <w:basedOn w:val=""/>
    <w:next w:val=""/>
    <w:uiPriority w:val="1"/>
    <w:semiHidden/>
    <w:unhideWhenUsed/>
  </w:style>
  <w:style w:type="character" w:styleId="5vqzku" w:default="true">
    <w:name w:val="Default Paragraph Font"/>
    <w:basedOn w:val=""/>
    <w:next w:val=""/>
    <w:uiPriority w:val="1"/>
    <w:semiHidden/>
    <w:unhideWhenUsed/>
  </w:style>
  <w:style w:type="character" w:styleId="c1ll7h" w:default="true">
    <w:name w:val="Default Paragraph Font"/>
    <w:basedOn w:val=""/>
    <w:next w:val=""/>
    <w:uiPriority w:val="1"/>
    <w:semiHidden/>
    <w:unhideWhenUsed/>
  </w:style>
  <w:style w:type="paragraph" w:styleId="qhkzgy">
    <w:name w:val="heading 2"/>
    <w:basedOn w:val="5znyks"/>
    <w:next w:val="5znyks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table" w:styleId="kzq9tn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734dy">
    <w:name w:val="Hyperlink"/>
    <w:basedOn w:val="c1ll7h"/>
    <w:next w:val=""/>
    <w:uiPriority w:val="99"/>
    <w:unhideWhenUsed/>
    <w:rPr>
      <w:color w:val="1E6FFF" w:themeColor="hyperlink"/>
      <w:u w:val="single"/>
    </w:rPr>
  </w:style>
  <w:style w:type="paragraph" w:styleId="wilsj4">
    <w:name w:val="heading 4"/>
    <w:basedOn w:val="5znyks"/>
    <w:next w:val="5znyks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2025-01-03T10:17:36Z</dcterms:created>
  <dcterms:modified xsi:type="dcterms:W3CDTF">2025-01-03T10:17:36Z</dcterms:modified>
</cp:coreProperties>
</file>