
<file path=[Content_Types].xml><?xml version="1.0" encoding="utf-8"?>
<Types xmlns="http://schemas.openxmlformats.org/package/2006/content-types">
  <Default Extension="xlsx" ContentType="application/vnd.openxmlformats-officedocument.spreadsheetml.shee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BE96B3">
      <w:pPr>
        <w:pStyle w:val="2"/>
        <w:numPr>
          <w:ilvl w:val="0"/>
          <w:numId w:val="1"/>
        </w:numPr>
        <w:ind w:left="425" w:leftChars="0" w:hanging="425" w:firstLineChars="0"/>
        <w:rPr>
          <w:rFonts w:hint="default"/>
          <w:b w:val="0"/>
          <w:bCs w:val="0"/>
          <w:lang w:val="en-US" w:eastAsia="zh-CN"/>
        </w:rPr>
      </w:pPr>
      <w:r>
        <w:rPr>
          <w:rFonts w:hint="eastAsia"/>
          <w:b w:val="0"/>
          <w:bCs w:val="0"/>
          <w:lang w:val="en-US" w:eastAsia="zh-CN"/>
        </w:rPr>
        <w:t>技术框架</w:t>
      </w:r>
    </w:p>
    <w:p w14:paraId="25407913">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中国食品(产品)安全追溯平台采用BS架构，前端框架包括Layui、Vue、Android、IOS和Jsp，共计</w:t>
      </w:r>
      <w:r>
        <w:rPr>
          <w:rFonts w:ascii="微软雅黑" w:hAnsi="微软雅黑" w:eastAsia="微软雅黑" w:cs="微软雅黑"/>
          <w:b/>
          <w:bCs/>
          <w:i w:val="0"/>
          <w:strike w:val="0"/>
          <w:color w:val="000000"/>
          <w:sz w:val="24"/>
          <w:u w:val="none"/>
        </w:rPr>
        <w:t>5</w:t>
      </w:r>
      <w:r>
        <w:rPr>
          <w:rFonts w:ascii="微软雅黑" w:hAnsi="微软雅黑" w:eastAsia="微软雅黑" w:cs="微软雅黑"/>
          <w:i w:val="0"/>
          <w:strike w:val="0"/>
          <w:color w:val="000000"/>
          <w:sz w:val="24"/>
          <w:u w:val="none"/>
        </w:rPr>
        <w:t>种。后端框架主要采用SpringCloud和SpringMvc，共计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种，开发语言为Java。平台源码管理使用SVN，开发工具包括Eclipse和Idea，共计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种，代码仓库使用Nexus。应用编译部署方面，平台采用微服务架构，包含网关、易码追溯和追溯查询接口共计</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个服务，并使用Jenkins作为CICD部署工具，镜像库和镜像管理均由Nexus承担，服务编排通过Kubernetes实现。</w:t>
      </w:r>
    </w:p>
    <w:p w14:paraId="09DF1BDE">
      <w:pPr>
        <w:snapToGrid/>
        <w:spacing w:before="0" w:after="0" w:line="360" w:lineRule="auto"/>
        <w:ind w:firstLine="480" w:firstLineChars="200"/>
        <w:jc w:val="both"/>
        <w:rPr>
          <w:rFonts w:ascii="微软雅黑" w:hAnsi="微软雅黑" w:eastAsia="微软雅黑" w:cs="微软雅黑"/>
          <w:i w:val="0"/>
          <w:strike w:val="0"/>
          <w:color w:val="000000"/>
          <w:sz w:val="24"/>
          <w:u w:val="none"/>
        </w:rPr>
      </w:pPr>
      <w:r>
        <w:rPr>
          <w:rFonts w:ascii="微软雅黑" w:hAnsi="微软雅黑" w:eastAsia="微软雅黑" w:cs="微软雅黑"/>
          <w:i w:val="0"/>
          <w:strike w:val="0"/>
          <w:color w:val="000000"/>
          <w:sz w:val="24"/>
          <w:u w:val="none"/>
        </w:rPr>
        <w:t>在应用运维监控方面，平台集成了Prometheus、Grafana和Alertmanager，共计</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种监控工具，运维方式包括ELK和邮件预警，共计</w:t>
      </w:r>
      <w:r>
        <w:rPr>
          <w:rFonts w:ascii="微软雅黑" w:hAnsi="微软雅黑" w:eastAsia="微软雅黑" w:cs="微软雅黑"/>
          <w:b/>
          <w:bCs/>
          <w:i w:val="0"/>
          <w:strike w:val="0"/>
          <w:color w:val="000000"/>
          <w:sz w:val="24"/>
          <w:u w:val="none"/>
        </w:rPr>
        <w:t>2</w:t>
      </w:r>
      <w:r>
        <w:rPr>
          <w:rFonts w:ascii="微软雅黑" w:hAnsi="微软雅黑" w:eastAsia="微软雅黑" w:cs="微软雅黑"/>
          <w:i w:val="0"/>
          <w:strike w:val="0"/>
          <w:color w:val="000000"/>
          <w:sz w:val="24"/>
          <w:u w:val="none"/>
        </w:rPr>
        <w:t>种。平台在应用安全方面，采用SSL证书进行访问加密，并通过MD5和对称加密进行数据加密，日志审计则由ES负责。</w:t>
      </w:r>
    </w:p>
    <w:p w14:paraId="34049C6F">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2"/>
        <w:gridCol w:w="1100"/>
        <w:gridCol w:w="1400"/>
        <w:gridCol w:w="4574"/>
      </w:tblGrid>
      <w:tr w14:paraId="4E91FE0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00" w:hRule="atLeast"/>
        </w:trPr>
        <w:tc>
          <w:tcPr>
            <w:tcW w:w="1262" w:type="dxa"/>
            <w:tcBorders>
              <w:top w:val="single" w:color="000000" w:sz="4" w:space="0"/>
              <w:left w:val="single" w:color="000000" w:sz="4" w:space="0"/>
              <w:right w:val="single" w:color="000000" w:sz="4" w:space="0"/>
            </w:tcBorders>
            <w:shd w:val="clear" w:color="auto" w:fill="4874CB" w:themeFill="accent1"/>
            <w:vAlign w:val="center"/>
          </w:tcPr>
          <w:p w14:paraId="4C7C473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100" w:type="dxa"/>
            <w:tcBorders>
              <w:top w:val="single" w:color="000000" w:sz="4" w:space="0"/>
              <w:left w:val="single" w:color="000000" w:sz="4" w:space="0"/>
              <w:right w:val="single" w:color="000000" w:sz="4" w:space="0"/>
            </w:tcBorders>
            <w:shd w:val="clear" w:color="auto" w:fill="4874CB" w:themeFill="accent1"/>
            <w:vAlign w:val="center"/>
          </w:tcPr>
          <w:p w14:paraId="511CA1B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架构层</w:t>
            </w:r>
          </w:p>
        </w:tc>
        <w:tc>
          <w:tcPr>
            <w:tcW w:w="1400" w:type="dxa"/>
            <w:tcBorders>
              <w:top w:val="single" w:color="000000" w:sz="4" w:space="0"/>
              <w:left w:val="single" w:color="000000" w:sz="4" w:space="0"/>
              <w:right w:val="single" w:color="000000" w:sz="4" w:space="0"/>
            </w:tcBorders>
            <w:shd w:val="clear" w:color="auto" w:fill="4874CB" w:themeFill="accent1"/>
            <w:vAlign w:val="center"/>
          </w:tcPr>
          <w:p w14:paraId="20976BD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架构分类</w:t>
            </w:r>
          </w:p>
        </w:tc>
        <w:tc>
          <w:tcPr>
            <w:tcW w:w="4574" w:type="dxa"/>
            <w:tcBorders>
              <w:top w:val="single" w:color="000000" w:sz="4" w:space="0"/>
              <w:left w:val="single" w:color="000000" w:sz="4" w:space="0"/>
              <w:right w:val="single" w:color="000000" w:sz="4" w:space="0"/>
            </w:tcBorders>
            <w:shd w:val="clear" w:color="auto" w:fill="4874CB" w:themeFill="accent1"/>
            <w:vAlign w:val="center"/>
          </w:tcPr>
          <w:p w14:paraId="68FDC5A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框架明细</w:t>
            </w:r>
          </w:p>
        </w:tc>
      </w:tr>
      <w:tr w14:paraId="3295B85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126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78624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中国食品(产品)安全追溯平台</w:t>
            </w: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0C06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应用开发</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83AB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前端框架</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4782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Layui、Vue、Android、IOS、Jsp</w:t>
            </w:r>
          </w:p>
        </w:tc>
      </w:tr>
      <w:tr w14:paraId="25EA1FF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BCFCB2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368C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C0E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后端框架</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024A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SpringCloud、SpringMvc</w:t>
            </w:r>
          </w:p>
        </w:tc>
      </w:tr>
      <w:tr w14:paraId="6C930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C228E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A5C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A4A2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开发语言</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25BA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Java</w:t>
            </w:r>
          </w:p>
        </w:tc>
      </w:tr>
      <w:tr w14:paraId="1C48096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4B5293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0A08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F48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系统架构</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1DF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BS</w:t>
            </w:r>
          </w:p>
        </w:tc>
      </w:tr>
      <w:tr w14:paraId="235E8E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1450587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E5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E0A9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源码管理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70E1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SVN</w:t>
            </w:r>
          </w:p>
        </w:tc>
      </w:tr>
      <w:tr w14:paraId="55C9B3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82778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68F2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F30A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开发工具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3595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Eclipse、Idea</w:t>
            </w:r>
          </w:p>
        </w:tc>
      </w:tr>
      <w:tr w14:paraId="054DAF1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24B83B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7EF4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334D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代码仓库</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9888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604E150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20D11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2130B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应用编译部署</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7CA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微服务</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E26B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网关、易码追溯、追溯查询接口</w:t>
            </w:r>
          </w:p>
        </w:tc>
      </w:tr>
      <w:tr w14:paraId="7690A67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7DA16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DE6F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B76B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CICD部署工具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070E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Jenkins</w:t>
            </w:r>
          </w:p>
        </w:tc>
      </w:tr>
      <w:tr w14:paraId="4CF41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452C4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11ACC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3F44D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镜像库</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A673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0591390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9D222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5C6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FCF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镜像管理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CD19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Nexus</w:t>
            </w:r>
          </w:p>
        </w:tc>
      </w:tr>
      <w:tr w14:paraId="4CE5599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FF5A5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7F6B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BEE1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服务编排</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B83E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Kubernetes</w:t>
            </w:r>
          </w:p>
        </w:tc>
      </w:tr>
      <w:tr w14:paraId="4297219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0621B9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2D0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应用运维监控</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430A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监控工具</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D32F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Prometheus、Grafana、Alertmanger</w:t>
            </w:r>
          </w:p>
        </w:tc>
      </w:tr>
      <w:tr w14:paraId="5D61C4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706A4A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5809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2E81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运维方式</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1D9B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ELK、邮件</w:t>
            </w:r>
          </w:p>
        </w:tc>
      </w:tr>
      <w:tr w14:paraId="2815F6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5FB7A6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4EBB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应用安全</w:t>
            </w: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C45A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访问加密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FFC7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ssl证书</w:t>
            </w:r>
          </w:p>
        </w:tc>
      </w:tr>
      <w:tr w14:paraId="739B9DA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6D7D94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546D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5CA7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数据加密</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165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md5、对称加密</w:t>
            </w:r>
          </w:p>
        </w:tc>
      </w:tr>
      <w:tr w14:paraId="0B01BBD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126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14:paraId="31456F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100"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8E09C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400"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1F99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日志审计</w:t>
            </w:r>
          </w:p>
        </w:tc>
        <w:tc>
          <w:tcPr>
            <w:tcW w:w="4574"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C2BF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r>
    </w:tbl>
    <w:p w14:paraId="0DCFD31E"/>
    <w:p w14:paraId="25216EC6">
      <w:pPr>
        <w:pStyle w:val="2"/>
        <w:numPr>
          <w:ilvl w:val="0"/>
          <w:numId w:val="1"/>
        </w:numPr>
        <w:ind w:left="425" w:leftChars="0" w:hanging="425" w:firstLineChars="0"/>
        <w:rPr>
          <w:rFonts w:hint="eastAsia"/>
          <w:b w:val="0"/>
          <w:bCs w:val="0"/>
          <w:lang w:val="en-US" w:eastAsia="zh-CN"/>
        </w:rPr>
      </w:pPr>
      <w:r>
        <w:rPr>
          <w:rFonts w:hint="eastAsia"/>
          <w:b w:val="0"/>
          <w:bCs w:val="0"/>
          <w:lang w:val="en-US" w:eastAsia="zh-CN"/>
        </w:rPr>
        <w:t>部署资源</w:t>
      </w:r>
    </w:p>
    <w:p w14:paraId="10B4706D">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食品安全追溯平台的服务器资源配置包括多个类型的服务器，部署方式涵盖单机和集群，所有服务器均采用64位架构</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目前共计</w:t>
      </w:r>
      <w:r>
        <w:rPr>
          <w:rFonts w:hint="eastAsia" w:ascii="微软雅黑" w:hAnsi="微软雅黑" w:eastAsia="微软雅黑" w:cs="微软雅黑"/>
          <w:b/>
          <w:bCs/>
          <w:i w:val="0"/>
          <w:strike w:val="0"/>
          <w:color w:val="000000"/>
          <w:sz w:val="24"/>
          <w:u w:val="none"/>
          <w:lang w:val="en-US" w:eastAsia="zh-CN"/>
        </w:rPr>
        <w:t>10</w:t>
      </w:r>
      <w:r>
        <w:rPr>
          <w:rFonts w:hint="eastAsia" w:ascii="微软雅黑" w:hAnsi="微软雅黑" w:eastAsia="微软雅黑" w:cs="微软雅黑"/>
          <w:i w:val="0"/>
          <w:strike w:val="0"/>
          <w:color w:val="000000"/>
          <w:sz w:val="24"/>
          <w:u w:val="none"/>
          <w:lang w:val="en-US" w:eastAsia="zh-CN"/>
        </w:rPr>
        <w:t>台服务器投入使用中，其中1台106服务器与中国商品信息服务平台共用</w:t>
      </w:r>
      <w:r>
        <w:rPr>
          <w:rFonts w:ascii="微软雅黑" w:hAnsi="微软雅黑" w:eastAsia="微软雅黑" w:cs="微软雅黑"/>
          <w:i w:val="0"/>
          <w:strike w:val="0"/>
          <w:color w:val="000000"/>
          <w:sz w:val="24"/>
          <w:u w:val="none"/>
        </w:rPr>
        <w:t>。</w:t>
      </w:r>
    </w:p>
    <w:p w14:paraId="5FBAB089">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数据存储服务器部分，共有</w:t>
      </w:r>
      <w:r>
        <w:rPr>
          <w:rFonts w:ascii="微软雅黑" w:hAnsi="微软雅黑" w:eastAsia="微软雅黑" w:cs="微软雅黑"/>
          <w:b/>
          <w:bCs/>
          <w:i w:val="0"/>
          <w:strike w:val="0"/>
          <w:color w:val="000000"/>
          <w:sz w:val="24"/>
          <w:u w:val="none"/>
        </w:rPr>
        <w:t>3</w:t>
      </w:r>
      <w:r>
        <w:rPr>
          <w:rFonts w:ascii="微软雅黑" w:hAnsi="微软雅黑" w:eastAsia="微软雅黑" w:cs="微软雅黑"/>
          <w:i w:val="0"/>
          <w:strike w:val="0"/>
          <w:color w:val="000000"/>
          <w:sz w:val="24"/>
          <w:u w:val="none"/>
        </w:rPr>
        <w:t>台服务器分别承担MySQL和Oracle数据库的存储任务，Oracle数据库采用集群部署</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中间件服务器部分，共有</w:t>
      </w:r>
      <w:r>
        <w:rPr>
          <w:rFonts w:hint="eastAsia" w:ascii="微软雅黑" w:hAnsi="微软雅黑" w:eastAsia="微软雅黑" w:cs="微软雅黑"/>
          <w:b/>
          <w:bCs/>
          <w:i w:val="0"/>
          <w:strike w:val="0"/>
          <w:color w:val="000000"/>
          <w:sz w:val="24"/>
          <w:u w:val="none"/>
          <w:lang w:val="en-US" w:eastAsia="zh-CN"/>
        </w:rPr>
        <w:t>6</w:t>
      </w:r>
      <w:r>
        <w:rPr>
          <w:rFonts w:ascii="微软雅黑" w:hAnsi="微软雅黑" w:eastAsia="微软雅黑" w:cs="微软雅黑"/>
          <w:i w:val="0"/>
          <w:strike w:val="0"/>
          <w:color w:val="000000"/>
          <w:sz w:val="24"/>
          <w:u w:val="none"/>
        </w:rPr>
        <w:t>台服务器分别运行ES、REDIS、MongoDB和MQ服务</w:t>
      </w:r>
      <w:r>
        <w:rPr>
          <w:rFonts w:hint="eastAsia" w:ascii="微软雅黑" w:hAnsi="微软雅黑" w:eastAsia="微软雅黑" w:cs="微软雅黑"/>
          <w:i w:val="0"/>
          <w:strike w:val="0"/>
          <w:color w:val="000000"/>
          <w:sz w:val="24"/>
          <w:u w:val="none"/>
          <w:lang w:eastAsia="zh-CN"/>
        </w:rPr>
        <w:t>；</w:t>
      </w:r>
      <w:r>
        <w:rPr>
          <w:rFonts w:ascii="微软雅黑" w:hAnsi="微软雅黑" w:eastAsia="微软雅黑" w:cs="微软雅黑"/>
          <w:i w:val="0"/>
          <w:strike w:val="0"/>
          <w:color w:val="000000"/>
          <w:sz w:val="24"/>
          <w:u w:val="none"/>
        </w:rPr>
        <w:t>应用服务器部分，共有</w:t>
      </w:r>
      <w:r>
        <w:rPr>
          <w:rFonts w:hint="eastAsia" w:ascii="微软雅黑" w:hAnsi="微软雅黑" w:eastAsia="微软雅黑" w:cs="微软雅黑"/>
          <w:b/>
          <w:bCs/>
          <w:i w:val="0"/>
          <w:strike w:val="0"/>
          <w:color w:val="000000"/>
          <w:sz w:val="24"/>
          <w:u w:val="none"/>
          <w:lang w:val="en-US" w:eastAsia="zh-CN"/>
        </w:rPr>
        <w:t>5</w:t>
      </w:r>
      <w:r>
        <w:rPr>
          <w:rFonts w:ascii="微软雅黑" w:hAnsi="微软雅黑" w:eastAsia="微软雅黑" w:cs="微软雅黑"/>
          <w:i w:val="0"/>
          <w:strike w:val="0"/>
          <w:color w:val="000000"/>
          <w:sz w:val="24"/>
          <w:u w:val="none"/>
        </w:rPr>
        <w:t>台服务器负责平台的应用服务，其中包括接口和测试环境服务器。这些服务器中，</w:t>
      </w:r>
      <w:r>
        <w:rPr>
          <w:rFonts w:hint="eastAsia" w:ascii="微软雅黑" w:hAnsi="微软雅黑" w:eastAsia="微软雅黑" w:cs="微软雅黑"/>
          <w:b/>
          <w:bCs/>
          <w:i w:val="0"/>
          <w:strike w:val="0"/>
          <w:color w:val="000000"/>
          <w:sz w:val="24"/>
          <w:u w:val="none"/>
          <w:lang w:val="en-US" w:eastAsia="zh-CN"/>
        </w:rPr>
        <w:t>106</w:t>
      </w:r>
      <w:r>
        <w:rPr>
          <w:rFonts w:hint="eastAsia" w:ascii="微软雅黑" w:hAnsi="微软雅黑" w:eastAsia="微软雅黑" w:cs="微软雅黑"/>
          <w:i w:val="0"/>
          <w:strike w:val="0"/>
          <w:color w:val="000000"/>
          <w:sz w:val="24"/>
          <w:u w:val="none"/>
          <w:lang w:val="en-US" w:eastAsia="zh-CN"/>
        </w:rPr>
        <w:t>服务器同时负责运行着中国商品信息服务平台的其他部分服务，负载较高，内存使用率目前已超过</w:t>
      </w:r>
      <w:r>
        <w:rPr>
          <w:rFonts w:hint="eastAsia" w:ascii="微软雅黑" w:hAnsi="微软雅黑" w:eastAsia="微软雅黑" w:cs="微软雅黑"/>
          <w:b/>
          <w:bCs/>
          <w:i w:val="0"/>
          <w:strike w:val="0"/>
          <w:color w:val="000000"/>
          <w:sz w:val="24"/>
          <w:u w:val="none"/>
          <w:lang w:val="en-US" w:eastAsia="zh-CN"/>
        </w:rPr>
        <w:t>90%</w:t>
      </w:r>
      <w:r>
        <w:rPr>
          <w:rFonts w:hint="eastAsia" w:ascii="微软雅黑" w:hAnsi="微软雅黑" w:eastAsia="微软雅黑" w:cs="微软雅黑"/>
          <w:i w:val="0"/>
          <w:strike w:val="0"/>
          <w:color w:val="000000"/>
          <w:sz w:val="24"/>
          <w:u w:val="none"/>
          <w:lang w:val="en-US" w:eastAsia="zh-CN"/>
        </w:rPr>
        <w:t>。</w:t>
      </w:r>
    </w:p>
    <w:p w14:paraId="16BD8903">
      <w:pPr>
        <w:snapToGrid/>
        <w:spacing w:before="0" w:after="0" w:line="360" w:lineRule="auto"/>
        <w:jc w:val="both"/>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4445" t="4445" r="15875" b="2222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37771F">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1</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4B52CBAF">
      <w:pPr>
        <w:snapToGrid/>
        <w:spacing w:before="260" w:after="260" w:line="240" w:lineRule="auto"/>
        <w:jc w:val="left"/>
      </w:pPr>
      <w:r>
        <w:rPr>
          <w:rFonts w:hint="eastAsia" w:ascii="微软雅黑" w:hAnsi="微软雅黑" w:eastAsia="微软雅黑" w:cs="微软雅黑"/>
          <w:i w:val="0"/>
          <w:strike w:val="0"/>
          <w:color w:val="000000"/>
          <w:sz w:val="24"/>
          <w:u w:val="none"/>
          <w:lang w:eastAsia="zh-CN"/>
        </w:rPr>
        <w:drawing>
          <wp:inline distT="0" distB="0" distL="114300" distR="114300">
            <wp:extent cx="5294630" cy="2335530"/>
            <wp:effectExtent l="4445" t="4445" r="15875" b="222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119C3D">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0AA3B29B">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sectPr>
          <w:pgSz w:w="11906" w:h="16838"/>
          <w:pgMar w:top="1440" w:right="1800" w:bottom="1440" w:left="1800" w:header="851" w:footer="992" w:gutter="0"/>
          <w:cols w:space="425" w:num="1"/>
          <w:docGrid w:type="lines" w:linePitch="312" w:charSpace="0"/>
        </w:sectPr>
      </w:pPr>
    </w:p>
    <w:p w14:paraId="08F25936">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2</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4"/>
        <w:tblW w:w="1398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97"/>
        <w:gridCol w:w="1269"/>
        <w:gridCol w:w="786"/>
        <w:gridCol w:w="1603"/>
        <w:gridCol w:w="577"/>
        <w:gridCol w:w="658"/>
        <w:gridCol w:w="911"/>
        <w:gridCol w:w="3415"/>
        <w:gridCol w:w="1881"/>
        <w:gridCol w:w="1662"/>
        <w:gridCol w:w="629"/>
      </w:tblGrid>
      <w:tr w14:paraId="2CB856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ED1EC0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26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45DEB9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资源类型</w:t>
            </w:r>
          </w:p>
        </w:tc>
        <w:tc>
          <w:tcPr>
            <w:tcW w:w="786"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EB46771">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存储类型</w:t>
            </w:r>
          </w:p>
        </w:tc>
        <w:tc>
          <w:tcPr>
            <w:tcW w:w="1603"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60F2664F">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IP</w:t>
            </w:r>
          </w:p>
        </w:tc>
        <w:tc>
          <w:tcPr>
            <w:tcW w:w="577"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1C716844">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网络</w:t>
            </w:r>
          </w:p>
        </w:tc>
        <w:tc>
          <w:tcPr>
            <w:tcW w:w="658"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70211C6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部署方式</w:t>
            </w:r>
          </w:p>
        </w:tc>
        <w:tc>
          <w:tcPr>
            <w:tcW w:w="911"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06B6CEE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架构</w:t>
            </w:r>
          </w:p>
        </w:tc>
        <w:tc>
          <w:tcPr>
            <w:tcW w:w="341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E5B32F3">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操作系统</w:t>
            </w:r>
          </w:p>
        </w:tc>
        <w:tc>
          <w:tcPr>
            <w:tcW w:w="1881"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0BCA717">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CPU/内存/存储资源配置</w:t>
            </w:r>
          </w:p>
        </w:tc>
        <w:tc>
          <w:tcPr>
            <w:tcW w:w="166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0B7094B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资源使用率</w:t>
            </w:r>
          </w:p>
        </w:tc>
        <w:tc>
          <w:tcPr>
            <w:tcW w:w="62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6B83B1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514351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3E40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追溯平台</w:t>
            </w:r>
          </w:p>
        </w:tc>
        <w:tc>
          <w:tcPr>
            <w:tcW w:w="1269" w:type="dxa"/>
            <w:vMerge w:val="restart"/>
            <w:tcBorders>
              <w:top w:val="single" w:color="000000" w:sz="4" w:space="0"/>
              <w:left w:val="single" w:color="000000" w:sz="4" w:space="0"/>
              <w:right w:val="single" w:color="000000" w:sz="4" w:space="0"/>
            </w:tcBorders>
            <w:shd w:val="clear" w:color="auto" w:fill="auto"/>
            <w:noWrap/>
            <w:vAlign w:val="center"/>
          </w:tcPr>
          <w:p w14:paraId="782B608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数据存储服务器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F554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Mysql</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A56D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BC5B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CB89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03A0F74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BC4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7.8.2003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38A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44F712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cpu:12%;内存:2%;硬盘:5%</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13FA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297801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36F5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right w:val="single" w:color="000000" w:sz="4" w:space="0"/>
            </w:tcBorders>
            <w:shd w:val="clear" w:color="auto" w:fill="auto"/>
            <w:noWrap/>
            <w:vAlign w:val="center"/>
          </w:tcPr>
          <w:p w14:paraId="210668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8F4E8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Oracle</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6D8A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192.168.110.100/102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3947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1E47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287688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89EE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7.8.2003 (Core)</w:t>
            </w:r>
          </w:p>
        </w:tc>
        <w:tc>
          <w:tcPr>
            <w:tcW w:w="1881" w:type="dxa"/>
            <w:shd w:val="clear" w:color="auto" w:fill="auto"/>
            <w:noWrap/>
            <w:vAlign w:val="center"/>
          </w:tcPr>
          <w:p w14:paraId="5D2513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vAlign w:val="center"/>
          </w:tcPr>
          <w:p w14:paraId="27BA0D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cpu:2.1%;内存:5%;硬盘:30%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9BA1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2F4467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6A5B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A5E2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中间件服务器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262A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00CE3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0145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239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739BBB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E08C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8CF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13AF0C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cpu:2.1%;内存:30%;硬盘:82%</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296F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07DBAC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513C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556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02CD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ES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251E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192.168.110.106/130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1D94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CE7E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424CB7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F39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7.9.2009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DEE8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6B17FD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cpu:5%;内存:10%;硬盘:30%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B10D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726453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D6B1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B781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6C7D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BDD84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192.168.110.130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A6BF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FBE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4E9963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117A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Linux release 7.9.2009 (Core)</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A4D9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171B08D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cpu:5%;内存:10%;硬盘:30%</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22F2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3DA324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73F2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CB24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CC0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ECBA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192.168.110.138</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1199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E5A2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764546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3AF2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9.4 (Seafoam Ocelot)</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92AB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24C/256G/4.2T</w:t>
            </w:r>
          </w:p>
        </w:tc>
        <w:tc>
          <w:tcPr>
            <w:tcW w:w="1662" w:type="dxa"/>
            <w:tcBorders>
              <w:top w:val="single" w:color="000000" w:sz="4" w:space="0"/>
              <w:left w:val="single" w:color="000000" w:sz="4" w:space="0"/>
              <w:bottom w:val="single" w:color="000000" w:sz="4" w:space="0"/>
            </w:tcBorders>
            <w:shd w:val="clear" w:color="auto" w:fill="auto"/>
            <w:noWrap/>
            <w:vAlign w:val="center"/>
          </w:tcPr>
          <w:p w14:paraId="3401E6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cpu:2.1%;内存:24%;硬盘:23%</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37B1A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38D1EE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8F0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13EA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A836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REDIS</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859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358B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D70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911" w:type="dxa"/>
            <w:tcBorders>
              <w:top w:val="single" w:color="000000" w:sz="4" w:space="0"/>
              <w:bottom w:val="single" w:color="000000" w:sz="4" w:space="0"/>
              <w:right w:val="single" w:color="000000" w:sz="4" w:space="0"/>
            </w:tcBorders>
            <w:shd w:val="clear" w:color="auto" w:fill="auto"/>
            <w:noWrap/>
            <w:vAlign w:val="center"/>
          </w:tcPr>
          <w:p w14:paraId="53C4D3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4C0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9.2 (Turquoise Kodkod)</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C44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noWrap/>
            <w:vAlign w:val="center"/>
          </w:tcPr>
          <w:p w14:paraId="26380D04">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B878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0F50E8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00"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4E71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5134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BD12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MongoDB</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1C4F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192.168.110.122</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1086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A68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911" w:type="dxa"/>
            <w:tcBorders>
              <w:top w:val="single" w:color="000000" w:sz="4" w:space="0"/>
              <w:bottom w:val="single" w:color="000000" w:sz="4" w:space="0"/>
              <w:right w:val="single" w:color="000000" w:sz="4" w:space="0"/>
            </w:tcBorders>
            <w:shd w:val="clear" w:color="auto" w:fill="auto"/>
            <w:noWrap/>
            <w:vAlign w:val="center"/>
          </w:tcPr>
          <w:p w14:paraId="3B2E83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9404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0F22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62" w:type="dxa"/>
            <w:tcBorders>
              <w:top w:val="single" w:color="000000" w:sz="4" w:space="0"/>
              <w:left w:val="single" w:color="000000" w:sz="4" w:space="0"/>
              <w:bottom w:val="single" w:color="000000" w:sz="4" w:space="0"/>
            </w:tcBorders>
            <w:shd w:val="clear" w:color="auto" w:fill="auto"/>
            <w:noWrap/>
            <w:vAlign w:val="center"/>
          </w:tcPr>
          <w:p w14:paraId="148D2A74">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355BE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4DCD9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E4F7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1E4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E757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MQ</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B60D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192.168.110.106</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A7D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E167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50EAE9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5806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6.5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037C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4B34E4C3">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cpu:5%;内存:28%;硬盘:35%</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CA40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33C46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63D4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3662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应用服务器</w:t>
            </w: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EA6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F8EC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192.168.110.140/122/124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D2F1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0C4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50DA10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30AA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9.1 (Lime Lynx)</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9BC4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54F512D2">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E31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2CBAE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9E40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DB27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vMerge w:val="restar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97D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接口</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6AB9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192.168.110.104</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DEC5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E329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027ED7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9C48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9.2 (Turquoise Kodkod)</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78DA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80C/512G/2.2T</w:t>
            </w:r>
          </w:p>
        </w:tc>
        <w:tc>
          <w:tcPr>
            <w:tcW w:w="1662" w:type="dxa"/>
            <w:tcBorders>
              <w:top w:val="single" w:color="000000" w:sz="4" w:space="0"/>
              <w:left w:val="single" w:color="000000" w:sz="4" w:space="0"/>
              <w:bottom w:val="single" w:color="000000" w:sz="4" w:space="0"/>
            </w:tcBorders>
            <w:shd w:val="clear" w:color="auto" w:fill="auto"/>
            <w:noWrap/>
            <w:vAlign w:val="center"/>
          </w:tcPr>
          <w:p w14:paraId="62CE547E">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cpu:45%;内存:16%;硬盘:18%</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C4E2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675CF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49308D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382A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773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8AE3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192.168.110.140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3F0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2447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集群</w:t>
            </w:r>
          </w:p>
        </w:tc>
        <w:tc>
          <w:tcPr>
            <w:tcW w:w="911" w:type="dxa"/>
            <w:tcBorders>
              <w:top w:val="single" w:color="000000" w:sz="4" w:space="0"/>
              <w:bottom w:val="single" w:color="000000" w:sz="4" w:space="0"/>
              <w:right w:val="single" w:color="000000" w:sz="4" w:space="0"/>
            </w:tcBorders>
            <w:shd w:val="clear" w:color="auto" w:fill="auto"/>
            <w:noWrap/>
            <w:vAlign w:val="center"/>
          </w:tcPr>
          <w:p w14:paraId="5091DC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D9D6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AlmaLinux release 9.1 (Lime Lynx)</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4BA4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24C/256G/1.6T</w:t>
            </w:r>
          </w:p>
        </w:tc>
        <w:tc>
          <w:tcPr>
            <w:tcW w:w="1662" w:type="dxa"/>
            <w:tcBorders>
              <w:top w:val="single" w:color="000000" w:sz="4" w:space="0"/>
              <w:left w:val="single" w:color="000000" w:sz="4" w:space="0"/>
              <w:bottom w:val="single" w:color="000000" w:sz="4" w:space="0"/>
            </w:tcBorders>
            <w:shd w:val="clear" w:color="auto" w:fill="auto"/>
            <w:noWrap/>
            <w:vAlign w:val="center"/>
          </w:tcPr>
          <w:p w14:paraId="5C3C9CDF">
            <w:pPr>
              <w:snapToGrid/>
              <w:spacing w:before="0" w:after="0" w:line="360" w:lineRule="auto"/>
              <w:jc w:val="both"/>
              <w:rPr>
                <w:rFonts w:hint="eastAsia" w:ascii="微软雅黑" w:hAnsi="微软雅黑" w:eastAsia="微软雅黑" w:cs="微软雅黑"/>
                <w:i w:val="0"/>
                <w:strike w:val="0"/>
                <w:color w:val="000000"/>
                <w:spacing w:val="0"/>
                <w:kern w:val="2"/>
                <w:sz w:val="18"/>
                <w:szCs w:val="22"/>
                <w:u w:val="none"/>
                <w:lang w:val="en-US" w:eastAsia="zh-CN"/>
              </w:rPr>
            </w:pPr>
            <w:r>
              <w:rPr>
                <w:rFonts w:hint="eastAsia" w:ascii="微软雅黑" w:hAnsi="微软雅黑" w:eastAsia="微软雅黑" w:cs="微软雅黑"/>
                <w:i w:val="0"/>
                <w:strike w:val="0"/>
                <w:color w:val="000000"/>
                <w:spacing w:val="0"/>
                <w:kern w:val="2"/>
                <w:sz w:val="18"/>
                <w:szCs w:val="22"/>
                <w:u w:val="none"/>
                <w:lang w:val="en-US" w:eastAsia="zh-CN"/>
              </w:rPr>
              <w:t>cpu:25%;内存:18%;硬盘:81%</w:t>
            </w: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3C91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437AB69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97"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629B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69" w:type="dxa"/>
            <w:vMerge w:val="continue"/>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6E28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786"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1568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测试环境</w:t>
            </w:r>
          </w:p>
        </w:tc>
        <w:tc>
          <w:tcPr>
            <w:tcW w:w="1603"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5403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192.168.170.190</w:t>
            </w:r>
          </w:p>
        </w:tc>
        <w:tc>
          <w:tcPr>
            <w:tcW w:w="577"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D9CE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千兆</w:t>
            </w:r>
          </w:p>
        </w:tc>
        <w:tc>
          <w:tcPr>
            <w:tcW w:w="6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4E02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单机</w:t>
            </w:r>
          </w:p>
        </w:tc>
        <w:tc>
          <w:tcPr>
            <w:tcW w:w="911" w:type="dxa"/>
            <w:tcBorders>
              <w:top w:val="single" w:color="000000" w:sz="4" w:space="0"/>
              <w:bottom w:val="single" w:color="000000" w:sz="4" w:space="0"/>
              <w:right w:val="single" w:color="000000" w:sz="4" w:space="0"/>
            </w:tcBorders>
            <w:shd w:val="clear" w:color="auto" w:fill="auto"/>
            <w:noWrap/>
            <w:vAlign w:val="center"/>
          </w:tcPr>
          <w:p w14:paraId="0E54B2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x86_64</w:t>
            </w:r>
          </w:p>
        </w:tc>
        <w:tc>
          <w:tcPr>
            <w:tcW w:w="341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EF5822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CentOS release 6.6 (Final)</w:t>
            </w:r>
          </w:p>
        </w:tc>
        <w:tc>
          <w:tcPr>
            <w:tcW w:w="1881"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8CBD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4C/16G/120G</w:t>
            </w:r>
          </w:p>
        </w:tc>
        <w:tc>
          <w:tcPr>
            <w:tcW w:w="1662" w:type="dxa"/>
            <w:tcBorders>
              <w:top w:val="single" w:color="000000" w:sz="4" w:space="0"/>
              <w:left w:val="single" w:color="000000" w:sz="4" w:space="0"/>
              <w:bottom w:val="single" w:color="000000" w:sz="4" w:space="0"/>
            </w:tcBorders>
            <w:shd w:val="clear" w:color="auto" w:fill="auto"/>
            <w:noWrap/>
            <w:vAlign w:val="center"/>
          </w:tcPr>
          <w:p w14:paraId="00663988">
            <w:pPr>
              <w:jc w:val="center"/>
              <w:rPr>
                <w:rFonts w:hint="eastAsia" w:ascii="微软雅黑" w:hAnsi="微软雅黑" w:eastAsia="微软雅黑" w:cs="微软雅黑"/>
                <w:i w:val="0"/>
                <w:strike w:val="0"/>
                <w:color w:val="000000"/>
                <w:spacing w:val="0"/>
                <w:kern w:val="2"/>
                <w:sz w:val="18"/>
                <w:szCs w:val="22"/>
                <w:u w:val="none"/>
                <w:lang w:val="en-US" w:eastAsia="zh-CN"/>
              </w:rPr>
            </w:pPr>
          </w:p>
        </w:tc>
        <w:tc>
          <w:tcPr>
            <w:tcW w:w="62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DD08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bl>
    <w:p w14:paraId="5E6012A0">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sectPr>
          <w:pgSz w:w="16838" w:h="11906" w:orient="landscape"/>
          <w:pgMar w:top="1800" w:right="1440" w:bottom="1800" w:left="1440" w:header="851" w:footer="992" w:gutter="0"/>
          <w:cols w:space="425" w:num="1"/>
          <w:docGrid w:type="lines" w:linePitch="312" w:charSpace="0"/>
        </w:sectPr>
      </w:pPr>
    </w:p>
    <w:p w14:paraId="1D3B79EB">
      <w:pPr>
        <w:pStyle w:val="2"/>
        <w:numPr>
          <w:ilvl w:val="0"/>
          <w:numId w:val="1"/>
        </w:numPr>
        <w:ind w:left="425" w:leftChars="0" w:hanging="425" w:firstLineChars="0"/>
        <w:rPr>
          <w:rFonts w:hint="default" w:ascii="微软雅黑" w:hAnsi="微软雅黑" w:eastAsia="微软雅黑" w:cs="微软雅黑"/>
          <w:i w:val="0"/>
          <w:strike w:val="0"/>
          <w:color w:val="000000"/>
          <w:sz w:val="24"/>
          <w:u w:val="none"/>
          <w:lang w:val="en-US" w:eastAsia="zh-CN"/>
        </w:rPr>
      </w:pPr>
      <w:r>
        <w:rPr>
          <w:rFonts w:hint="eastAsia"/>
          <w:b w:val="0"/>
          <w:bCs w:val="0"/>
          <w:lang w:val="en-US" w:eastAsia="zh-CN"/>
        </w:rPr>
        <w:t>扩展与集成</w:t>
      </w:r>
    </w:p>
    <w:p w14:paraId="7DB49D14">
      <w:pPr>
        <w:snapToGrid/>
        <w:spacing w:before="0" w:after="0" w:line="360" w:lineRule="auto"/>
        <w:ind w:firstLine="480" w:firstLineChars="200"/>
        <w:jc w:val="both"/>
        <w:rPr>
          <w:rFonts w:hint="eastAsia" w:ascii="微软雅黑" w:hAnsi="微软雅黑" w:eastAsia="微软雅黑" w:cs="微软雅黑"/>
          <w:i w:val="0"/>
          <w:strike w:val="0"/>
          <w:color w:val="000000"/>
          <w:sz w:val="24"/>
          <w:u w:val="none"/>
          <w:lang w:val="en-US" w:eastAsia="zh-CN"/>
        </w:rPr>
      </w:pPr>
      <w:r>
        <w:rPr>
          <w:rFonts w:ascii="微软雅黑" w:hAnsi="微软雅黑" w:eastAsia="微软雅黑" w:cs="微软雅黑"/>
          <w:i w:val="0"/>
          <w:strike w:val="0"/>
          <w:color w:val="000000"/>
          <w:sz w:val="24"/>
          <w:u w:val="none"/>
        </w:rPr>
        <w:t>中国商品信息服务平台在接口设计上</w:t>
      </w:r>
      <w:r>
        <w:rPr>
          <w:rFonts w:hint="eastAsia" w:ascii="微软雅黑" w:hAnsi="微软雅黑" w:eastAsia="微软雅黑" w:cs="微软雅黑"/>
          <w:i w:val="0"/>
          <w:strike w:val="0"/>
          <w:color w:val="000000"/>
          <w:sz w:val="24"/>
          <w:u w:val="none"/>
          <w:lang w:val="en-US" w:eastAsia="zh-CN"/>
        </w:rPr>
        <w:t>主要</w:t>
      </w:r>
      <w:r>
        <w:rPr>
          <w:rFonts w:ascii="微软雅黑" w:hAnsi="微软雅黑" w:eastAsia="微软雅黑" w:cs="微软雅黑"/>
          <w:i w:val="0"/>
          <w:strike w:val="0"/>
          <w:color w:val="000000"/>
          <w:sz w:val="24"/>
          <w:u w:val="none"/>
        </w:rPr>
        <w:t>涵盖了对外和对内的</w:t>
      </w:r>
      <w:r>
        <w:rPr>
          <w:rFonts w:hint="eastAsia" w:ascii="微软雅黑" w:hAnsi="微软雅黑" w:eastAsia="微软雅黑" w:cs="微软雅黑"/>
          <w:i w:val="0"/>
          <w:strike w:val="0"/>
          <w:color w:val="000000"/>
          <w:sz w:val="24"/>
          <w:u w:val="none"/>
          <w:lang w:val="en-US" w:eastAsia="zh-CN"/>
        </w:rPr>
        <w:t>五</w:t>
      </w:r>
      <w:r>
        <w:rPr>
          <w:rFonts w:ascii="微软雅黑" w:hAnsi="微软雅黑" w:eastAsia="微软雅黑" w:cs="微软雅黑"/>
          <w:i w:val="0"/>
          <w:strike w:val="0"/>
          <w:color w:val="000000"/>
          <w:sz w:val="24"/>
          <w:u w:val="none"/>
        </w:rPr>
        <w:t>种集成系统和接口类型</w:t>
      </w:r>
      <w:r>
        <w:rPr>
          <w:rFonts w:hint="eastAsia" w:ascii="微软雅黑" w:hAnsi="微软雅黑" w:eastAsia="微软雅黑" w:cs="微软雅黑"/>
          <w:i w:val="0"/>
          <w:strike w:val="0"/>
          <w:color w:val="000000"/>
          <w:sz w:val="24"/>
          <w:u w:val="none"/>
          <w:lang w:eastAsia="zh-CN"/>
        </w:rPr>
        <w:t>，</w:t>
      </w:r>
      <w:r>
        <w:rPr>
          <w:rFonts w:hint="eastAsia" w:ascii="微软雅黑" w:hAnsi="微软雅黑" w:eastAsia="微软雅黑" w:cs="微软雅黑"/>
          <w:i w:val="0"/>
          <w:strike w:val="0"/>
          <w:color w:val="000000"/>
          <w:sz w:val="24"/>
          <w:u w:val="none"/>
          <w:lang w:val="en-US" w:eastAsia="zh-CN"/>
        </w:rPr>
        <w:t>目前统计到的接口数量总计为</w:t>
      </w:r>
      <w:r>
        <w:rPr>
          <w:rFonts w:hint="eastAsia" w:ascii="微软雅黑" w:hAnsi="微软雅黑" w:eastAsia="微软雅黑" w:cs="微软雅黑"/>
          <w:b/>
          <w:bCs/>
          <w:i w:val="0"/>
          <w:strike w:val="0"/>
          <w:color w:val="000000"/>
          <w:sz w:val="24"/>
          <w:u w:val="none"/>
          <w:lang w:val="en-US" w:eastAsia="zh-CN"/>
        </w:rPr>
        <w:t>1337</w:t>
      </w:r>
      <w:r>
        <w:rPr>
          <w:rFonts w:hint="eastAsia" w:ascii="微软雅黑" w:hAnsi="微软雅黑" w:eastAsia="微软雅黑" w:cs="微软雅黑"/>
          <w:i w:val="0"/>
          <w:strike w:val="0"/>
          <w:color w:val="000000"/>
          <w:sz w:val="24"/>
          <w:u w:val="none"/>
          <w:lang w:val="en-US" w:eastAsia="zh-CN"/>
        </w:rPr>
        <w:t>个，其中明确的对内接口为</w:t>
      </w:r>
      <w:r>
        <w:rPr>
          <w:rFonts w:hint="eastAsia" w:ascii="微软雅黑" w:hAnsi="微软雅黑" w:eastAsia="微软雅黑" w:cs="微软雅黑"/>
          <w:b/>
          <w:bCs/>
          <w:i w:val="0"/>
          <w:strike w:val="0"/>
          <w:color w:val="000000"/>
          <w:sz w:val="24"/>
          <w:u w:val="none"/>
          <w:lang w:val="en-US" w:eastAsia="zh-CN"/>
        </w:rPr>
        <w:t>193</w:t>
      </w:r>
      <w:r>
        <w:rPr>
          <w:rFonts w:hint="eastAsia" w:ascii="微软雅黑" w:hAnsi="微软雅黑" w:eastAsia="微软雅黑" w:cs="微软雅黑"/>
          <w:i w:val="0"/>
          <w:strike w:val="0"/>
          <w:color w:val="000000"/>
          <w:sz w:val="24"/>
          <w:u w:val="none"/>
          <w:lang w:val="en-US" w:eastAsia="zh-CN"/>
        </w:rPr>
        <w:t>个，剩余的</w:t>
      </w:r>
      <w:r>
        <w:rPr>
          <w:rFonts w:hint="eastAsia" w:ascii="微软雅黑" w:hAnsi="微软雅黑" w:eastAsia="微软雅黑" w:cs="微软雅黑"/>
          <w:b/>
          <w:bCs/>
          <w:i w:val="0"/>
          <w:strike w:val="0"/>
          <w:color w:val="000000"/>
          <w:sz w:val="24"/>
          <w:u w:val="none"/>
          <w:lang w:val="en-US" w:eastAsia="zh-CN"/>
        </w:rPr>
        <w:t>1144</w:t>
      </w:r>
      <w:r>
        <w:rPr>
          <w:rFonts w:hint="eastAsia" w:ascii="微软雅黑" w:hAnsi="微软雅黑" w:eastAsia="微软雅黑" w:cs="微软雅黑"/>
          <w:i w:val="0"/>
          <w:strike w:val="0"/>
          <w:color w:val="000000"/>
          <w:sz w:val="24"/>
          <w:u w:val="none"/>
          <w:lang w:val="en-US" w:eastAsia="zh-CN"/>
        </w:rPr>
        <w:t>个为对内/外接口</w:t>
      </w:r>
      <w:r>
        <w:rPr>
          <w:rFonts w:ascii="微软雅黑" w:hAnsi="微软雅黑" w:eastAsia="微软雅黑" w:cs="微软雅黑"/>
          <w:i w:val="0"/>
          <w:strike w:val="0"/>
          <w:color w:val="000000"/>
          <w:sz w:val="24"/>
          <w:u w:val="none"/>
        </w:rPr>
        <w:t>。</w:t>
      </w:r>
      <w:r>
        <w:rPr>
          <w:rFonts w:hint="eastAsia" w:ascii="微软雅黑" w:hAnsi="微软雅黑" w:eastAsia="微软雅黑" w:cs="微软雅黑"/>
          <w:i w:val="0"/>
          <w:strike w:val="0"/>
          <w:color w:val="000000"/>
          <w:sz w:val="24"/>
          <w:u w:val="none"/>
          <w:lang w:val="en-US" w:eastAsia="zh-CN"/>
        </w:rPr>
        <w:t>接口主要涉及展示追溯信息、统计信息、检验报告、食品安全管理、供应链管理等多个领域。这些接口主要用于企业数据管理、食品安全信息维护、产品追溯展示等功能，覆盖了追溯展示、统计、管理原材料、供应商、销售商、订单、品牌等企业信息，以及角色管理、权限管理、追溯模板配置、数据分析、资讯管理、企业资质、供应链、产品、库存管理等方面的需求。同时，平台还提供了消费者、企业和政府的追溯信息查询与展示接口，支持条码查询、综合查询等多种查询方式，并对接了第三方政府以共享追溯数据。</w:t>
      </w:r>
    </w:p>
    <w:p w14:paraId="1AE81971">
      <w:pPr>
        <w:snapToGrid/>
        <w:spacing w:before="0" w:after="0" w:line="360" w:lineRule="auto"/>
        <w:jc w:val="both"/>
        <w:rPr>
          <w:rFonts w:hint="default" w:ascii="微软雅黑" w:hAnsi="微软雅黑" w:eastAsia="微软雅黑" w:cs="微软雅黑"/>
          <w:i w:val="0"/>
          <w:strike w:val="0"/>
          <w:color w:val="000000"/>
          <w:sz w:val="24"/>
          <w:u w:val="none"/>
          <w:lang w:val="en-US" w:eastAsia="zh-CN"/>
        </w:rPr>
      </w:pPr>
    </w:p>
    <w:p w14:paraId="3281E0E7">
      <w:pPr>
        <w:snapToGrid/>
        <w:spacing w:before="0" w:after="0" w:line="360" w:lineRule="auto"/>
        <w:jc w:val="center"/>
        <w:rPr>
          <w:rFonts w:hint="eastAsia" w:ascii="微软雅黑" w:hAnsi="微软雅黑" w:eastAsia="微软雅黑" w:cs="微软雅黑"/>
          <w:i w:val="0"/>
          <w:strike w:val="0"/>
          <w:color w:val="000000"/>
          <w:sz w:val="24"/>
          <w:u w:val="none"/>
          <w:lang w:eastAsia="zh-CN"/>
        </w:rPr>
      </w:pPr>
      <w:r>
        <w:rPr>
          <w:rFonts w:hint="eastAsia" w:ascii="微软雅黑" w:hAnsi="微软雅黑" w:eastAsia="微软雅黑" w:cs="微软雅黑"/>
          <w:i w:val="0"/>
          <w:strike w:val="0"/>
          <w:color w:val="000000"/>
          <w:sz w:val="24"/>
          <w:u w:val="none"/>
          <w:lang w:eastAsia="zh-CN"/>
        </w:rPr>
        <w:drawing>
          <wp:inline distT="0" distB="0" distL="114300" distR="114300">
            <wp:extent cx="2628265" cy="1961515"/>
            <wp:effectExtent l="4445" t="4445" r="15240" b="1524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F76EF74">
      <w:pPr>
        <w:snapToGrid/>
        <w:spacing w:before="260" w:after="260" w:line="240" w:lineRule="auto"/>
        <w:ind w:firstLine="400" w:firstLineChars="200"/>
        <w:jc w:val="center"/>
        <w:rPr>
          <w:rFonts w:hint="eastAsia" w:ascii="微软雅黑" w:hAnsi="微软雅黑" w:eastAsia="微软雅黑" w:cs="微软雅黑"/>
          <w:i w:val="0"/>
          <w:strike w:val="0"/>
          <w:color w:val="000000"/>
          <w:sz w:val="24"/>
          <w:u w:val="none"/>
          <w:lang w:eastAsia="zh-CN"/>
        </w:rPr>
      </w:pPr>
      <w:r>
        <w:rPr>
          <w:rFonts w:ascii="黑体" w:hAnsi="黑体" w:eastAsia="黑体" w:cs="黑体"/>
          <w:i w:val="0"/>
          <w:strike w:val="0"/>
          <w:color w:val="000000"/>
          <w:sz w:val="20"/>
          <w:u w:val="none"/>
        </w:rPr>
        <w:t xml:space="preserve">图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图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hint="eastAsia" w:ascii="黑体" w:hAnsi="黑体" w:eastAsia="黑体" w:cs="黑体"/>
          <w:i w:val="0"/>
          <w:strike w:val="0"/>
          <w:color w:val="000000"/>
          <w:sz w:val="20"/>
          <w:u w:val="none"/>
          <w:lang w:val="en-US" w:eastAsia="zh-CN"/>
        </w:rPr>
        <w:t xml:space="preserve"> 服务器分布情况</w:t>
      </w:r>
    </w:p>
    <w:p w14:paraId="5DF93D5D">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1AE35BE1">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1B49954F">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5D733111">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57FED390">
      <w:pPr>
        <w:snapToGrid/>
        <w:spacing w:before="260" w:after="260" w:line="300" w:lineRule="auto"/>
        <w:ind w:firstLine="400" w:firstLineChars="200"/>
        <w:jc w:val="center"/>
        <w:rPr>
          <w:rFonts w:hint="eastAsia" w:ascii="黑体" w:hAnsi="黑体" w:eastAsia="黑体" w:cs="黑体"/>
          <w:i w:val="0"/>
          <w:strike w:val="0"/>
          <w:color w:val="000000"/>
          <w:sz w:val="20"/>
          <w:u w:val="none"/>
          <w:lang w:val="en-US" w:eastAsia="zh-CN"/>
        </w:rPr>
      </w:pPr>
    </w:p>
    <w:p w14:paraId="03A55D67">
      <w:pPr>
        <w:snapToGrid/>
        <w:spacing w:before="260" w:after="260" w:line="300" w:lineRule="auto"/>
        <w:ind w:firstLine="400" w:firstLineChars="200"/>
        <w:jc w:val="center"/>
        <w:rPr>
          <w:rFonts w:ascii="黑体" w:hAnsi="黑体" w:eastAsia="黑体" w:cs="黑体"/>
          <w:i w:val="0"/>
          <w:strike w:val="0"/>
          <w:color w:val="000000"/>
          <w:sz w:val="20"/>
          <w:u w:val="none"/>
        </w:rPr>
      </w:pPr>
      <w:r>
        <w:rPr>
          <w:rFonts w:ascii="黑体" w:hAnsi="黑体" w:eastAsia="黑体" w:cs="黑体"/>
          <w:i w:val="0"/>
          <w:strike w:val="0"/>
          <w:color w:val="000000"/>
          <w:sz w:val="20"/>
          <w:u w:val="none"/>
        </w:rPr>
        <w:t xml:space="preserve">表 </w:t>
      </w:r>
      <w:r>
        <w:rPr>
          <w:rFonts w:ascii="黑体" w:hAnsi="黑体" w:eastAsia="黑体" w:cs="黑体"/>
          <w:i w:val="0"/>
          <w:strike w:val="0"/>
          <w:color w:val="000000"/>
          <w:sz w:val="20"/>
          <w:u w:val="none"/>
        </w:rPr>
        <w:fldChar w:fldCharType="begin"/>
      </w:r>
      <w:r>
        <w:rPr>
          <w:rFonts w:ascii="黑体" w:hAnsi="黑体" w:eastAsia="黑体" w:cs="黑体"/>
          <w:i w:val="0"/>
          <w:strike w:val="0"/>
          <w:color w:val="000000"/>
          <w:sz w:val="20"/>
          <w:u w:val="none"/>
        </w:rPr>
        <w:instrText xml:space="preserve"> SEQ 表 \* ARABIC </w:instrText>
      </w:r>
      <w:r>
        <w:rPr>
          <w:rFonts w:ascii="黑体" w:hAnsi="黑体" w:eastAsia="黑体" w:cs="黑体"/>
          <w:i w:val="0"/>
          <w:strike w:val="0"/>
          <w:color w:val="000000"/>
          <w:sz w:val="20"/>
          <w:u w:val="none"/>
        </w:rPr>
        <w:fldChar w:fldCharType="separate"/>
      </w:r>
      <w:r>
        <w:rPr>
          <w:rFonts w:ascii="黑体" w:hAnsi="黑体" w:eastAsia="黑体" w:cs="黑体"/>
          <w:i w:val="0"/>
          <w:strike w:val="0"/>
          <w:color w:val="000000"/>
          <w:sz w:val="20"/>
          <w:u w:val="none"/>
        </w:rPr>
        <w:t>3</w:t>
      </w:r>
      <w:r>
        <w:rPr>
          <w:rFonts w:ascii="黑体" w:hAnsi="黑体" w:eastAsia="黑体" w:cs="黑体"/>
          <w:i w:val="0"/>
          <w:strike w:val="0"/>
          <w:color w:val="000000"/>
          <w:sz w:val="20"/>
          <w:u w:val="none"/>
        </w:rPr>
        <w:fldChar w:fldCharType="end"/>
      </w:r>
      <w:r>
        <w:rPr>
          <w:rFonts w:ascii="黑体" w:hAnsi="黑体" w:eastAsia="黑体" w:cs="黑体"/>
          <w:i w:val="0"/>
          <w:strike w:val="0"/>
          <w:color w:val="000000"/>
          <w:sz w:val="20"/>
          <w:u w:val="none"/>
        </w:rPr>
        <w:t>系统部署资源</w:t>
      </w:r>
    </w:p>
    <w:tbl>
      <w:tblPr>
        <w:tblStyle w:val="4"/>
        <w:tblW w:w="833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12"/>
        <w:gridCol w:w="1295"/>
        <w:gridCol w:w="1295"/>
        <w:gridCol w:w="1258"/>
        <w:gridCol w:w="1119"/>
        <w:gridCol w:w="2285"/>
        <w:gridCol w:w="572"/>
      </w:tblGrid>
      <w:tr w14:paraId="5528C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493B9889">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系统类型</w:t>
            </w:r>
          </w:p>
        </w:tc>
        <w:tc>
          <w:tcPr>
            <w:tcW w:w="129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4C50040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接口类型</w:t>
            </w:r>
          </w:p>
        </w:tc>
        <w:tc>
          <w:tcPr>
            <w:tcW w:w="129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389234DA">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集成系统</w:t>
            </w:r>
          </w:p>
        </w:tc>
        <w:tc>
          <w:tcPr>
            <w:tcW w:w="1258"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5245F20">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接口名称</w:t>
            </w:r>
          </w:p>
        </w:tc>
        <w:tc>
          <w:tcPr>
            <w:tcW w:w="1119"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767D65BB">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接口方式</w:t>
            </w:r>
          </w:p>
        </w:tc>
        <w:tc>
          <w:tcPr>
            <w:tcW w:w="2285"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2BA9EE12">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接口说明</w:t>
            </w:r>
          </w:p>
        </w:tc>
        <w:tc>
          <w:tcPr>
            <w:tcW w:w="572" w:type="dxa"/>
            <w:tcBorders>
              <w:top w:val="single" w:color="000000" w:sz="4" w:space="0"/>
              <w:left w:val="single" w:color="000000" w:sz="4" w:space="0"/>
              <w:bottom w:val="single" w:color="000000" w:sz="4" w:space="0"/>
              <w:right w:val="single" w:color="000000" w:sz="4" w:space="0"/>
            </w:tcBorders>
            <w:shd w:val="clear" w:color="auto" w:fill="4874CB" w:themeFill="accent1"/>
            <w:vAlign w:val="center"/>
          </w:tcPr>
          <w:p w14:paraId="515AFD9D">
            <w:pPr>
              <w:snapToGrid/>
              <w:spacing w:before="0" w:after="0" w:line="360" w:lineRule="auto"/>
              <w:jc w:val="center"/>
              <w:rPr>
                <w:rFonts w:hint="eastAsia" w:ascii="微软雅黑" w:hAnsi="微软雅黑" w:eastAsia="微软雅黑" w:cs="微软雅黑"/>
                <w:b/>
                <w:i w:val="0"/>
                <w:strike w:val="0"/>
                <w:color w:val="FFFFFF"/>
                <w:spacing w:val="0"/>
                <w:sz w:val="22"/>
                <w:u w:val="none"/>
                <w:lang w:val="en-US" w:eastAsia="zh-CN"/>
              </w:rPr>
            </w:pPr>
            <w:r>
              <w:rPr>
                <w:rFonts w:hint="eastAsia" w:ascii="微软雅黑" w:hAnsi="微软雅黑" w:eastAsia="微软雅黑" w:cs="微软雅黑"/>
                <w:b/>
                <w:i w:val="0"/>
                <w:strike w:val="0"/>
                <w:color w:val="FFFFFF"/>
                <w:spacing w:val="0"/>
                <w:sz w:val="22"/>
                <w:u w:val="none"/>
                <w:lang w:val="en-US" w:eastAsia="zh-CN"/>
              </w:rPr>
              <w:t>数量</w:t>
            </w:r>
          </w:p>
        </w:tc>
      </w:tr>
      <w:tr w14:paraId="68B444E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512" w:type="dxa"/>
            <w:vMerge w:val="restart"/>
            <w:tcBorders>
              <w:top w:val="single" w:color="000000" w:sz="4" w:space="0"/>
              <w:left w:val="single" w:color="000000" w:sz="4" w:space="0"/>
              <w:right w:val="single" w:color="000000" w:sz="4" w:space="0"/>
            </w:tcBorders>
            <w:shd w:val="clear" w:color="auto" w:fill="auto"/>
            <w:vAlign w:val="center"/>
          </w:tcPr>
          <w:p w14:paraId="64CB96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中国食品(产品)安全追溯平台</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183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78A4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FA3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追溯展示</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7D3B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1A28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用于展示生产企业展示追溯信息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3E8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ADE754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915" w:hRule="atLeast"/>
        </w:trPr>
        <w:tc>
          <w:tcPr>
            <w:tcW w:w="512" w:type="dxa"/>
            <w:vMerge w:val="continue"/>
            <w:tcBorders>
              <w:left w:val="single" w:color="000000" w:sz="4" w:space="0"/>
              <w:right w:val="single" w:color="000000" w:sz="4" w:space="0"/>
            </w:tcBorders>
            <w:shd w:val="clear" w:color="auto" w:fill="auto"/>
            <w:vAlign w:val="center"/>
          </w:tcPr>
          <w:p w14:paraId="08FD90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C0E7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97439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AC34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统计信息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D6E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A94F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用于柱状图方式展示生产企业追溯信息数量(供应商、销售商、原材料、进货、批次、销售、扫码)</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3F72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9080D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42E014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B25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96FF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1EAE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追溯图谱</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62DA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BD59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用条码加批号条件，使用图谱方式展示追溯从原材料、生产加工、销售信息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8327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E0953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04213A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D3BB1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A8EB5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8CAC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检验报告</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249D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2CB0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用于检验报告管理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1B4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1C8C52C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6A1889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0835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A25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AC4D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已追溯列表</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8694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5A63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用于展示企业已追溯的产品批次追溯列表</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CE9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21BCAF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4F701B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C507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E01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909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食品安全管理-参与人员管理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BD40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34D5A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用于参与人员管理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6C56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25D8D0C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0CCBCC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14F5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63C18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DCEE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食品安全管理-开通与关闭</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20AD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661E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用于对食品安全管理模块进行注册，注销</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8CE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1967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3736B99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CD32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9130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8EB58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食品安全管理-每日食品安全检查</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1E11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D58B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用于对食品安全管理中每日食品安全检查模块的维护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D4DC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57A5860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5D2AA5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E18B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E4D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CBA7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食品安全管理-每月食品安全检查</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FAB8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A6B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用于对食品安全管理中每月食品安全检查模块的维护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88D5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30E832C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0C8E2B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8624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77F9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513F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食品安全管理-每周食品安全检查</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F27A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CEBC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用于对食品安全管理中每周食品安全检查模块的维护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5DD8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67177B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11286E9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6FEE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1CE3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A92F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食品安全管理-安全检查合格率趋势</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F3DD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8CB6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用于对食品安全管理-安全检查合格率趋势分析</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A746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839B4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7FBF0E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480D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F8B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0BB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进口原辅料管理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60F6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905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用于原辅料管理维护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2BF9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1B027D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1C53DC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2616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7F3D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746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防伪追溯码</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FBF66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2640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用于防伪追溯码管理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09DF7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715A6CF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25F0E83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F139A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84B8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1C52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单品追溯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5167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CA8F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用于单品追溯管理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F30E7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57CD464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122E62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E09A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BB60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908B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单品防伪防窜货预警</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F52C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C465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用于对单品防伪防窜货预警维护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34C0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6CA0F4E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6FBA5A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5004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70B30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8500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批次防窜货预警</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856D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3726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用于对批次防窜货预警维护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A53B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5D7BA5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045E56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A7E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3C98C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E21B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医疗领域追溯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5AB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028D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用于医疗领域追溯管理，生成医疗追溯凭证UDI标签</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1DAC4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10</w:t>
            </w:r>
          </w:p>
        </w:tc>
      </w:tr>
      <w:tr w14:paraId="38BA21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210979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B34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3854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1A877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F49D8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5858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用于产品管理和散装产品维护，以及对计算条码校验位，获取厂商识别代码，上传产品富文本，激活产品等功能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3E2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23</w:t>
            </w:r>
          </w:p>
        </w:tc>
      </w:tr>
      <w:tr w14:paraId="740FD0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46BA9AF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782B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E48F5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E867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品牌管理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33E0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F0B9F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用于产品品牌管理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55D4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9EEE25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2F1933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3E09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DA19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2B97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销售订单管理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8056E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7FF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用于维护生产企业产品订单，支持预包装食品批次、单品、项目维度销售，和散装食品批次销售</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3DA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18</w:t>
            </w:r>
          </w:p>
        </w:tc>
      </w:tr>
      <w:tr w14:paraId="04B908E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05BA58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798D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63E8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B295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散装产品-产品赋码</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8DF1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B1C8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用于散装产品维护，生成散装产品条码和二维码功能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D9B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10</w:t>
            </w:r>
          </w:p>
        </w:tc>
      </w:tr>
      <w:tr w14:paraId="3B62B7D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60" w:hRule="atLeast"/>
        </w:trPr>
        <w:tc>
          <w:tcPr>
            <w:tcW w:w="512" w:type="dxa"/>
            <w:vMerge w:val="continue"/>
            <w:tcBorders>
              <w:left w:val="single" w:color="000000" w:sz="4" w:space="0"/>
              <w:right w:val="single" w:color="000000" w:sz="4" w:space="0"/>
            </w:tcBorders>
            <w:shd w:val="clear" w:color="auto" w:fill="auto"/>
            <w:vAlign w:val="center"/>
          </w:tcPr>
          <w:p w14:paraId="4FF669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1113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D19B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08E7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企业介绍</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01EB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63C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对企业介绍信息维护，用于消费者扫码展现企业介绍信息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DB1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F89096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5F13B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B4B5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4843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3EE4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企业资质管理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953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D08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用于生产企业对企业资质信息进行管理维护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52C4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2A27E5D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5ABD4D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707B3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8F303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83B0B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进货管理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872D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C32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用于生产企业对进货原材料信息进行管理维护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28CA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13</w:t>
            </w:r>
          </w:p>
        </w:tc>
      </w:tr>
      <w:tr w14:paraId="278C25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512" w:type="dxa"/>
            <w:vMerge w:val="continue"/>
            <w:tcBorders>
              <w:left w:val="single" w:color="000000" w:sz="4" w:space="0"/>
              <w:right w:val="single" w:color="000000" w:sz="4" w:space="0"/>
            </w:tcBorders>
            <w:shd w:val="clear" w:color="auto" w:fill="auto"/>
            <w:vAlign w:val="center"/>
          </w:tcPr>
          <w:p w14:paraId="2576F0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733A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408A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02B6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供应商管理/销售商管理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4221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9B52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用于生产企业对供应商/销售商进行管理维护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6F3C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74A03E1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D3E60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6283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5670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6DD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原材料管理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EE229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5C6A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用于生产企业对原材料进行管理维护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981E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65E852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3EBA37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48B85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4377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1899C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订单管理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707BD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5220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用于生产企业对支付订单进行管理维护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DF16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8</w:t>
            </w:r>
          </w:p>
        </w:tc>
      </w:tr>
      <w:tr w14:paraId="05C2FB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E69E0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1055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67B78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7AAE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食品安全管理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274BE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57EC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3F01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r>
      <w:tr w14:paraId="2BBED9E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512" w:type="dxa"/>
            <w:vMerge w:val="continue"/>
            <w:tcBorders>
              <w:left w:val="single" w:color="000000" w:sz="4" w:space="0"/>
              <w:right w:val="single" w:color="000000" w:sz="4" w:space="0"/>
            </w:tcBorders>
            <w:shd w:val="clear" w:color="auto" w:fill="auto"/>
            <w:vAlign w:val="center"/>
          </w:tcPr>
          <w:p w14:paraId="5EE91D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B616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D434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48BAC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APEC项目试点-ESG认证</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E3C8F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BF0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用于APEC项目对ESG认证证书管理维护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9881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7429BC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15" w:hRule="atLeast"/>
        </w:trPr>
        <w:tc>
          <w:tcPr>
            <w:tcW w:w="512" w:type="dxa"/>
            <w:vMerge w:val="continue"/>
            <w:tcBorders>
              <w:left w:val="single" w:color="000000" w:sz="4" w:space="0"/>
              <w:right w:val="single" w:color="000000" w:sz="4" w:space="0"/>
            </w:tcBorders>
            <w:shd w:val="clear" w:color="auto" w:fill="auto"/>
            <w:vAlign w:val="center"/>
          </w:tcPr>
          <w:p w14:paraId="4807B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9ED16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5ACD8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易码追溯</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EA11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APEC项目试点-ESG追溯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3BE4D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067A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用于APEC项目对ESG追溯环节管理维护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16C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2DFB882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09F9F8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F9321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5280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9C31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系统管理-角色管理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1E6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8E95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系统管理员对角色管理维护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424C5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7E7EC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2AEA782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5118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581E1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1E08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系统管理-权限管理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41E6B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DAE5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对系统功能菜单列表展现</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B5F9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5D13F71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15" w:hRule="atLeast"/>
        </w:trPr>
        <w:tc>
          <w:tcPr>
            <w:tcW w:w="512" w:type="dxa"/>
            <w:vMerge w:val="continue"/>
            <w:tcBorders>
              <w:left w:val="single" w:color="000000" w:sz="4" w:space="0"/>
              <w:right w:val="single" w:color="000000" w:sz="4" w:space="0"/>
            </w:tcBorders>
            <w:shd w:val="clear" w:color="auto" w:fill="auto"/>
            <w:vAlign w:val="center"/>
          </w:tcPr>
          <w:p w14:paraId="568674B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5A2D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8B27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32F0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系统管理-追溯模板管理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69D2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4C9C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系统管理对追溯模板环节配置</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6A6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13</w:t>
            </w:r>
          </w:p>
        </w:tc>
      </w:tr>
      <w:tr w14:paraId="5493DE4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2E8651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50842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BB0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C7181E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系统管理-用户管理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6FA1B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84806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系统管理员对用户管理维护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B341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9</w:t>
            </w:r>
          </w:p>
        </w:tc>
      </w:tr>
      <w:tr w14:paraId="35AF0FB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DE0947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C74B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441AE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67DF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系统管理-分中心管理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38F30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D5D5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系统管理员对分中心管理维护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594B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4604D11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3FA8E9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CCE8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BB3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6D56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系统管理-统计图</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59856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4EA5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系统管理员对企业、产品、供应商、销售商、生产批次、销售订单、检验报告、追溯填报新系统得统计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ABD9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12</w:t>
            </w:r>
          </w:p>
        </w:tc>
      </w:tr>
      <w:tr w14:paraId="0B0D7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E2FE6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BBFA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D6985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E780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系统管理-检验项模板</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070E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C548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系统管理员对批次检验项定义管理维护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72CD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0A7DF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B1DBE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3D29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58EB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7D584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数据分析-预警数量统计</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644C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3E33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系统管理员对预警数据统计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5975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197AB1F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143B1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F0FE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53807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2419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数据分析-批次信息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A6CB3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79730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系统管理员对批次数据统计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F248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5D6BC2E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8C817B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20F89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7412D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41521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数据分析-企业数量统计</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D6A4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DD08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系统管理员对企业数量数据统计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F0436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60A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21FBD7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52E3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1DFB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D7355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数据分析-产品召回数量统计</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349F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11F8E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系统管理员对产品数量数据统计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27073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60DAA2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9CAC9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D1EC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196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9852B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资讯管理-新闻动态</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4222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A1B4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系统管理员对新闻动态管理维护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4B89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543DB060">
        <w:tblPrEx>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50503B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F37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D1D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8B34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资讯管理-应用案例</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CFB41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2897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系统管理员对应用案例管理维护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C999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62C215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5A37B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F577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007F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ADA85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资讯管理-政策法规</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E8DA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2FEF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系统管理员对政策法规管理维护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F016A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7F0EEE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2DCED7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CF8A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9F718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D895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资讯管理-公告信息</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4D30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C16F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系统管理员对公告信息管理维护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292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079465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B56D30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CF3A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3AF8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F2FEC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资讯管理-标签连接中国</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9F685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2427E3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系统管理员对标签连接中国管理维护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FA97A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7D24C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0BFCD4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FFE44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DC1D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8C02B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资讯管理-投诉信息查询</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56234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ED23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系统管理员对投诉信息查询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94228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31158B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21A01D6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B890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1DB9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C9522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企业用户管理-未通过审核的企业</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61E2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CCF9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系统管理员对未通过审核企业进行管理维护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B5E8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E30DB9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5BE0C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F2AF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3B45E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9CC5D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企业用户管理-加入平台企业</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903A39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B986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系统管理员对已通过审核企业进行管理维护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19D6A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FF90A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9C2BA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ACA9A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D209C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64502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企业用户管理-待审批企业</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5454D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0199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系统管理员对未审核企业进行管理维护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DC20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23B04E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C2788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4CB39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D695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1199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系统业务-综合查询</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BB7D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E7E8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系统管理员通过条码加批次进行查询企业信息产品信息追溯信息查询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32568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102D5D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29B2C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0B551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7F75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9095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数据监控-企业数据监控</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D02C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1E56A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系统管理员对企业产品、批次、追溯等信息统计</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11528C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74EC15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BE49DC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3DD25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A48F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政府监管</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E93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数据监控-追溯监控数据地图</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6414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4D31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使用可视化地图方式展现企业、产品、批次、产品流向信息</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E26D33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712C8F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8A8D3D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85E9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5627F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5F56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企业基本信息-资质管理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96AA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3F3F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经营企业对企业资质管理维护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164E5B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370B70F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8BB9CC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B0C8F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ACA19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43D94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企业基本信息-供应商管理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AEFD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A2755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经营企业对供应商管理维护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52C8E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762B1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5344F0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77BB9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069D8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86ED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企业基本信息-销售商管理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1C4A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81F0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经营企业对销售商管理维护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440CE6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0E6B7A0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004C6D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7239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CB1B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7488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企业基本信息-位置管理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A0FF7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785A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经营企业对位置管理维护</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EAC92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7C0E7DB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F6FB7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4AEE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D8B04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04830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产品基本配置-产品管理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165590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88CA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B2C4B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w:t>
            </w:r>
          </w:p>
        </w:tc>
      </w:tr>
      <w:tr w14:paraId="6757FF0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786FE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CF918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6DD371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06ED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进口商品入库管理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84C9F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D1B9F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经营企业对进口产品管理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A54FC1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507F33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AFB741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65C549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C544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5D6EE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预包装商品出入库管理-产品入库</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9324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FA137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经营企业对预包装商品入库管理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BD7C2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3E8821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BB241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C7FDD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77BBE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8D1E6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预包装商品出入库管理-产品出库</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EB9C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FD6F9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经营企业对预包装商品出库管理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95C0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61233D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0FBB42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B195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BABE8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1E52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预包装商品出入库管理-单品管理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9B994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EBCE8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经营企业对预包装商品单品管理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42C2B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F96FB9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E42CFE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07F4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18F79B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05DC3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预包装商品出入库管理-产品批次管理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98425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093A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经营企业对预包装商品批次管理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8B4C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w:t>
            </w:r>
          </w:p>
        </w:tc>
      </w:tr>
      <w:tr w14:paraId="26FAA6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06431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83AC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E2CB2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BBA8C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预包装商品出入库管理-库存管理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C405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63C35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经营企业对预包装商品库存管理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9E9D4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661C9BB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8B13B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35570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A73BE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3377F4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C0EE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8146D3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经营企业对散装商品产品管理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A16636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61BC99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51FA4CF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625E2F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63113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C17CF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散装商品出入库管理-产品入库</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DAA3D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457B9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经营企业对散装商品入库管理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74435E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437EF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D2C0F9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C9107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9A1CD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8F0A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散装商品出入库管理-产品出库</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0B26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E1E10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经营企业对散装商品出库管理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0DA2E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0246F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1A46AA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20F0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D5D5B1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E4D08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散装商品出入库管理-单品管理</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40F9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205B9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经营企业对散装商品单品管理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E7A25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w:t>
            </w:r>
          </w:p>
        </w:tc>
      </w:tr>
      <w:tr w14:paraId="108F570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25B835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C2DAC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2AFFB6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F478F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散装商品出入库管理-库存记录</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FE822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0D586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经营企业对散装商品库存管理</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CB4DA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84C5DF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71FD38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4CFC1F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E4792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56E4F6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应用案例接口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6D933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C00A8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向手机API提供应用案例列表详情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FE51D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65A99A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6584C4D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0E9A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44B41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B37CC9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投诉</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8E4C8E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F9A34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保存添加投诉功能</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4CB51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1</w:t>
            </w:r>
          </w:p>
        </w:tc>
      </w:tr>
      <w:tr w14:paraId="2162138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7E51CF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8F852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BF7EE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F79FF4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政策法规接口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8754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E41F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向手机API提供政策法规列表详情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308C6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5F06C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20894A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DEA17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9BF39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594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新闻资讯接口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91911C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8CC1C2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向手机API提供新闻资讯列表详情和top5</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9E5FD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1134FB4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1CC146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2597369">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2C4F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30C754">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普通手机用户接口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3AE87C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551AC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向手机API用户注册和重置密码和发送验证码</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69BDF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3</w:t>
            </w:r>
          </w:p>
        </w:tc>
      </w:tr>
      <w:tr w14:paraId="4EA16B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45F619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2614C0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0BABEB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885DC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条码查询接口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7E1540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EA066B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向手机API条码查询、图谱查询</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D17FD2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4</w:t>
            </w:r>
          </w:p>
        </w:tc>
      </w:tr>
      <w:tr w14:paraId="3953B4F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22A4ECA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A233B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FC931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974924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标签连接中国，服务千县万企专区接口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82DE6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6A4BD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向手机API提供标签连接中国，服务千县万企专区列表详情</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05A8017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2</w:t>
            </w:r>
          </w:p>
        </w:tc>
      </w:tr>
      <w:tr w14:paraId="2E3BC4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09CCE27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7AFC39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3159CB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追溯查询接口</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5F695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综合查询接口</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910DC8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D0AC331">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提供小程序和扫码网页端提供子公司备案、预警、召回、企业评分、化妆品备案、ESG产品追溯、资质、检查记录、UDI查询、批次列表、图谱展示等接口</w:t>
            </w:r>
          </w:p>
        </w:tc>
        <w:tc>
          <w:tcPr>
            <w:tcW w:w="572"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CBDD5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69</w:t>
            </w:r>
          </w:p>
        </w:tc>
      </w:tr>
      <w:tr w14:paraId="0A597C2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036BEAB">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85861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6A9096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条码追溯小程序</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2F016E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生产企业/经营企业</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3359B2F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FEAB42E">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生产企业和经营企业用户添加产品，添加进货，散装进货，预包装销售，单品出入库功能</w:t>
            </w:r>
          </w:p>
        </w:tc>
        <w:tc>
          <w:tcPr>
            <w:tcW w:w="572" w:type="dxa"/>
            <w:tcBorders>
              <w:top w:val="single" w:color="000000" w:sz="4" w:space="0"/>
              <w:left w:val="single" w:color="000000" w:sz="4" w:space="0"/>
              <w:bottom w:val="single" w:color="auto" w:sz="4" w:space="0"/>
              <w:right w:val="single" w:color="000000" w:sz="4" w:space="0"/>
            </w:tcBorders>
            <w:shd w:val="clear" w:color="auto" w:fill="auto"/>
            <w:noWrap/>
            <w:vAlign w:val="center"/>
          </w:tcPr>
          <w:p w14:paraId="6CF213E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61</w:t>
            </w:r>
          </w:p>
        </w:tc>
      </w:tr>
      <w:tr w14:paraId="7F92ED5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336" w:hRule="atLeast"/>
        </w:trPr>
        <w:tc>
          <w:tcPr>
            <w:tcW w:w="512" w:type="dxa"/>
            <w:vMerge w:val="continue"/>
            <w:tcBorders>
              <w:left w:val="single" w:color="000000" w:sz="4" w:space="0"/>
              <w:right w:val="single" w:color="000000" w:sz="4" w:space="0"/>
            </w:tcBorders>
            <w:shd w:val="clear" w:color="auto" w:fill="auto"/>
            <w:vAlign w:val="center"/>
          </w:tcPr>
          <w:p w14:paraId="3A29F350">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A640C9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7ED4F9D2">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生产企业平台(老平台)</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542E29FD">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生产企业老平台</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2CA37773">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5BB27D8A">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用于生产企业管理平台进行维护数据</w:t>
            </w:r>
          </w:p>
        </w:tc>
        <w:tc>
          <w:tcPr>
            <w:tcW w:w="572" w:type="dxa"/>
            <w:tcBorders>
              <w:top w:val="single" w:color="auto" w:sz="4" w:space="0"/>
              <w:left w:val="single" w:color="auto" w:sz="4" w:space="0"/>
              <w:bottom w:val="single" w:color="000000" w:sz="4" w:space="0"/>
              <w:right w:val="single" w:color="auto" w:sz="4" w:space="0"/>
            </w:tcBorders>
            <w:shd w:val="clear" w:color="auto" w:fill="auto"/>
            <w:noWrap/>
            <w:vAlign w:val="center"/>
          </w:tcPr>
          <w:p w14:paraId="20933235">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735</w:t>
            </w:r>
          </w:p>
        </w:tc>
      </w:tr>
      <w:tr w14:paraId="007DAF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36" w:hRule="atLeast"/>
        </w:trPr>
        <w:tc>
          <w:tcPr>
            <w:tcW w:w="512" w:type="dxa"/>
            <w:vMerge w:val="continue"/>
            <w:tcBorders>
              <w:left w:val="single" w:color="000000" w:sz="4" w:space="0"/>
              <w:bottom w:val="single" w:color="000000" w:sz="4" w:space="0"/>
              <w:right w:val="single" w:color="000000" w:sz="4" w:space="0"/>
            </w:tcBorders>
            <w:shd w:val="clear" w:color="auto" w:fill="auto"/>
            <w:noWrap/>
            <w:vAlign w:val="center"/>
          </w:tcPr>
          <w:p w14:paraId="19DFDCCC">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1C2B5D3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对外/对内</w:t>
            </w:r>
          </w:p>
        </w:tc>
        <w:tc>
          <w:tcPr>
            <w:tcW w:w="1295"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A61577">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政府第三方对接接口上传</w:t>
            </w:r>
          </w:p>
        </w:tc>
        <w:tc>
          <w:tcPr>
            <w:tcW w:w="1258"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CE9B56">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第三方政府对接</w:t>
            </w:r>
          </w:p>
        </w:tc>
        <w:tc>
          <w:tcPr>
            <w:tcW w:w="1119" w:type="dxa"/>
            <w:tcBorders>
              <w:top w:val="single" w:color="000000" w:sz="4" w:space="0"/>
              <w:left w:val="single" w:color="000000" w:sz="4" w:space="0"/>
              <w:bottom w:val="single" w:color="000000" w:sz="4" w:space="0"/>
              <w:right w:val="single" w:color="000000" w:sz="4" w:space="0"/>
            </w:tcBorders>
            <w:shd w:val="clear" w:color="auto" w:fill="auto"/>
            <w:noWrap/>
            <w:vAlign w:val="center"/>
          </w:tcPr>
          <w:p w14:paraId="4AA9744F">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Get/Post</w:t>
            </w:r>
          </w:p>
        </w:tc>
        <w:tc>
          <w:tcPr>
            <w:tcW w:w="2285" w:type="dxa"/>
            <w:tcBorders>
              <w:top w:val="single" w:color="000000" w:sz="4" w:space="0"/>
              <w:left w:val="single" w:color="000000" w:sz="4" w:space="0"/>
              <w:bottom w:val="single" w:color="000000" w:sz="4" w:space="0"/>
              <w:right w:val="single" w:color="auto" w:sz="4" w:space="0"/>
            </w:tcBorders>
            <w:shd w:val="clear" w:color="auto" w:fill="auto"/>
            <w:noWrap/>
            <w:vAlign w:val="center"/>
          </w:tcPr>
          <w:p w14:paraId="0290D7F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第三方接口对接追溯数据</w:t>
            </w:r>
          </w:p>
        </w:tc>
        <w:tc>
          <w:tcPr>
            <w:tcW w:w="572" w:type="dxa"/>
            <w:tcBorders>
              <w:left w:val="single" w:color="auto" w:sz="4" w:space="0"/>
              <w:bottom w:val="single" w:color="auto" w:sz="4" w:space="0"/>
              <w:right w:val="single" w:color="auto" w:sz="4" w:space="0"/>
            </w:tcBorders>
            <w:shd w:val="clear" w:color="auto" w:fill="auto"/>
            <w:vAlign w:val="center"/>
          </w:tcPr>
          <w:p w14:paraId="3B89F218">
            <w:pPr>
              <w:snapToGrid/>
              <w:spacing w:before="0" w:after="0" w:line="360" w:lineRule="auto"/>
              <w:jc w:val="both"/>
              <w:rPr>
                <w:rFonts w:hint="eastAsia" w:ascii="微软雅黑" w:hAnsi="微软雅黑" w:eastAsia="微软雅黑" w:cs="微软雅黑"/>
                <w:i w:val="0"/>
                <w:strike w:val="0"/>
                <w:color w:val="000000"/>
                <w:spacing w:val="0"/>
                <w:sz w:val="18"/>
                <w:u w:val="none"/>
                <w:lang w:val="en-US" w:eastAsia="zh-CN"/>
              </w:rPr>
            </w:pPr>
            <w:r>
              <w:rPr>
                <w:rFonts w:hint="eastAsia" w:ascii="微软雅黑" w:hAnsi="微软雅黑" w:eastAsia="微软雅黑" w:cs="微软雅黑"/>
                <w:i w:val="0"/>
                <w:strike w:val="0"/>
                <w:color w:val="000000"/>
                <w:spacing w:val="0"/>
                <w:sz w:val="18"/>
                <w:u w:val="none"/>
                <w:lang w:val="en-US" w:eastAsia="zh-CN"/>
              </w:rPr>
              <w:t>57</w:t>
            </w:r>
          </w:p>
        </w:tc>
      </w:tr>
    </w:tbl>
    <w:p w14:paraId="096B0642">
      <w:pPr>
        <w:snapToGrid/>
        <w:spacing w:before="260" w:after="260" w:line="300" w:lineRule="auto"/>
        <w:ind w:firstLine="400" w:firstLineChars="200"/>
        <w:jc w:val="both"/>
        <w:rPr>
          <w:rFonts w:hint="eastAsia" w:ascii="黑体" w:hAnsi="黑体" w:eastAsia="黑体" w:cs="黑体"/>
          <w:i w:val="0"/>
          <w:strike w:val="0"/>
          <w:color w:val="000000"/>
          <w:sz w:val="20"/>
          <w:u w:val="none"/>
          <w:lang w:val="en-US" w:eastAsia="zh-CN"/>
        </w:rPr>
        <w:sectPr>
          <w:pgSz w:w="11906" w:h="16838"/>
          <w:pgMar w:top="1440" w:right="1800" w:bottom="1440" w:left="1800" w:header="851" w:footer="992" w:gutter="0"/>
          <w:cols w:space="425" w:num="1"/>
          <w:docGrid w:type="lines" w:linePitch="312" w:charSpace="0"/>
        </w:sectPr>
      </w:pPr>
      <w:bookmarkStart w:id="0" w:name="_GoBack"/>
      <w:bookmarkEnd w:id="0"/>
    </w:p>
    <w:p w14:paraId="54E147D2">
      <w:pPr>
        <w:snapToGrid/>
        <w:spacing w:before="0" w:after="0" w:line="360" w:lineRule="auto"/>
        <w:jc w:val="both"/>
        <w:rPr>
          <w:rFonts w:hint="eastAsia" w:ascii="微软雅黑" w:hAnsi="微软雅黑" w:eastAsia="微软雅黑" w:cs="微软雅黑"/>
          <w:i w:val="0"/>
          <w:strike w:val="0"/>
          <w:color w:val="000000"/>
          <w:sz w:val="24"/>
          <w:u w:val="none"/>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norHAnsi">
    <w:altName w:val="Segoe Print"/>
    <w:panose1 w:val="00000000000000000000"/>
    <w:charset w:val="00"/>
    <w:family w:val="auto"/>
    <w:pitch w:val="default"/>
    <w:sig w:usb0="00000000" w:usb1="00000000" w:usb2="00000000" w:usb3="00000000" w:csb0="00000000" w:csb1="00000000"/>
  </w:font>
  <w:font w:name="minorEastAsia">
    <w:altName w:val="宋体"/>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FF1947"/>
    <w:multiLevelType w:val="singleLevel"/>
    <w:tmpl w:val="ABFF1947"/>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jMTlhOGNhNGM1OTIzODQwYWQ0ZDE0NGUyMzI2NjUifQ=="/>
  </w:docVars>
  <w:rsids>
    <w:rsidRoot w:val="27901ABC"/>
    <w:rsid w:val="27901ABC"/>
    <w:rsid w:val="304F63CF"/>
    <w:rsid w:val="37CA4D22"/>
    <w:rsid w:val="46CD0926"/>
    <w:rsid w:val="48EC0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before="60" w:after="60" w:line="312" w:lineRule="auto"/>
      <w:jc w:val="left"/>
    </w:pPr>
    <w:rPr>
      <w:rFonts w:ascii="minorHAnsi" w:hAnsi="minorHAnsi" w:eastAsia="minorEastAsia" w:cstheme="minorBidi"/>
      <w:color w:val="333333"/>
      <w:kern w:val="2"/>
      <w:sz w:val="22"/>
      <w:szCs w:val="22"/>
    </w:rPr>
  </w:style>
  <w:style w:type="paragraph" w:styleId="2">
    <w:name w:val="heading 2"/>
    <w:basedOn w:val="1"/>
    <w:next w:val="1"/>
    <w:qFormat/>
    <w:uiPriority w:val="9"/>
    <w:pPr>
      <w:keepNext/>
      <w:keepLines/>
      <w:spacing w:before="0" w:after="0" w:line="408" w:lineRule="auto"/>
      <w:outlineLvl w:val="1"/>
    </w:pPr>
    <w:rPr>
      <w:b/>
      <w:bCs/>
      <w:color w:val="1A1A1A"/>
      <w:sz w:val="32"/>
      <w:szCs w:val="32"/>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hart" Target="charts/chart3.xml"/><Relationship Id="rId7" Type="http://schemas.openxmlformats.org/officeDocument/2006/relationships/chart" Target="charts/chart2.xml"/><Relationship Id="rId6" Type="http://schemas.openxmlformats.org/officeDocument/2006/relationships/chart" Target="charts/chart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Workbook1.xlsx"/></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package" Target="../embeddings/Workbook2.xlsx"/></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package" Target="../embeddings/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服务器分布情况</a:t>
            </a:r>
          </a:p>
        </c:rich>
      </c:tx>
      <c:layout/>
      <c:overlay val="0"/>
      <c:spPr>
        <a:noFill/>
        <a:ln>
          <a:noFill/>
        </a:ln>
        <a:effectLst/>
      </c:spPr>
    </c:title>
    <c:autoTitleDeleted val="0"/>
    <c:plotArea>
      <c:layout/>
      <c:barChart>
        <c:barDir val="col"/>
        <c:grouping val="stacked"/>
        <c:varyColors val="0"/>
        <c:ser>
          <c:idx val="0"/>
          <c:order val="0"/>
          <c:tx>
            <c:strRef>
              <c:f>Sheet1!$B$1</c:f>
              <c:strCache>
                <c:ptCount val="1"/>
                <c:pt idx="0">
                  <c:v>追溯平台使用</c:v>
                </c:pt>
              </c:strCache>
            </c:strRef>
          </c:tx>
          <c:spPr>
            <a:solidFill>
              <a:schemeClr val="accent1"/>
            </a:solidFill>
            <a:ln>
              <a:noFill/>
            </a:ln>
            <a:effectLst/>
          </c:spPr>
          <c:invertIfNegative val="0"/>
          <c:dLbls>
            <c:delete val="1"/>
          </c:dLbls>
          <c:cat>
            <c:strRef>
              <c:f>Sheet1!$A$2:$A$4</c:f>
              <c:strCache>
                <c:ptCount val="3"/>
                <c:pt idx="0">
                  <c:v>数据服务</c:v>
                </c:pt>
                <c:pt idx="1">
                  <c:v>中间件服务</c:v>
                </c:pt>
                <c:pt idx="2">
                  <c:v>应用服务</c:v>
                </c:pt>
              </c:strCache>
            </c:strRef>
          </c:cat>
          <c:val>
            <c:numRef>
              <c:f>Sheet1!$B$2:$B$4</c:f>
              <c:numCache>
                <c:formatCode>General</c:formatCode>
                <c:ptCount val="3"/>
                <c:pt idx="0">
                  <c:v>3</c:v>
                </c:pt>
                <c:pt idx="1">
                  <c:v>4</c:v>
                </c:pt>
                <c:pt idx="2">
                  <c:v>5</c:v>
                </c:pt>
              </c:numCache>
            </c:numRef>
          </c:val>
        </c:ser>
        <c:ser>
          <c:idx val="1"/>
          <c:order val="1"/>
          <c:tx>
            <c:strRef>
              <c:f>Sheet1!$C$1</c:f>
              <c:strCache>
                <c:ptCount val="1"/>
                <c:pt idx="0">
                  <c:v>共用</c:v>
                </c:pt>
              </c:strCache>
            </c:strRef>
          </c:tx>
          <c:spPr>
            <a:solidFill>
              <a:schemeClr val="accent2"/>
            </a:solidFill>
            <a:ln>
              <a:noFill/>
            </a:ln>
            <a:effectLst/>
          </c:spPr>
          <c:invertIfNegative val="0"/>
          <c:dLbls>
            <c:delete val="1"/>
          </c:dLbls>
          <c:cat>
            <c:strRef>
              <c:f>Sheet1!$A$2:$A$4</c:f>
              <c:strCache>
                <c:ptCount val="3"/>
                <c:pt idx="0">
                  <c:v>数据服务</c:v>
                </c:pt>
                <c:pt idx="1">
                  <c:v>中间件服务</c:v>
                </c:pt>
                <c:pt idx="2">
                  <c:v>应用服务</c:v>
                </c:pt>
              </c:strCache>
            </c:strRef>
          </c:cat>
          <c:val>
            <c:numRef>
              <c:f>Sheet1!$C$2:$C$4</c:f>
              <c:numCache>
                <c:formatCode>General</c:formatCode>
                <c:ptCount val="3"/>
                <c:pt idx="0">
                  <c:v>0</c:v>
                </c:pt>
                <c:pt idx="1">
                  <c:v>1</c:v>
                </c:pt>
                <c:pt idx="2">
                  <c:v>0</c:v>
                </c:pt>
              </c:numCache>
            </c:numRef>
          </c:val>
        </c:ser>
        <c:dLbls>
          <c:showLegendKey val="0"/>
          <c:showVal val="0"/>
          <c:showCatName val="0"/>
          <c:showSerName val="0"/>
          <c:showPercent val="0"/>
          <c:showBubbleSize val="0"/>
        </c:dLbls>
        <c:gapWidth val="150"/>
        <c:overlap val="100"/>
        <c:axId val="399724097"/>
        <c:axId val="855663345"/>
      </c:barChart>
      <c:catAx>
        <c:axId val="39972409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valAx>
      <c:spPr>
        <a:noFill/>
        <a:ln>
          <a:noFill/>
        </a:ln>
        <a:effectLst/>
      </c:spPr>
    </c:plotArea>
    <c:legend>
      <c:legendPos val="b"/>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Mysql</c:v>
                </c:pt>
              </c:strCache>
            </c:strRef>
          </c:tx>
          <c:spPr>
            <a:solidFill>
              <a:schemeClr val="accent1"/>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Sheet1!$B$2:$B$11</c:f>
              <c:numCache>
                <c:formatCode>General</c:formatCode>
                <c:ptCount val="10"/>
                <c:pt idx="0">
                  <c:v>0</c:v>
                </c:pt>
                <c:pt idx="1">
                  <c:v>0</c:v>
                </c:pt>
                <c:pt idx="2">
                  <c:v>0</c:v>
                </c:pt>
                <c:pt idx="3">
                  <c:v>0</c:v>
                </c:pt>
                <c:pt idx="4">
                  <c:v>0</c:v>
                </c:pt>
                <c:pt idx="5">
                  <c:v>1</c:v>
                </c:pt>
                <c:pt idx="6">
                  <c:v>0</c:v>
                </c:pt>
                <c:pt idx="7">
                  <c:v>0</c:v>
                </c:pt>
                <c:pt idx="8">
                  <c:v>0</c:v>
                </c:pt>
                <c:pt idx="9">
                  <c:v>0</c:v>
                </c:pt>
              </c:numCache>
            </c:numRef>
          </c:val>
        </c:ser>
        <c:ser>
          <c:idx val="1"/>
          <c:order val="1"/>
          <c:tx>
            <c:strRef>
              <c:f>Sheet1!$C$1</c:f>
              <c:strCache>
                <c:ptCount val="1"/>
                <c:pt idx="0">
                  <c:v>Oracle</c:v>
                </c:pt>
              </c:strCache>
            </c:strRef>
          </c:tx>
          <c:spPr>
            <a:solidFill>
              <a:schemeClr val="accent2"/>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Sheet1!$C$2:$C$11</c:f>
              <c:numCache>
                <c:formatCode>General</c:formatCode>
                <c:ptCount val="10"/>
                <c:pt idx="0">
                  <c:v>1</c:v>
                </c:pt>
                <c:pt idx="1">
                  <c:v>1</c:v>
                </c:pt>
                <c:pt idx="2">
                  <c:v>0</c:v>
                </c:pt>
                <c:pt idx="3">
                  <c:v>0</c:v>
                </c:pt>
                <c:pt idx="4">
                  <c:v>0</c:v>
                </c:pt>
                <c:pt idx="5">
                  <c:v>0</c:v>
                </c:pt>
                <c:pt idx="6">
                  <c:v>0</c:v>
                </c:pt>
                <c:pt idx="7">
                  <c:v>0</c:v>
                </c:pt>
                <c:pt idx="8">
                  <c:v>0</c:v>
                </c:pt>
                <c:pt idx="9">
                  <c:v>0</c:v>
                </c:pt>
              </c:numCache>
            </c:numRef>
          </c:val>
        </c:ser>
        <c:ser>
          <c:idx val="2"/>
          <c:order val="2"/>
          <c:tx>
            <c:strRef>
              <c:f>Sheet1!$D$1</c:f>
              <c:strCache>
                <c:ptCount val="1"/>
                <c:pt idx="0">
                  <c:v>ES</c:v>
                </c:pt>
              </c:strCache>
            </c:strRef>
          </c:tx>
          <c:spPr>
            <a:solidFill>
              <a:schemeClr val="accent3"/>
            </a:solidFill>
            <a:ln>
              <a:noFill/>
            </a:ln>
            <a:effectLst/>
          </c:spPr>
          <c:invertIfNegative val="0"/>
          <c:dLbls>
            <c:dLbl>
              <c:idx val="0"/>
              <c:delete val="1"/>
            </c:dLbl>
            <c:dLbl>
              <c:idx val="1"/>
              <c:delete val="1"/>
            </c:dLbl>
            <c:dLbl>
              <c:idx val="2"/>
              <c:delete val="1"/>
            </c:dLbl>
            <c:dLbl>
              <c:idx val="3"/>
              <c:delete val="1"/>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delete val="1"/>
            </c:dLbl>
            <c:dLbl>
              <c:idx val="6"/>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7"/>
              <c:delete val="1"/>
            </c:dLbl>
            <c:dLbl>
              <c:idx val="8"/>
              <c:delete val="1"/>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Sheet1!$D$2:$D$11</c:f>
              <c:numCache>
                <c:formatCode>General</c:formatCode>
                <c:ptCount val="10"/>
                <c:pt idx="0">
                  <c:v>0</c:v>
                </c:pt>
                <c:pt idx="1">
                  <c:v>0</c:v>
                </c:pt>
                <c:pt idx="2">
                  <c:v>0</c:v>
                </c:pt>
                <c:pt idx="3">
                  <c:v>1</c:v>
                </c:pt>
                <c:pt idx="4">
                  <c:v>1</c:v>
                </c:pt>
                <c:pt idx="5">
                  <c:v>0</c:v>
                </c:pt>
                <c:pt idx="6">
                  <c:v>1</c:v>
                </c:pt>
                <c:pt idx="7">
                  <c:v>0</c:v>
                </c:pt>
                <c:pt idx="8">
                  <c:v>0</c:v>
                </c:pt>
                <c:pt idx="9">
                  <c:v>0</c:v>
                </c:pt>
              </c:numCache>
            </c:numRef>
          </c:val>
        </c:ser>
        <c:ser>
          <c:idx val="3"/>
          <c:order val="3"/>
          <c:tx>
            <c:strRef>
              <c:f>Sheet1!$E$1</c:f>
              <c:strCache>
                <c:ptCount val="1"/>
                <c:pt idx="0">
                  <c:v>Redis</c:v>
                </c:pt>
              </c:strCache>
            </c:strRef>
          </c:tx>
          <c:spPr>
            <a:solidFill>
              <a:schemeClr val="accent4"/>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Sheet1!$E$2:$E$11</c:f>
              <c:numCache>
                <c:formatCode>General</c:formatCode>
                <c:ptCount val="10"/>
                <c:pt idx="0">
                  <c:v>0</c:v>
                </c:pt>
                <c:pt idx="1">
                  <c:v>0</c:v>
                </c:pt>
                <c:pt idx="2">
                  <c:v>1</c:v>
                </c:pt>
                <c:pt idx="3">
                  <c:v>0</c:v>
                </c:pt>
                <c:pt idx="4">
                  <c:v>0</c:v>
                </c:pt>
                <c:pt idx="5">
                  <c:v>0</c:v>
                </c:pt>
                <c:pt idx="6">
                  <c:v>1</c:v>
                </c:pt>
                <c:pt idx="7">
                  <c:v>1</c:v>
                </c:pt>
                <c:pt idx="8">
                  <c:v>0</c:v>
                </c:pt>
                <c:pt idx="9">
                  <c:v>0</c:v>
                </c:pt>
              </c:numCache>
            </c:numRef>
          </c:val>
        </c:ser>
        <c:ser>
          <c:idx val="4"/>
          <c:order val="4"/>
          <c:tx>
            <c:strRef>
              <c:f>Sheet1!$F$1</c:f>
              <c:strCache>
                <c:ptCount val="1"/>
                <c:pt idx="0">
                  <c:v>MongoDB</c:v>
                </c:pt>
              </c:strCache>
            </c:strRef>
          </c:tx>
          <c:spPr>
            <a:solidFill>
              <a:schemeClr val="accent5"/>
            </a:solidFill>
            <a:ln>
              <a:noFill/>
            </a:ln>
            <a:effectLst/>
          </c:spPr>
          <c:invertIfNegative val="0"/>
          <c:dLbls>
            <c:dLbl>
              <c:idx val="0"/>
              <c:delete val="1"/>
            </c:dLbl>
            <c:dLbl>
              <c:idx val="1"/>
              <c:delete val="1"/>
            </c:dLbl>
            <c:dLbl>
              <c:idx val="2"/>
              <c:layout>
                <c:manualLayout>
                  <c:x val="0"/>
                  <c:y val="0.070146818923327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
                  <c:y val="0.06715606307775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ES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0371791796593907"/>
                      <c:h val="0.077215878194671"/>
                    </c:manualLayout>
                  </c15:layout>
                </c:ext>
              </c:extLst>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Mongo</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layout>
                <c:manualLayout>
                  <c:x val="0"/>
                  <c:y val="0.0611745513866232"/>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Mysql</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6"/>
              <c:delete val="1"/>
            </c:dLbl>
            <c:dLbl>
              <c:idx val="7"/>
              <c:delete val="1"/>
            </c:dLbl>
            <c:dLbl>
              <c:idx val="8"/>
              <c:delete val="1"/>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Sheet1!$F$2:$F$11</c:f>
              <c:numCache>
                <c:formatCode>General</c:formatCode>
                <c:ptCount val="10"/>
                <c:pt idx="0">
                  <c:v>0</c:v>
                </c:pt>
                <c:pt idx="1">
                  <c:v>0</c:v>
                </c:pt>
                <c:pt idx="2">
                  <c:v>0</c:v>
                </c:pt>
                <c:pt idx="3">
                  <c:v>0</c:v>
                </c:pt>
                <c:pt idx="4">
                  <c:v>1</c:v>
                </c:pt>
                <c:pt idx="5">
                  <c:v>0</c:v>
                </c:pt>
                <c:pt idx="6">
                  <c:v>0</c:v>
                </c:pt>
                <c:pt idx="7">
                  <c:v>0</c:v>
                </c:pt>
                <c:pt idx="8">
                  <c:v>0</c:v>
                </c:pt>
                <c:pt idx="9">
                  <c:v>0</c:v>
                </c:pt>
              </c:numCache>
            </c:numRef>
          </c:val>
        </c:ser>
        <c:ser>
          <c:idx val="5"/>
          <c:order val="5"/>
          <c:tx>
            <c:strRef>
              <c:f>Sheet1!$G$1</c:f>
              <c:strCache>
                <c:ptCount val="1"/>
                <c:pt idx="0">
                  <c:v>MQ</c:v>
                </c:pt>
              </c:strCache>
            </c:strRef>
          </c:tx>
          <c:spPr>
            <a:solidFill>
              <a:schemeClr val="accent6"/>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Sheet1!$G$2:$G$11</c:f>
              <c:numCache>
                <c:formatCode>General</c:formatCode>
                <c:ptCount val="10"/>
                <c:pt idx="0">
                  <c:v>0</c:v>
                </c:pt>
                <c:pt idx="1">
                  <c:v>0</c:v>
                </c:pt>
                <c:pt idx="2">
                  <c:v>0</c:v>
                </c:pt>
                <c:pt idx="3">
                  <c:v>1</c:v>
                </c:pt>
                <c:pt idx="4">
                  <c:v>0</c:v>
                </c:pt>
                <c:pt idx="5">
                  <c:v>0</c:v>
                </c:pt>
                <c:pt idx="6">
                  <c:v>0</c:v>
                </c:pt>
                <c:pt idx="7">
                  <c:v>0</c:v>
                </c:pt>
                <c:pt idx="8">
                  <c:v>0</c:v>
                </c:pt>
                <c:pt idx="9">
                  <c:v>0</c:v>
                </c:pt>
              </c:numCache>
            </c:numRef>
          </c:val>
        </c:ser>
        <c:ser>
          <c:idx val="6"/>
          <c:order val="6"/>
          <c:tx>
            <c:strRef>
              <c:f>Sheet1!$H$1</c:f>
              <c:strCache>
                <c:ptCount val="1"/>
                <c:pt idx="0">
                  <c:v>应用</c:v>
                </c:pt>
              </c:strCache>
            </c:strRef>
          </c:tx>
          <c:spPr>
            <a:solidFill>
              <a:schemeClr val="accent1">
                <a:lumMod val="60000"/>
              </a:schemeClr>
            </a:solidFill>
            <a:ln>
              <a:noFill/>
            </a:ln>
            <a:effectLst/>
          </c:spPr>
          <c:invertIfNegative val="0"/>
          <c:dLbls>
            <c:dLbl>
              <c:idx val="0"/>
              <c:layout>
                <c:manualLayout>
                  <c:x val="-0.00203885823938594"/>
                  <c:y val="0.067971723762914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Oracle</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manualLayout>
                      <c:w val="0.0593667546174142"/>
                      <c:h val="0.109298531810767"/>
                    </c:manualLayout>
                  </c15:layout>
                </c:ext>
              </c:extLst>
            </c:dLbl>
            <c:dLbl>
              <c:idx val="1"/>
              <c:layout>
                <c:manualLayout>
                  <c:x val="0"/>
                  <c:y val="0.070146818923327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Oracle</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2"/>
              <c:layout>
                <c:manualLayout>
                  <c:x val="0"/>
                  <c:y val="-0.063349646547036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接口</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3"/>
              <c:layout>
                <c:manualLayout>
                  <c:x val="-0.000959462700887503"/>
                  <c:y val="0.07041870581837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700">
                        <a:solidFill>
                          <a:schemeClr val="bg1"/>
                        </a:solidFill>
                      </a:rPr>
                      <a:t>MQ</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4"/>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700">
                        <a:solidFill>
                          <a:schemeClr val="bg1"/>
                        </a:solidFill>
                      </a:rPr>
                      <a:t>应用</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5"/>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700">
                        <a:solidFill>
                          <a:schemeClr val="bg1"/>
                        </a:solidFill>
                      </a:rPr>
                      <a:t>应用</a:t>
                    </a:r>
                    <a:endParaRPr lang="en-US" altLang="zh-CN" sz="7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6"/>
              <c:layout>
                <c:manualLayout>
                  <c:x val="0.00203885823938594"/>
                  <c:y val="0.0611745513866232"/>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7"/>
              <c:layout>
                <c:manualLayout>
                  <c:x val="-0.00299832094027345"/>
                  <c:y val="0.0704187058183796"/>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sz="800">
                        <a:solidFill>
                          <a:schemeClr val="bg1"/>
                        </a:solidFill>
                      </a:rPr>
                      <a:t>Redis</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dLbl>
              <c:idx val="8"/>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altLang="en-US" sz="800">
                        <a:solidFill>
                          <a:schemeClr val="bg1"/>
                        </a:solidFill>
                      </a:rPr>
                      <a:t>应用</a:t>
                    </a:r>
                    <a:endParaRPr lang="en-US" altLang="zh-CN"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9"/>
              <c:layout>
                <c:manualLayout>
                  <c:x val="0.00107939553849844"/>
                  <c:y val="-0.0633496465470364"/>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测试</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Sheet1!$H$2:$H$11</c:f>
              <c:numCache>
                <c:formatCode>General</c:formatCode>
                <c:ptCount val="10"/>
                <c:pt idx="0">
                  <c:v>0</c:v>
                </c:pt>
                <c:pt idx="1">
                  <c:v>0</c:v>
                </c:pt>
                <c:pt idx="2">
                  <c:v>0</c:v>
                </c:pt>
                <c:pt idx="3">
                  <c:v>0</c:v>
                </c:pt>
                <c:pt idx="4">
                  <c:v>1</c:v>
                </c:pt>
                <c:pt idx="5">
                  <c:v>1</c:v>
                </c:pt>
                <c:pt idx="6">
                  <c:v>0</c:v>
                </c:pt>
                <c:pt idx="7">
                  <c:v>0</c:v>
                </c:pt>
                <c:pt idx="8">
                  <c:v>1</c:v>
                </c:pt>
                <c:pt idx="9">
                  <c:v>0</c:v>
                </c:pt>
              </c:numCache>
            </c:numRef>
          </c:val>
        </c:ser>
        <c:ser>
          <c:idx val="7"/>
          <c:order val="7"/>
          <c:tx>
            <c:strRef>
              <c:f>Sheet1!$I$1</c:f>
              <c:strCache>
                <c:ptCount val="1"/>
                <c:pt idx="0">
                  <c:v>接口</c:v>
                </c:pt>
              </c:strCache>
            </c:strRef>
          </c:tx>
          <c:spPr>
            <a:solidFill>
              <a:schemeClr val="accent2">
                <a:lumMod val="60000"/>
              </a:schemeClr>
            </a:solidFill>
            <a:ln>
              <a:noFill/>
            </a:ln>
            <a:effectLst/>
          </c:spPr>
          <c:invertIfNegative val="0"/>
          <c:dLbls>
            <c:dLbl>
              <c:idx val="0"/>
              <c:delete val="1"/>
            </c:dLbl>
            <c:dLbl>
              <c:idx val="1"/>
              <c:delete val="1"/>
            </c:dLbl>
            <c:dLbl>
              <c:idx val="2"/>
              <c:delete val="1"/>
            </c:dLbl>
            <c:dLbl>
              <c:idx val="3"/>
              <c:delete val="1"/>
            </c:dLbl>
            <c:dLbl>
              <c:idx val="4"/>
              <c:delete val="1"/>
            </c:dLbl>
            <c:dLbl>
              <c:idx val="5"/>
              <c:delete val="1"/>
            </c:dLbl>
            <c:dLbl>
              <c:idx val="6"/>
              <c:delete val="1"/>
            </c:dLbl>
            <c:dLbl>
              <c:idx val="7"/>
              <c:delete val="1"/>
            </c:dLbl>
            <c:dLbl>
              <c:idx val="8"/>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sz="800">
                        <a:solidFill>
                          <a:schemeClr val="bg1"/>
                        </a:solidFill>
                      </a:rPr>
                      <a:t>接口</a:t>
                    </a:r>
                    <a:endParaRPr sz="800">
                      <a:solidFill>
                        <a:schemeClr val="bg1"/>
                      </a:solidFill>
                    </a:endParaRPr>
                  </a:p>
                </c:rich>
              </c:tx>
              <c:dLblPos val="ctr"/>
              <c:showLegendKey val="0"/>
              <c:showVal val="1"/>
              <c:showCatName val="0"/>
              <c:showSerName val="0"/>
              <c:showPercent val="0"/>
              <c:showBubbleSize val="0"/>
              <c:extLst>
                <c:ext xmlns:c15="http://schemas.microsoft.com/office/drawing/2012/chart" uri="{CE6537A1-D6FC-4f65-9D91-7224C49458BB}"/>
              </c:extLst>
            </c:dLbl>
            <c:dLbl>
              <c:idx val="9"/>
              <c:delete val="1"/>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ct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Sheet1!$I$2:$I$11</c:f>
              <c:numCache>
                <c:formatCode>General</c:formatCode>
                <c:ptCount val="10"/>
                <c:pt idx="0">
                  <c:v>0</c:v>
                </c:pt>
                <c:pt idx="1">
                  <c:v>0</c:v>
                </c:pt>
                <c:pt idx="2">
                  <c:v>1</c:v>
                </c:pt>
                <c:pt idx="3">
                  <c:v>0</c:v>
                </c:pt>
                <c:pt idx="4">
                  <c:v>0</c:v>
                </c:pt>
                <c:pt idx="5">
                  <c:v>0</c:v>
                </c:pt>
                <c:pt idx="6">
                  <c:v>0</c:v>
                </c:pt>
                <c:pt idx="7">
                  <c:v>0</c:v>
                </c:pt>
                <c:pt idx="8">
                  <c:v>1</c:v>
                </c:pt>
                <c:pt idx="9">
                  <c:v>0</c:v>
                </c:pt>
              </c:numCache>
            </c:numRef>
          </c:val>
        </c:ser>
        <c:ser>
          <c:idx val="8"/>
          <c:order val="8"/>
          <c:tx>
            <c:strRef>
              <c:f>Sheet1!$J$1</c:f>
              <c:strCache>
                <c:ptCount val="1"/>
                <c:pt idx="0">
                  <c:v>测试环境</c:v>
                </c:pt>
              </c:strCache>
            </c:strRef>
          </c:tx>
          <c:spPr>
            <a:solidFill>
              <a:schemeClr val="accent3">
                <a:lumMod val="60000"/>
              </a:schemeClr>
            </a:solidFill>
            <a:ln>
              <a:noFill/>
            </a:ln>
            <a:effectLst/>
          </c:spPr>
          <c:invertIfNegative val="0"/>
          <c:dLbls>
            <c:delete val="1"/>
          </c:dLbls>
          <c:cat>
            <c:numRef>
              <c:f>Sheet1!$A$2:$A$11</c:f>
              <c:numCache>
                <c:formatCode>General</c:formatCode>
                <c:ptCount val="10"/>
                <c:pt idx="0">
                  <c:v>100</c:v>
                </c:pt>
                <c:pt idx="1">
                  <c:v>102</c:v>
                </c:pt>
                <c:pt idx="2">
                  <c:v>104</c:v>
                </c:pt>
                <c:pt idx="3">
                  <c:v>106</c:v>
                </c:pt>
                <c:pt idx="4">
                  <c:v>122</c:v>
                </c:pt>
                <c:pt idx="5">
                  <c:v>124</c:v>
                </c:pt>
                <c:pt idx="6">
                  <c:v>130</c:v>
                </c:pt>
                <c:pt idx="7">
                  <c:v>138</c:v>
                </c:pt>
                <c:pt idx="8">
                  <c:v>140</c:v>
                </c:pt>
                <c:pt idx="9">
                  <c:v>190</c:v>
                </c:pt>
              </c:numCache>
            </c:numRef>
          </c:cat>
          <c:val>
            <c:numRef>
              <c:f>Sheet1!$J$2:$J$11</c:f>
              <c:numCache>
                <c:formatCode>General</c:formatCode>
                <c:ptCount val="10"/>
                <c:pt idx="0">
                  <c:v>0</c:v>
                </c:pt>
                <c:pt idx="1">
                  <c:v>0</c:v>
                </c:pt>
                <c:pt idx="2">
                  <c:v>0</c:v>
                </c:pt>
                <c:pt idx="3">
                  <c:v>0</c:v>
                </c:pt>
                <c:pt idx="4">
                  <c:v>0</c:v>
                </c:pt>
                <c:pt idx="5">
                  <c:v>0</c:v>
                </c:pt>
                <c:pt idx="6">
                  <c:v>0</c:v>
                </c:pt>
                <c:pt idx="7">
                  <c:v>0</c:v>
                </c:pt>
                <c:pt idx="8">
                  <c:v>0</c:v>
                </c:pt>
                <c:pt idx="9">
                  <c:v>1</c:v>
                </c:pt>
              </c:numCache>
            </c:numRef>
          </c:val>
        </c:ser>
        <c:dLbls>
          <c:showLegendKey val="0"/>
          <c:showVal val="0"/>
          <c:showCatName val="0"/>
          <c:showSerName val="0"/>
          <c:showPercent val="0"/>
          <c:showBubbleSize val="0"/>
        </c:dLbls>
        <c:gapWidth val="75"/>
        <c:overlap val="100"/>
        <c:axId val="399724097"/>
        <c:axId val="855663345"/>
      </c:barChart>
      <c:catAx>
        <c:axId val="399724097"/>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t>服务器</a:t>
                </a:r>
                <a:r>
                  <a:t>列表</a:t>
                </a:r>
              </a:p>
            </c:rich>
          </c:tx>
          <c:layout/>
          <c:overlay val="0"/>
          <c:spPr>
            <a:noFill/>
            <a:ln>
              <a:noFill/>
            </a:ln>
            <a:effectLst/>
          </c:sp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55663345"/>
        <c:crosses val="autoZero"/>
        <c:auto val="1"/>
        <c:lblAlgn val="ctr"/>
        <c:lblOffset val="100"/>
        <c:noMultiLvlLbl val="0"/>
      </c:catAx>
      <c:valAx>
        <c:axId val="855663345"/>
        <c:scaling>
          <c:orientation val="minMax"/>
          <c:max val="5"/>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99724097"/>
        <c:crosses val="autoZero"/>
        <c:crossBetween val="between"/>
        <c:majorUnit val="1"/>
      </c:valAx>
      <c:spPr>
        <a:noFill/>
        <a:ln>
          <a:noFill/>
        </a:ln>
        <a:effectLst/>
      </c:spPr>
    </c:plotArea>
    <c:legend>
      <c:legendPos val="r"/>
      <c:layout>
        <c:manualLayout>
          <c:xMode val="edge"/>
          <c:yMode val="edge"/>
          <c:x val="0.879707363876229"/>
          <c:y val="0.153344208809135"/>
          <c:w val="0.105900695610458"/>
          <c:h val="0.693583469276781"/>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doughnutChart>
        <c:varyColors val="1"/>
        <c:ser>
          <c:idx val="0"/>
          <c:order val="0"/>
          <c:tx>
            <c:strRef>
              <c:f>Sheet1!$B$1</c:f>
              <c:strCache>
                <c:ptCount val="1"/>
                <c:pt idx="0">
                  <c:v>平台接口数量</c:v>
                </c:pt>
              </c:strCache>
            </c:strRef>
          </c:tx>
          <c:spPr/>
          <c:explosion val="0"/>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Lbls>
            <c:dLbl>
              <c:idx val="0"/>
              <c:layout>
                <c:manualLayout>
                  <c:x val="0.141059108995413"/>
                  <c:y val="-0.112911998632727"/>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193</a:t>
                    </a:r>
                    <a:r>
                      <a:t>个</a:t>
                    </a:r>
                  </a:p>
                </c:rich>
              </c:tx>
              <c:showLegendKey val="0"/>
              <c:showVal val="1"/>
              <c:showCatName val="0"/>
              <c:showSerName val="0"/>
              <c:showPercent val="0"/>
              <c:showBubbleSize val="0"/>
              <c:extLst>
                <c:ext xmlns:c15="http://schemas.microsoft.com/office/drawing/2012/chart" uri="{CE6537A1-D6FC-4f65-9D91-7224C49458BB}">
                  <c15:layout/>
                </c:ext>
              </c:extLst>
            </c:dLbl>
            <c:dLbl>
              <c:idx val="1"/>
              <c:layout>
                <c:manualLayout>
                  <c:x val="-0.163624690057132"/>
                  <c:y val="0.0764931730945759"/>
                </c:manualLayout>
              </c:layout>
              <c:tx>
                <c:rich>
                  <a:bodyPr rot="0" spcFirstLastPara="0" vertOverflow="ellipsis" vert="horz" wrap="square" lIns="38100" tIns="19050" rIns="38100" bIns="19050" anchor="ctr" anchorCtr="1"/>
                  <a:lstStyle/>
                  <a:p>
                    <a:pPr defTabSz="914400">
                      <a:defRPr lang="zh-CN" sz="900" b="0" i="0" u="none" strike="noStrike" kern="1200" baseline="0">
                        <a:solidFill>
                          <a:schemeClr val="tx1">
                            <a:lumMod val="75000"/>
                            <a:lumOff val="25000"/>
                          </a:schemeClr>
                        </a:solidFill>
                        <a:latin typeface="+mn-lt"/>
                        <a:ea typeface="+mn-ea"/>
                        <a:cs typeface="+mn-cs"/>
                      </a:defRPr>
                    </a:pPr>
                    <a:r>
                      <a:rPr lang="en-US" altLang="zh-CN"/>
                      <a:t>1144</a:t>
                    </a:r>
                    <a:r>
                      <a:t>个</a:t>
                    </a:r>
                  </a:p>
                </c:rich>
              </c:tx>
              <c:showLegendKey val="0"/>
              <c:showVal val="1"/>
              <c:showCatName val="0"/>
              <c:showSerName val="0"/>
              <c:showPercent val="0"/>
              <c:showBubbleSize val="0"/>
              <c:extLst>
                <c:ext xmlns:c15="http://schemas.microsoft.com/office/drawing/2012/chart" uri="{CE6537A1-D6FC-4f65-9D91-7224C49458BB}">
                  <c15:layout/>
                </c:ext>
              </c:extLst>
            </c:dLbl>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showLegendKey val="0"/>
            <c:showVal val="1"/>
            <c:showCatName val="0"/>
            <c:showSerName val="0"/>
            <c:showPercent val="0"/>
            <c:showBubbleSize val="0"/>
            <c:showLeaderLines val="1"/>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对内接口</c:v>
                </c:pt>
                <c:pt idx="1">
                  <c:v>对内/外接口</c:v>
                </c:pt>
              </c:strCache>
            </c:strRef>
          </c:cat>
          <c:val>
            <c:numRef>
              <c:f>Sheet1!$B$2:$B$3</c:f>
              <c:numCache>
                <c:formatCode>General</c:formatCode>
                <c:ptCount val="2"/>
                <c:pt idx="0">
                  <c:v>193</c:v>
                </c:pt>
                <c:pt idx="1">
                  <c:v>1144</c:v>
                </c:pt>
              </c:numCache>
            </c:numRef>
          </c:val>
        </c:ser>
        <c:dLbls>
          <c:showLegendKey val="0"/>
          <c:showVal val="1"/>
          <c:showCatName val="0"/>
          <c:showSerName val="0"/>
          <c:showPercent val="0"/>
          <c:showBubbleSize val="0"/>
          <c:showLeaderLines val="1"/>
        </c:dLbls>
        <c:firstSliceAng val="0"/>
        <c:holeSize val="75"/>
      </c:doughnutChart>
      <c:spPr>
        <a:noFill/>
        <a:ln>
          <a:noFill/>
        </a:ln>
        <a:effectLst/>
      </c:spPr>
    </c:plotArea>
    <c:legend>
      <c:legendPos val="b"/>
      <c:layout>
        <c:manualLayout>
          <c:xMode val="edge"/>
          <c:yMode val="edge"/>
          <c:x val="0.250543609567528"/>
          <c:y val="0.844609906118485"/>
        </c:manualLayout>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1031</Words>
  <Characters>2145</Characters>
  <Lines>0</Lines>
  <Paragraphs>0</Paragraphs>
  <TotalTime>12</TotalTime>
  <ScaleCrop>false</ScaleCrop>
  <LinksUpToDate>false</LinksUpToDate>
  <CharactersWithSpaces>2195</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2024-08-27T01:06:00Z</dcterms:created>
  <dc:creator>15384630823</dc:creator>
  <cp:lastModifiedBy>15384630823</cp:lastModifiedBy>
  <dcterms:modified xsi:type="dcterms:W3CDTF">2024-08-28T02:36:24Z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CDB143A33DD94B70929C0AD175930C8D_13</vt:lpwstr>
  </property>
</Properties>
</file>