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0" w:lineRule="exact" w:before="1058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b/>
          <w:color w:val="000000"/>
          <w:sz w:val="26"/>
        </w:rPr>
        <w:t>HOUSE OF PRACTICE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exact" w:before="156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b/>
          <w:color w:val="000000"/>
          <w:sz w:val="26"/>
        </w:rPr>
        <w:t>ROUND ONE</w:t>
      </w:r>
    </w:p>
    <w:p>
      <w:pPr>
        <w:autoSpaceDN w:val="0"/>
        <w:tabs>
          <w:tab w:pos="5056" w:val="left"/>
        </w:tabs>
        <w:autoSpaceDE w:val="0"/>
        <w:widowControl/>
        <w:spacing w:line="616" w:lineRule="exact" w:before="36" w:after="0"/>
        <w:ind w:left="1410" w:right="1584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46"/>
        </w:rPr>
        <w:t xml:space="preserve">FINANCIAL TRANSACTION CYBERSECURITY </w:t>
      </w:r>
      <w:r>
        <w:br/>
      </w:r>
      <w:r>
        <w:tab/>
      </w:r>
      <w:r>
        <w:rPr>
          <w:spacing w:val="-10"/>
          <w:rFonts w:ascii="Roboto Regular" w:hAnsi="Roboto Regular" w:eastAsia="Roboto Regular"/>
          <w:b/>
          <w:color w:val="000000"/>
          <w:sz w:val="46"/>
        </w:rPr>
        <w:t>ANALYSIS</w:t>
      </w:r>
    </w:p>
    <w:p>
      <w:pPr>
        <w:autoSpaceDN w:val="0"/>
        <w:autoSpaceDE w:val="0"/>
        <w:widowControl/>
        <w:spacing w:line="218" w:lineRule="exact" w:before="366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b/>
          <w:color w:val="000000"/>
          <w:sz w:val="30"/>
        </w:rPr>
        <w:t>Victor Xorse</w:t>
      </w:r>
    </w:p>
    <w:p>
      <w:pPr>
        <w:autoSpaceDN w:val="0"/>
        <w:tabs>
          <w:tab w:pos="6120" w:val="left"/>
        </w:tabs>
        <w:autoSpaceDE w:val="0"/>
        <w:widowControl/>
        <w:spacing w:line="184" w:lineRule="exact" w:before="346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Full Name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Victor Xorse</w:t>
      </w:r>
    </w:p>
    <w:p>
      <w:pPr>
        <w:autoSpaceDN w:val="0"/>
        <w:tabs>
          <w:tab w:pos="6120" w:val="left"/>
        </w:tabs>
        <w:autoSpaceDE w:val="0"/>
        <w:widowControl/>
        <w:spacing w:line="230" w:lineRule="exact" w:before="174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Selected Track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Cybersecurity</w:t>
      </w:r>
    </w:p>
    <w:p>
      <w:pPr>
        <w:autoSpaceDN w:val="0"/>
        <w:tabs>
          <w:tab w:pos="6120" w:val="left"/>
        </w:tabs>
        <w:autoSpaceDE w:val="0"/>
        <w:widowControl/>
        <w:spacing w:line="232" w:lineRule="exact" w:before="174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Project Title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Transaction Threat Detection and Fraud Risk</w:t>
      </w:r>
    </w:p>
    <w:p>
      <w:pPr>
        <w:autoSpaceDN w:val="0"/>
        <w:autoSpaceDE w:val="0"/>
        <w:widowControl/>
        <w:spacing w:line="172" w:lineRule="exact" w:before="64" w:after="0"/>
        <w:ind w:left="0" w:right="4792" w:firstLine="0"/>
        <w:jc w:val="right"/>
      </w:pPr>
      <w:r>
        <w:rPr>
          <w:spacing w:val="-10"/>
          <w:rFonts w:ascii="Roboto Regular" w:hAnsi="Roboto Regular" w:eastAsia="Roboto Regular"/>
          <w:color w:val="000000"/>
          <w:sz w:val="24"/>
        </w:rPr>
        <w:t>Assessment</w:t>
      </w:r>
    </w:p>
    <w:p>
      <w:pPr>
        <w:autoSpaceDN w:val="0"/>
        <w:tabs>
          <w:tab w:pos="6120" w:val="left"/>
        </w:tabs>
        <w:autoSpaceDE w:val="0"/>
        <w:widowControl/>
        <w:spacing w:line="234" w:lineRule="exact" w:before="218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Primary Work Link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Self-contained submission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4" w:lineRule="exact" w:before="1568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40"/>
        </w:rPr>
        <w:t>Executive Summary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30" w:lineRule="exact" w:before="618" w:after="0"/>
        <w:ind w:left="1064" w:right="288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32"/>
        </w:rPr>
        <w:t xml:space="preserve">I treated the fictional transaction dataset as a fraud and anomaly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 xml:space="preserve">detection exercise. I first checked the data for quality issues, then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 xml:space="preserve">compared risk scores with transaction amounts, frequency, device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 xml:space="preserve">changes, failed attempts, channels, and locations. The goal was to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 xml:space="preserve">identify patterns that would justify further investigation, not to label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>customers as fraudsters/threat actors.</w:t>
      </w:r>
    </w:p>
    <w:p>
      <w:pPr>
        <w:autoSpaceDN w:val="0"/>
        <w:autoSpaceDE w:val="0"/>
        <w:widowControl/>
        <w:spacing w:line="428" w:lineRule="exact" w:before="28" w:after="0"/>
        <w:ind w:left="1064" w:right="72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32"/>
        </w:rPr>
        <w:t xml:space="preserve">Transactions with risk scores of 80 or above made up 20.5% of the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>dataset, with 237 of these transactions still recorded as successful.</w:t>
      </w:r>
    </w:p>
    <w:p>
      <w:pPr>
        <w:autoSpaceDN w:val="0"/>
        <w:autoSpaceDE w:val="0"/>
        <w:widowControl/>
        <w:spacing w:line="434" w:lineRule="exact" w:before="16" w:after="0"/>
        <w:ind w:left="1064" w:right="144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32"/>
        </w:rPr>
        <w:t xml:space="preserve">This suggests a gap between risk detection and transaction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>prevention. High-risk activity should trigger controls such as</w:t>
      </w:r>
    </w:p>
    <w:p>
      <w:pPr>
        <w:autoSpaceDN w:val="0"/>
        <w:autoSpaceDE w:val="0"/>
        <w:widowControl/>
        <w:spacing w:line="264" w:lineRule="exact" w:before="86" w:after="0"/>
        <w:ind w:left="1064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32"/>
        </w:rPr>
        <w:t>additional authentication or review.</w:t>
      </w:r>
    </w:p>
    <w:p>
      <w:pPr>
        <w:autoSpaceDN w:val="0"/>
        <w:autoSpaceDE w:val="0"/>
        <w:widowControl/>
        <w:spacing w:line="432" w:lineRule="exact" w:before="86" w:after="0"/>
        <w:ind w:left="1064" w:right="72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32"/>
        </w:rPr>
        <w:t xml:space="preserve">Transaction velocity, failed attempts, and device changes were the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 xml:space="preserve">strongest supporting indicators. CUST0099 also stood out due to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 xml:space="preserve">repeated high-risk activity across different devices, channels,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 xml:space="preserve">regions, and failed attempts. I would treat this as an investigation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>lead rather than proof of compromise.</w:t>
      </w:r>
    </w:p>
    <w:p>
      <w:pPr>
        <w:autoSpaceDN w:val="0"/>
        <w:autoSpaceDE w:val="0"/>
        <w:widowControl/>
        <w:spacing w:line="436" w:lineRule="exact" w:before="0" w:after="0"/>
        <w:ind w:left="1064" w:right="432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32"/>
        </w:rPr>
        <w:t xml:space="preserve">The analysis has limitations because the dataset is fictional and has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 xml:space="preserve">no confirmed fraud labels. Missing fields such as IP addresses,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 xml:space="preserve">authentication details, beneficiary history, and confirmed outcomes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>also limit the investigation.</w:t>
      </w:r>
    </w:p>
    <w:p>
      <w:pPr>
        <w:autoSpaceDN w:val="0"/>
        <w:autoSpaceDE w:val="0"/>
        <w:widowControl/>
        <w:spacing w:line="432" w:lineRule="exact" w:before="0" w:after="0"/>
        <w:ind w:left="1064" w:right="288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32"/>
        </w:rPr>
        <w:t xml:space="preserve">I recommend layered controls that combine risk scores with velocity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 xml:space="preserve">limits, device alerts, step-up authentication, temporary holds, and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 xml:space="preserve">analyst review. The next step would be to test these controls against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 xml:space="preserve">confirmed fraud and legitimate transactions to measure false </w:t>
      </w:r>
      <w:r>
        <w:br/>
      </w:r>
      <w:r>
        <w:rPr>
          <w:spacing w:val="-10"/>
          <w:rFonts w:ascii="Merriweather" w:hAnsi="Merriweather" w:eastAsia="Merriweather"/>
          <w:color w:val="000000"/>
          <w:sz w:val="32"/>
        </w:rPr>
        <w:t>positives, missed attacks, and response time.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2" w:lineRule="exact" w:before="1488" w:after="0"/>
        <w:ind w:left="1080" w:right="1728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 xml:space="preserve">1. Purpose and Scope </w:t>
      </w:r>
      <w:r>
        <w:br/>
      </w:r>
      <w:r>
        <w:rPr>
          <w:spacing w:val="-10"/>
          <w:rFonts w:ascii="Merriweather" w:hAnsi="Merriweather" w:eastAsia="Merriweather"/>
          <w:color w:val="000000"/>
          <w:sz w:val="24"/>
        </w:rPr>
        <w:t>The purpose of this analysis was to examine fictional financial transactions for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exact" w:before="0" w:after="0"/>
        <w:ind w:left="1080" w:right="216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 xml:space="preserve">signs of potentially suspicious activity and to suggest practical controls that </w:t>
      </w:r>
      <w:r>
        <w:br/>
      </w:r>
      <w:r>
        <w:rPr>
          <w:spacing w:val="-10"/>
          <w:rFonts w:ascii="Merriweather" w:hAnsi="Merriweather" w:eastAsia="Merriweather"/>
          <w:color w:val="000000"/>
          <w:sz w:val="24"/>
        </w:rPr>
        <w:t>could help a security team prioritise investigations.</w:t>
      </w:r>
    </w:p>
    <w:p>
      <w:pPr>
        <w:autoSpaceDN w:val="0"/>
        <w:autoSpaceDE w:val="0"/>
        <w:widowControl/>
        <w:spacing w:line="248" w:lineRule="exact" w:before="268" w:after="0"/>
        <w:ind w:left="1064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2. Data Review</w:t>
      </w:r>
    </w:p>
    <w:p>
      <w:pPr>
        <w:autoSpaceDN w:val="0"/>
        <w:autoSpaceDE w:val="0"/>
        <w:widowControl/>
        <w:spacing w:line="254" w:lineRule="exact" w:before="236" w:after="0"/>
        <w:ind w:left="1012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>The dataset contains 1,500 transactions. I reviewed the structure, timestamps,</w:t>
      </w:r>
    </w:p>
    <w:p>
      <w:pPr>
        <w:autoSpaceDN w:val="0"/>
        <w:autoSpaceDE w:val="0"/>
        <w:widowControl/>
        <w:spacing w:line="302" w:lineRule="exact" w:before="32" w:after="0"/>
        <w:ind w:left="1012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>transaction outcomes, risk scores and behavioural fields before looking for</w:t>
      </w:r>
    </w:p>
    <w:p>
      <w:pPr>
        <w:autoSpaceDN w:val="0"/>
        <w:autoSpaceDE w:val="0"/>
        <w:widowControl/>
        <w:spacing w:line="226" w:lineRule="exact" w:before="92" w:after="0"/>
        <w:ind w:left="1012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>patterns.</w:t>
      </w:r>
    </w:p>
    <w:p>
      <w:pPr>
        <w:autoSpaceDN w:val="0"/>
        <w:autoSpaceDE w:val="0"/>
        <w:widowControl/>
        <w:spacing w:line="300" w:lineRule="exact" w:before="32" w:after="0"/>
        <w:ind w:left="1012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>The main fields used were amount, transaction type, channel, region, device ID,</w:t>
      </w:r>
    </w:p>
    <w:p>
      <w:pPr>
        <w:autoSpaceDN w:val="0"/>
        <w:autoSpaceDE w:val="0"/>
        <w:widowControl/>
        <w:spacing w:line="264" w:lineRule="exact" w:before="62" w:after="0"/>
        <w:ind w:left="1012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>status, one-hour transaction velocity, device changes, failed attempts and risk</w:t>
      </w:r>
    </w:p>
    <w:p>
      <w:pPr>
        <w:autoSpaceDN w:val="0"/>
        <w:autoSpaceDE w:val="0"/>
        <w:widowControl/>
        <w:spacing w:line="140" w:lineRule="exact" w:before="124" w:after="0"/>
        <w:ind w:left="1012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>score.</w:t>
      </w:r>
    </w:p>
    <w:p>
      <w:pPr>
        <w:autoSpaceDN w:val="0"/>
        <w:autoSpaceDE w:val="0"/>
        <w:widowControl/>
        <w:spacing w:line="326" w:lineRule="exact" w:before="306" w:after="0"/>
        <w:ind w:left="1012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3. Analysis Method</w:t>
      </w:r>
    </w:p>
    <w:p>
      <w:pPr>
        <w:autoSpaceDN w:val="0"/>
        <w:autoSpaceDE w:val="0"/>
        <w:widowControl/>
        <w:spacing w:line="264" w:lineRule="exact" w:before="112" w:after="0"/>
        <w:ind w:left="998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>I checked the data for missing values and inconsistent field types.</w:t>
      </w:r>
    </w:p>
    <w:p>
      <w:pPr>
        <w:autoSpaceDN w:val="0"/>
        <w:autoSpaceDE w:val="0"/>
        <w:widowControl/>
        <w:spacing w:line="404" w:lineRule="exact" w:before="0" w:after="0"/>
        <w:ind w:left="998" w:right="2304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 xml:space="preserve">I grouped transactions by risk level and examined the high-risk group in more detail. </w:t>
      </w:r>
      <w:r>
        <w:br/>
      </w:r>
      <w:r>
        <w:rPr>
          <w:spacing w:val="-10"/>
          <w:rFonts w:ascii="Merriweather" w:hAnsi="Merriweather" w:eastAsia="Merriweather"/>
          <w:color w:val="000000"/>
          <w:sz w:val="21"/>
        </w:rPr>
        <w:t xml:space="preserve">I compared risk with behavioural indicators rather than relying on risk score alone. </w:t>
      </w:r>
      <w:r>
        <w:br/>
      </w:r>
      <w:r>
        <w:rPr>
          <w:spacing w:val="-10"/>
          <w:rFonts w:ascii="Merriweather" w:hAnsi="Merriweather" w:eastAsia="Merriweather"/>
          <w:color w:val="000000"/>
          <w:sz w:val="21"/>
        </w:rPr>
        <w:t>I reviewed patterns by customer, channel and region.</w:t>
      </w:r>
    </w:p>
    <w:p>
      <w:pPr>
        <w:autoSpaceDN w:val="0"/>
        <w:autoSpaceDE w:val="0"/>
        <w:widowControl/>
        <w:spacing w:line="232" w:lineRule="exact" w:before="174" w:after="0"/>
        <w:ind w:left="998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>I separated investigation leads from conclusions about actual fraud.</w:t>
      </w:r>
    </w:p>
    <w:p>
      <w:pPr>
        <w:autoSpaceDN w:val="0"/>
        <w:autoSpaceDE w:val="0"/>
        <w:widowControl/>
        <w:spacing w:line="326" w:lineRule="exact" w:before="346" w:after="0"/>
        <w:ind w:left="1028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4. Findings</w:t>
      </w:r>
    </w:p>
    <w:p>
      <w:pPr>
        <w:autoSpaceDN w:val="0"/>
        <w:autoSpaceDE w:val="0"/>
        <w:widowControl/>
        <w:spacing w:line="230" w:lineRule="exact" w:before="122" w:after="0"/>
        <w:ind w:left="976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>308 transactions, or 20.5%, had a risk score of 80 or higher.</w:t>
      </w:r>
    </w:p>
    <w:p>
      <w:pPr>
        <w:autoSpaceDN w:val="0"/>
        <w:autoSpaceDE w:val="0"/>
        <w:widowControl/>
        <w:spacing w:line="230" w:lineRule="exact" w:before="174" w:after="0"/>
        <w:ind w:left="976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>237 high-risk transactions were successful, with a combined value of GHS 55,282.48.</w:t>
      </w:r>
    </w:p>
    <w:p>
      <w:pPr>
        <w:autoSpaceDN w:val="0"/>
        <w:autoSpaceDE w:val="0"/>
        <w:widowControl/>
        <w:spacing w:line="228" w:lineRule="exact" w:before="178" w:after="0"/>
        <w:ind w:left="976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>CUST0099 showed repeated high-risk activity and deserves account-level review.</w:t>
      </w:r>
    </w:p>
    <w:p>
      <w:pPr>
        <w:autoSpaceDN w:val="0"/>
        <w:autoSpaceDE w:val="0"/>
        <w:widowControl/>
        <w:spacing w:line="230" w:lineRule="exact" w:before="174" w:after="0"/>
        <w:ind w:left="976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>Velocity, failed attempts and device changes provided useful supporting context.</w:t>
      </w:r>
    </w:p>
    <w:p>
      <w:pPr>
        <w:autoSpaceDN w:val="0"/>
        <w:autoSpaceDE w:val="0"/>
        <w:widowControl/>
        <w:spacing w:line="264" w:lineRule="exact" w:before="142" w:after="0"/>
        <w:ind w:left="976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>Missing data reduces confidence in some automated detection rules.</w:t>
      </w:r>
    </w:p>
    <w:p>
      <w:pPr>
        <w:autoSpaceDN w:val="0"/>
        <w:autoSpaceDE w:val="0"/>
        <w:widowControl/>
        <w:spacing w:line="326" w:lineRule="exact" w:before="292" w:after="0"/>
        <w:ind w:left="1012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5. Security Recommendations</w:t>
      </w:r>
    </w:p>
    <w:p>
      <w:pPr>
        <w:autoSpaceDN w:val="0"/>
        <w:autoSpaceDE w:val="0"/>
        <w:widowControl/>
        <w:spacing w:line="230" w:lineRule="exact" w:before="212" w:after="0"/>
        <w:ind w:left="960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>Use step-up authentication for high-risk transactions.</w:t>
      </w:r>
    </w:p>
    <w:p>
      <w:pPr>
        <w:autoSpaceDN w:val="0"/>
        <w:autoSpaceDE w:val="0"/>
        <w:widowControl/>
        <w:spacing w:line="226" w:lineRule="exact" w:before="174" w:after="0"/>
        <w:ind w:left="960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>Monitor transaction velocity and repeated failed attempts.</w:t>
      </w:r>
    </w:p>
    <w:p>
      <w:pPr>
        <w:autoSpaceDN w:val="0"/>
        <w:autoSpaceDE w:val="0"/>
        <w:widowControl/>
        <w:spacing w:line="404" w:lineRule="exact" w:before="6" w:after="0"/>
        <w:ind w:left="960" w:right="3888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 xml:space="preserve">Alert on unusual device changes, especially when combined with other </w:t>
      </w:r>
      <w:r>
        <w:br/>
      </w:r>
      <w:r>
        <w:rPr>
          <w:spacing w:val="-10"/>
          <w:rFonts w:ascii="Merriweather" w:hAnsi="Merriweather" w:eastAsia="Merriweather"/>
          <w:color w:val="000000"/>
          <w:sz w:val="21"/>
        </w:rPr>
        <w:t>risk signals.Prioritise repeated suspicious behaviour at account level.</w:t>
      </w:r>
    </w:p>
    <w:p>
      <w:pPr>
        <w:autoSpaceDN w:val="0"/>
        <w:autoSpaceDE w:val="0"/>
        <w:widowControl/>
        <w:spacing w:line="224" w:lineRule="exact" w:before="178" w:after="0"/>
        <w:ind w:left="960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>Keep an audit trail that allows analysts to reconstruct the event.</w:t>
      </w:r>
    </w:p>
    <w:p>
      <w:pPr>
        <w:autoSpaceDN w:val="0"/>
        <w:autoSpaceDE w:val="0"/>
        <w:widowControl/>
        <w:spacing w:line="264" w:lineRule="exact" w:before="146" w:after="0"/>
        <w:ind w:left="960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>Measure detection performance using confirmed legitimate and</w:t>
      </w:r>
    </w:p>
    <w:p>
      <w:pPr>
        <w:autoSpaceDN w:val="0"/>
        <w:autoSpaceDE w:val="0"/>
        <w:widowControl/>
        <w:spacing w:line="176" w:lineRule="exact" w:before="174" w:after="0"/>
        <w:ind w:left="960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>fraudulent cases.</w:t>
      </w:r>
    </w:p>
    <w:p>
      <w:pPr>
        <w:autoSpaceDN w:val="0"/>
        <w:autoSpaceDE w:val="0"/>
        <w:widowControl/>
        <w:spacing w:line="248" w:lineRule="exact" w:before="206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6. Limitations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6" w:lineRule="exact" w:before="1000" w:after="0"/>
        <w:ind w:left="1080" w:right="1728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This is fictional data and contains no confirmed fraud outcome. The analysis therefore </w:t>
      </w:r>
      <w:r>
        <w:br/>
      </w:r>
      <w:r>
        <w:rPr>
          <w:spacing w:val="-10"/>
          <w:rFonts w:ascii="Roboto Regular" w:hAnsi="Roboto Regular" w:eastAsia="Roboto Regular"/>
          <w:color w:val="000000"/>
          <w:sz w:val="24"/>
        </w:rPr>
        <w:t>identifies risk patterns rather than proving malicious activity. Missing fields and the short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exact" w:before="46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observation period also limit the conclusions.</w:t>
      </w:r>
    </w:p>
    <w:p>
      <w:pPr>
        <w:autoSpaceDN w:val="0"/>
        <w:autoSpaceDE w:val="0"/>
        <w:widowControl/>
        <w:spacing w:line="258" w:lineRule="exact" w:before="554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7. Evidence</w:t>
      </w:r>
    </w:p>
    <w:p>
      <w:pPr>
        <w:autoSpaceDN w:val="0"/>
        <w:autoSpaceDE w:val="0"/>
        <w:widowControl/>
        <w:spacing w:line="232" w:lineRule="exact" w:before="188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The following pages contain the supporting charts, transaction examples and investigation</w:t>
      </w:r>
    </w:p>
    <w:p>
      <w:pPr>
        <w:autoSpaceDN w:val="0"/>
        <w:autoSpaceDE w:val="0"/>
        <w:widowControl/>
        <w:spacing w:line="282" w:lineRule="exact" w:before="12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logic used to reach the findings.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8" w:lineRule="exact" w:before="1546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8. Risk Distribution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1473200</wp:posOffset>
            </wp:positionV>
            <wp:extent cx="5803900" cy="3486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4861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5676900</wp:posOffset>
            </wp:positionV>
            <wp:extent cx="5803900" cy="3479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47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exact" w:before="6172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Risk score distribution across the supplied transactions. Scores of 80 and above were treated</w:t>
      </w:r>
    </w:p>
    <w:p>
      <w:pPr>
        <w:autoSpaceDN w:val="0"/>
        <w:autoSpaceDE w:val="0"/>
        <w:widowControl/>
        <w:spacing w:line="230" w:lineRule="exact" w:before="56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as the main investigation group.</w:t>
      </w:r>
    </w:p>
    <w:p>
      <w:pPr>
        <w:autoSpaceDN w:val="0"/>
        <w:autoSpaceDE w:val="0"/>
        <w:widowControl/>
        <w:spacing w:line="326" w:lineRule="exact" w:before="44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9. Regional View</w:t>
      </w:r>
    </w:p>
    <w:p>
      <w:pPr>
        <w:autoSpaceDN w:val="0"/>
        <w:autoSpaceDE w:val="0"/>
        <w:widowControl/>
        <w:spacing w:line="232" w:lineRule="exact" w:before="5594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Share of transactions in each region that fall into the high-risk group.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8" w:lineRule="exact" w:before="1546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10. Channel View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1238250</wp:posOffset>
            </wp:positionV>
            <wp:extent cx="5803900" cy="3479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47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5662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>Number of high-risk transactions by transaction channel.</w:t>
      </w:r>
    </w:p>
    <w:p>
      <w:pPr>
        <w:autoSpaceDN w:val="0"/>
        <w:autoSpaceDE w:val="0"/>
        <w:widowControl/>
        <w:spacing w:line="326" w:lineRule="exact" w:before="552" w:after="122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11. Example High-Risk Transactions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" w:type="dxa"/>
      </w:tblPr>
      <w:tblGrid>
        <w:gridCol w:w="1660" w:type="dxa"/>
        <w:gridCol w:w="1280" w:type="dxa"/>
        <w:gridCol w:w="1160" w:type="dxa"/>
        <w:gridCol w:w="1100" w:type="dxa"/>
        <w:gridCol w:w="1440" w:type="dxa"/>
        <w:gridCol w:w="1160" w:type="dxa"/>
        <w:gridCol w:w="1340" w:type="dxa"/>
        <w:gridCol w:w="1600" w:type="dxa"/>
      </w:tblGrid>
      <w:tr>
        <w:trPr>
          <w:trHeight w:hRule="exact" w:val="320"/>
        </w:trPr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130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Transacti</w:t>
            </w:r>
          </w:p>
        </w:tc>
        <w:tc>
          <w:tcPr>
            <w:tcW w:type="dxa" w:w="1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Customer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Amount</w:t>
            </w:r>
          </w:p>
        </w:tc>
        <w:tc>
          <w:tcPr>
            <w:tcW w:type="dxa" w:w="1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22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Type</w:t>
            </w:r>
          </w:p>
        </w:tc>
        <w:tc>
          <w:tcPr>
            <w:tcW w:type="dxa" w:w="1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190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Channel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Status</w:t>
            </w:r>
          </w:p>
        </w:tc>
        <w:tc>
          <w:tcPr>
            <w:tcW w:type="dxa" w:w="1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30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Velocity</w:t>
            </w:r>
          </w:p>
        </w:tc>
        <w:tc>
          <w:tcPr>
            <w:tcW w:type="dxa" w:w="1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22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Risk</w:t>
            </w:r>
          </w:p>
        </w:tc>
      </w:tr>
    </w:tbl>
    <w:p>
      <w:pPr>
        <w:autoSpaceDN w:val="0"/>
        <w:tabs>
          <w:tab w:pos="3600" w:val="left"/>
        </w:tabs>
        <w:autoSpaceDE w:val="0"/>
        <w:widowControl/>
        <w:spacing w:line="162" w:lineRule="exact" w:before="0" w:after="164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on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GHS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" w:type="dxa"/>
      </w:tblPr>
      <w:tblGrid>
        <w:gridCol w:w="1660" w:type="dxa"/>
        <w:gridCol w:w="1260" w:type="dxa"/>
        <w:gridCol w:w="1120" w:type="dxa"/>
        <w:gridCol w:w="1400" w:type="dxa"/>
        <w:gridCol w:w="1060" w:type="dxa"/>
        <w:gridCol w:w="1480" w:type="dxa"/>
        <w:gridCol w:w="800" w:type="dxa"/>
        <w:gridCol w:w="1980" w:type="dxa"/>
      </w:tblGrid>
      <w:tr>
        <w:trPr>
          <w:trHeight w:hRule="exact" w:val="296"/>
        </w:trPr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11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TXN0002</w:t>
            </w:r>
          </w:p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CUST021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14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498.63</w:t>
            </w:r>
          </w:p>
        </w:tc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28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Cash-Out</w:t>
            </w:r>
          </w:p>
        </w:tc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14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USSD</w:t>
            </w:r>
          </w:p>
        </w:tc>
        <w:tc>
          <w:tcPr>
            <w:tcW w:type="dxa" w:w="14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34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SUCCESS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0" w:after="0"/>
              <w:ind w:left="12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5</w:t>
            </w:r>
          </w:p>
        </w:tc>
        <w:tc>
          <w:tcPr>
            <w:tcW w:type="dxa" w:w="1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93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99.0</w:t>
            </w:r>
          </w:p>
        </w:tc>
      </w:tr>
    </w:tbl>
    <w:p>
      <w:pPr>
        <w:autoSpaceDN w:val="0"/>
        <w:tabs>
          <w:tab w:pos="2340" w:val="left"/>
        </w:tabs>
        <w:autoSpaceDE w:val="0"/>
        <w:widowControl/>
        <w:spacing w:line="174" w:lineRule="exact" w:before="56" w:after="164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4"/>
        </w:rPr>
        <w:t xml:space="preserve">33 </w:t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4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" w:type="dxa"/>
      </w:tblPr>
      <w:tblGrid>
        <w:gridCol w:w="1660" w:type="dxa"/>
        <w:gridCol w:w="1260" w:type="dxa"/>
        <w:gridCol w:w="1120" w:type="dxa"/>
        <w:gridCol w:w="1060" w:type="dxa"/>
        <w:gridCol w:w="1460" w:type="dxa"/>
        <w:gridCol w:w="1280" w:type="dxa"/>
        <w:gridCol w:w="940" w:type="dxa"/>
        <w:gridCol w:w="1980" w:type="dxa"/>
      </w:tblGrid>
      <w:tr>
        <w:trPr>
          <w:trHeight w:hRule="exact" w:val="298"/>
        </w:trPr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11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TXN0002</w:t>
            </w:r>
          </w:p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CUST015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14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440.19</w:t>
            </w:r>
          </w:p>
        </w:tc>
        <w:tc>
          <w:tcPr>
            <w:tcW w:type="dxa" w:w="1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45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Bill</w:t>
            </w:r>
          </w:p>
        </w:tc>
        <w:tc>
          <w:tcPr>
            <w:tcW w:type="dxa" w:w="1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25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Mobile</w:t>
            </w:r>
          </w:p>
        </w:tc>
        <w:tc>
          <w:tcPr>
            <w:tcW w:type="dxa" w:w="1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FAILED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0" w:after="0"/>
              <w:ind w:left="0" w:right="54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4</w:t>
            </w:r>
          </w:p>
        </w:tc>
        <w:tc>
          <w:tcPr>
            <w:tcW w:type="dxa" w:w="1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93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99.0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" w:type="dxa"/>
      </w:tblPr>
      <w:tblGrid>
        <w:gridCol w:w="1300" w:type="dxa"/>
        <w:gridCol w:w="1820" w:type="dxa"/>
        <w:gridCol w:w="2300" w:type="dxa"/>
        <w:gridCol w:w="3420" w:type="dxa"/>
      </w:tblGrid>
      <w:tr>
        <w:trPr>
          <w:trHeight w:hRule="exact" w:val="340"/>
        </w:trPr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67</w:t>
            </w:r>
          </w:p>
        </w:tc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6" w:after="0"/>
              <w:ind w:left="0" w:right="118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2</w:t>
            </w:r>
          </w:p>
        </w:tc>
        <w:tc>
          <w:tcPr>
            <w:tcW w:type="dxa" w:w="2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" w:after="0"/>
              <w:ind w:left="0" w:right="158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Payment</w:t>
            </w:r>
          </w:p>
        </w:tc>
        <w:tc>
          <w:tcPr>
            <w:tcW w:type="dxa" w:w="3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16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App</w:t>
            </w: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" w:type="dxa"/>
      </w:tblPr>
      <w:tblGrid>
        <w:gridCol w:w="1660" w:type="dxa"/>
        <w:gridCol w:w="1260" w:type="dxa"/>
        <w:gridCol w:w="1120" w:type="dxa"/>
        <w:gridCol w:w="1300" w:type="dxa"/>
        <w:gridCol w:w="1160" w:type="dxa"/>
        <w:gridCol w:w="1460" w:type="dxa"/>
        <w:gridCol w:w="820" w:type="dxa"/>
        <w:gridCol w:w="1980" w:type="dxa"/>
      </w:tblGrid>
      <w:tr>
        <w:trPr>
          <w:trHeight w:hRule="exact" w:val="298"/>
        </w:trPr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11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TXN0002</w:t>
            </w:r>
          </w:p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CUST029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14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364.62</w:t>
            </w:r>
          </w:p>
        </w:tc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Cash-In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24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USSD</w:t>
            </w:r>
          </w:p>
        </w:tc>
        <w:tc>
          <w:tcPr>
            <w:tcW w:type="dxa" w:w="1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34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REVERSE</w:t>
            </w:r>
          </w:p>
        </w:tc>
        <w:tc>
          <w:tcPr>
            <w:tcW w:type="dxa" w:w="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0" w:after="0"/>
              <w:ind w:left="14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5</w:t>
            </w:r>
          </w:p>
        </w:tc>
        <w:tc>
          <w:tcPr>
            <w:tcW w:type="dxa" w:w="1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93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99.0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" w:type="dxa"/>
      </w:tblPr>
      <w:tblGrid>
        <w:gridCol w:w="1300" w:type="dxa"/>
        <w:gridCol w:w="3080" w:type="dxa"/>
        <w:gridCol w:w="4960" w:type="dxa"/>
      </w:tblGrid>
      <w:tr>
        <w:trPr>
          <w:trHeight w:hRule="exact" w:val="290"/>
        </w:trPr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46</w:t>
            </w:r>
          </w:p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6" w:after="0"/>
              <w:ind w:left="50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4</w:t>
            </w:r>
          </w:p>
        </w:tc>
        <w:tc>
          <w:tcPr>
            <w:tcW w:type="dxa" w:w="4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56" w:after="0"/>
              <w:ind w:left="0" w:right="234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D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" w:type="dxa"/>
      </w:tblPr>
      <w:tblGrid>
        <w:gridCol w:w="1660" w:type="dxa"/>
        <w:gridCol w:w="1260" w:type="dxa"/>
        <w:gridCol w:w="1120" w:type="dxa"/>
        <w:gridCol w:w="1160" w:type="dxa"/>
        <w:gridCol w:w="1360" w:type="dxa"/>
        <w:gridCol w:w="1420" w:type="dxa"/>
        <w:gridCol w:w="800" w:type="dxa"/>
        <w:gridCol w:w="1980" w:type="dxa"/>
      </w:tblGrid>
      <w:tr>
        <w:trPr>
          <w:trHeight w:hRule="exact" w:val="292"/>
        </w:trPr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11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TXN0011</w:t>
            </w:r>
          </w:p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CUST016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14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355.49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Bank</w:t>
            </w:r>
          </w:p>
        </w:tc>
        <w:tc>
          <w:tcPr>
            <w:tcW w:type="dxa" w:w="1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25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Mobile</w:t>
            </w:r>
          </w:p>
        </w:tc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28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SUCCESS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0" w:after="0"/>
              <w:ind w:left="12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5</w:t>
            </w:r>
          </w:p>
        </w:tc>
        <w:tc>
          <w:tcPr>
            <w:tcW w:type="dxa" w:w="1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93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99.0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" w:type="dxa"/>
      </w:tblPr>
      <w:tblGrid>
        <w:gridCol w:w="1300" w:type="dxa"/>
        <w:gridCol w:w="1820" w:type="dxa"/>
        <w:gridCol w:w="2260" w:type="dxa"/>
        <w:gridCol w:w="3460" w:type="dxa"/>
      </w:tblGrid>
      <w:tr>
        <w:trPr>
          <w:trHeight w:hRule="exact" w:val="342"/>
        </w:trPr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66</w:t>
            </w:r>
          </w:p>
        </w:tc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118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1</w:t>
            </w:r>
          </w:p>
        </w:tc>
        <w:tc>
          <w:tcPr>
            <w:tcW w:type="dxa" w:w="2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" w:after="0"/>
              <w:ind w:left="0" w:right="17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Transfer</w:t>
            </w:r>
          </w:p>
        </w:tc>
        <w:tc>
          <w:tcPr>
            <w:tcW w:type="dxa" w:w="3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20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App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" w:type="dxa"/>
      </w:tblPr>
      <w:tblGrid>
        <w:gridCol w:w="1660" w:type="dxa"/>
        <w:gridCol w:w="1260" w:type="dxa"/>
        <w:gridCol w:w="1120" w:type="dxa"/>
        <w:gridCol w:w="1120" w:type="dxa"/>
        <w:gridCol w:w="1400" w:type="dxa"/>
        <w:gridCol w:w="1280" w:type="dxa"/>
        <w:gridCol w:w="940" w:type="dxa"/>
        <w:gridCol w:w="1980" w:type="dxa"/>
      </w:tblGrid>
      <w:tr>
        <w:trPr>
          <w:trHeight w:hRule="exact" w:val="292"/>
        </w:trPr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11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TXN0004</w:t>
            </w:r>
          </w:p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CUST004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14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328.31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6" w:after="0"/>
              <w:ind w:left="28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P2P</w:t>
            </w:r>
          </w:p>
        </w:tc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25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Mobile</w:t>
            </w:r>
          </w:p>
        </w:tc>
        <w:tc>
          <w:tcPr>
            <w:tcW w:type="dxa" w:w="1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0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FAILED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0" w:after="0"/>
              <w:ind w:left="0" w:right="54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4</w:t>
            </w:r>
          </w:p>
        </w:tc>
        <w:tc>
          <w:tcPr>
            <w:tcW w:type="dxa" w:w="1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93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99.0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" w:type="dxa"/>
      </w:tblPr>
      <w:tblGrid>
        <w:gridCol w:w="1300" w:type="dxa"/>
        <w:gridCol w:w="1820" w:type="dxa"/>
        <w:gridCol w:w="2260" w:type="dxa"/>
        <w:gridCol w:w="3460" w:type="dxa"/>
      </w:tblGrid>
      <w:tr>
        <w:trPr>
          <w:trHeight w:hRule="exact" w:val="342"/>
        </w:trPr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08</w:t>
            </w:r>
          </w:p>
        </w:tc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118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9</w:t>
            </w:r>
          </w:p>
        </w:tc>
        <w:tc>
          <w:tcPr>
            <w:tcW w:type="dxa" w:w="2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0" w:after="0"/>
              <w:ind w:left="0" w:right="17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Transfer</w:t>
            </w:r>
          </w:p>
        </w:tc>
        <w:tc>
          <w:tcPr>
            <w:tcW w:type="dxa" w:w="3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2" w:after="0"/>
              <w:ind w:left="20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App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" w:type="dxa"/>
      </w:tblPr>
      <w:tblGrid>
        <w:gridCol w:w="1660" w:type="dxa"/>
        <w:gridCol w:w="1260" w:type="dxa"/>
        <w:gridCol w:w="1120" w:type="dxa"/>
        <w:gridCol w:w="1160" w:type="dxa"/>
        <w:gridCol w:w="1240" w:type="dxa"/>
        <w:gridCol w:w="1540" w:type="dxa"/>
        <w:gridCol w:w="800" w:type="dxa"/>
        <w:gridCol w:w="1980" w:type="dxa"/>
      </w:tblGrid>
      <w:tr>
        <w:trPr>
          <w:trHeight w:hRule="exact" w:val="292"/>
        </w:trPr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11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TXN0001</w:t>
            </w:r>
          </w:p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CUST029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14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256.47</w:t>
            </w:r>
          </w:p>
        </w:tc>
        <w:tc>
          <w:tcPr>
            <w:tcW w:type="dxa" w:w="11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Bank</w:t>
            </w:r>
          </w:p>
        </w:tc>
        <w:tc>
          <w:tcPr>
            <w:tcW w:type="dxa" w:w="12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Web</w:t>
            </w:r>
          </w:p>
        </w:tc>
        <w:tc>
          <w:tcPr>
            <w:tcW w:type="dxa" w:w="1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108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SUCCESS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0" w:after="0"/>
              <w:ind w:left="12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5</w:t>
            </w:r>
          </w:p>
        </w:tc>
        <w:tc>
          <w:tcPr>
            <w:tcW w:type="dxa" w:w="1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93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99.0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" w:type="dxa"/>
      </w:tblPr>
      <w:tblGrid>
        <w:gridCol w:w="1300" w:type="dxa"/>
        <w:gridCol w:w="1820" w:type="dxa"/>
        <w:gridCol w:w="5320" w:type="dxa"/>
      </w:tblGrid>
      <w:tr>
        <w:trPr>
          <w:trHeight w:hRule="exact" w:val="294"/>
        </w:trPr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49</w:t>
            </w:r>
          </w:p>
        </w:tc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2" w:after="0"/>
              <w:ind w:left="0" w:right="118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4</w:t>
            </w:r>
          </w:p>
        </w:tc>
        <w:tc>
          <w:tcPr>
            <w:tcW w:type="dxa" w:w="5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" w:after="0"/>
              <w:ind w:left="120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Transfer</w:t>
            </w:r>
          </w:p>
        </w:tc>
      </w:tr>
    </w:tbl>
    <w:p>
      <w:pPr>
        <w:autoSpaceDN w:val="0"/>
        <w:autoSpaceDE w:val="0"/>
        <w:widowControl/>
        <w:spacing w:line="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" w:type="dxa"/>
      </w:tblPr>
      <w:tblGrid>
        <w:gridCol w:w="1660" w:type="dxa"/>
        <w:gridCol w:w="1260" w:type="dxa"/>
        <w:gridCol w:w="1120" w:type="dxa"/>
        <w:gridCol w:w="1300" w:type="dxa"/>
        <w:gridCol w:w="1220" w:type="dxa"/>
        <w:gridCol w:w="1420" w:type="dxa"/>
        <w:gridCol w:w="800" w:type="dxa"/>
        <w:gridCol w:w="1980" w:type="dxa"/>
      </w:tblGrid>
      <w:tr>
        <w:trPr>
          <w:trHeight w:hRule="exact" w:val="296"/>
        </w:trPr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11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TXN0001</w:t>
            </w:r>
          </w:p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CUST020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14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242.55</w:t>
            </w:r>
          </w:p>
        </w:tc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Cash-In</w:t>
            </w:r>
          </w:p>
        </w:tc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Mobile</w:t>
            </w:r>
          </w:p>
        </w:tc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28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SUCCESS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70" w:after="0"/>
              <w:ind w:left="12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5</w:t>
            </w:r>
          </w:p>
        </w:tc>
        <w:tc>
          <w:tcPr>
            <w:tcW w:type="dxa" w:w="1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0" w:right="93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99.0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" w:type="dxa"/>
      </w:tblPr>
      <w:tblGrid>
        <w:gridCol w:w="1300" w:type="dxa"/>
        <w:gridCol w:w="2440" w:type="dxa"/>
        <w:gridCol w:w="5100" w:type="dxa"/>
      </w:tblGrid>
      <w:tr>
        <w:trPr>
          <w:trHeight w:hRule="exact" w:val="338"/>
        </w:trPr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96</w:t>
            </w:r>
          </w:p>
        </w:tc>
        <w:tc>
          <w:tcPr>
            <w:tcW w:type="dxa" w:w="2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50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5</w:t>
            </w:r>
          </w:p>
        </w:tc>
        <w:tc>
          <w:tcPr>
            <w:tcW w:type="dxa" w:w="5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0" w:right="2834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App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" w:type="dxa"/>
      </w:tblPr>
      <w:tblGrid>
        <w:gridCol w:w="1660" w:type="dxa"/>
        <w:gridCol w:w="1260" w:type="dxa"/>
        <w:gridCol w:w="1120" w:type="dxa"/>
        <w:gridCol w:w="1120" w:type="dxa"/>
        <w:gridCol w:w="1260" w:type="dxa"/>
        <w:gridCol w:w="1420" w:type="dxa"/>
        <w:gridCol w:w="940" w:type="dxa"/>
        <w:gridCol w:w="1980" w:type="dxa"/>
      </w:tblGrid>
      <w:tr>
        <w:trPr>
          <w:trHeight w:hRule="exact" w:val="286"/>
        </w:trPr>
        <w:tc>
          <w:tcPr>
            <w:tcW w:type="dxa" w:w="1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11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TXN0008</w:t>
            </w:r>
          </w:p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CUST022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14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242.04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28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P2P</w:t>
            </w:r>
          </w:p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POS</w:t>
            </w:r>
          </w:p>
        </w:tc>
        <w:tc>
          <w:tcPr>
            <w:tcW w:type="dxa" w:w="1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4" w:after="0"/>
              <w:ind w:left="0" w:right="24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FAILED</w:t>
            </w:r>
          </w:p>
        </w:tc>
        <w:tc>
          <w:tcPr>
            <w:tcW w:type="dxa" w:w="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4" w:after="0"/>
              <w:ind w:left="0" w:right="54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5</w:t>
            </w:r>
          </w:p>
        </w:tc>
        <w:tc>
          <w:tcPr>
            <w:tcW w:type="dxa" w:w="1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932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99.0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" w:type="dxa"/>
      </w:tblPr>
      <w:tblGrid>
        <w:gridCol w:w="1300" w:type="dxa"/>
        <w:gridCol w:w="1820" w:type="dxa"/>
        <w:gridCol w:w="5320" w:type="dxa"/>
      </w:tblGrid>
      <w:tr>
        <w:trPr>
          <w:trHeight w:hRule="exact" w:val="274"/>
        </w:trPr>
        <w:tc>
          <w:tcPr>
            <w:tcW w:type="dxa" w:w="1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25</w:t>
            </w:r>
          </w:p>
        </w:tc>
        <w:tc>
          <w:tcPr>
            <w:tcW w:type="dxa" w:w="1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0" w:right="1186" w:firstLine="0"/>
              <w:jc w:val="righ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5</w:t>
            </w:r>
          </w:p>
        </w:tc>
        <w:tc>
          <w:tcPr>
            <w:tcW w:type="dxa" w:w="53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" w:after="0"/>
              <w:ind w:left="1200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Transfer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6" w:type="dxa"/>
      </w:tblPr>
      <w:tblGrid>
        <w:gridCol w:w="1260" w:type="dxa"/>
        <w:gridCol w:w="1260" w:type="dxa"/>
        <w:gridCol w:w="1260" w:type="dxa"/>
        <w:gridCol w:w="1260" w:type="dxa"/>
        <w:gridCol w:w="1260" w:type="dxa"/>
        <w:gridCol w:w="1260" w:type="dxa"/>
        <w:gridCol w:w="1260" w:type="dxa"/>
        <w:gridCol w:w="1259" w:type="dxa"/>
      </w:tblGrid>
      <w:tr>
        <w:trPr>
          <w:trHeight w:hRule="exact" w:val="692"/>
        </w:trPr>
        <w:tc>
          <w:tcPr>
            <w:tcW w:type="dxa" w:w="12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9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 xml:space="preserve">TXN0003 </w:t>
            </w: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73</w:t>
            </w:r>
          </w:p>
        </w:tc>
        <w:tc>
          <w:tcPr>
            <w:tcW w:type="dxa" w:w="12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94" w:right="144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 xml:space="preserve">CUST018 </w:t>
            </w: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2</w:t>
            </w:r>
          </w:p>
        </w:tc>
        <w:tc>
          <w:tcPr>
            <w:tcW w:type="dxa" w:w="12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0" w:after="0"/>
              <w:ind w:left="9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232.38</w:t>
            </w:r>
          </w:p>
        </w:tc>
        <w:tc>
          <w:tcPr>
            <w:tcW w:type="dxa" w:w="12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4" w:after="0"/>
              <w:ind w:left="9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Bill</w:t>
            </w:r>
          </w:p>
          <w:p>
            <w:pPr>
              <w:autoSpaceDN w:val="0"/>
              <w:autoSpaceDE w:val="0"/>
              <w:widowControl/>
              <w:spacing w:line="222" w:lineRule="exact" w:before="114" w:after="0"/>
              <w:ind w:left="9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Payment</w:t>
            </w:r>
          </w:p>
        </w:tc>
        <w:tc>
          <w:tcPr>
            <w:tcW w:type="dxa" w:w="12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4" w:after="0"/>
              <w:ind w:left="9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Web</w:t>
            </w:r>
          </w:p>
        </w:tc>
        <w:tc>
          <w:tcPr>
            <w:tcW w:type="dxa" w:w="12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0" w:after="0"/>
              <w:ind w:left="0" w:right="0" w:firstLine="0"/>
              <w:jc w:val="center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SUCCESS</w:t>
            </w:r>
          </w:p>
        </w:tc>
        <w:tc>
          <w:tcPr>
            <w:tcW w:type="dxa" w:w="12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04" w:after="0"/>
              <w:ind w:left="9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4</w:t>
            </w:r>
          </w:p>
        </w:tc>
        <w:tc>
          <w:tcPr>
            <w:tcW w:type="dxa" w:w="12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00" w:after="0"/>
              <w:ind w:left="9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99.0</w:t>
            </w:r>
          </w:p>
        </w:tc>
      </w:tr>
      <w:tr>
        <w:trPr>
          <w:trHeight w:hRule="exact" w:val="688"/>
        </w:trPr>
        <w:tc>
          <w:tcPr>
            <w:tcW w:type="dxa" w:w="12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9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 xml:space="preserve">TXN0012 </w:t>
            </w: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65</w:t>
            </w:r>
          </w:p>
        </w:tc>
        <w:tc>
          <w:tcPr>
            <w:tcW w:type="dxa" w:w="12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94" w:right="144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 xml:space="preserve">CUST006 </w:t>
            </w: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2</w:t>
            </w:r>
          </w:p>
        </w:tc>
        <w:tc>
          <w:tcPr>
            <w:tcW w:type="dxa" w:w="12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98" w:after="0"/>
              <w:ind w:left="9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191.16</w:t>
            </w:r>
          </w:p>
        </w:tc>
        <w:tc>
          <w:tcPr>
            <w:tcW w:type="dxa" w:w="12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94" w:right="144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 xml:space="preserve">P2P </w:t>
            </w:r>
            <w:r>
              <w:br/>
            </w: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Transfer</w:t>
            </w:r>
          </w:p>
        </w:tc>
        <w:tc>
          <w:tcPr>
            <w:tcW w:type="dxa" w:w="12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98" w:after="0"/>
              <w:ind w:left="9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POS</w:t>
            </w:r>
          </w:p>
        </w:tc>
        <w:tc>
          <w:tcPr>
            <w:tcW w:type="dxa" w:w="12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02" w:after="0"/>
              <w:ind w:left="9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FAILED</w:t>
            </w:r>
          </w:p>
        </w:tc>
        <w:tc>
          <w:tcPr>
            <w:tcW w:type="dxa" w:w="12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02" w:after="0"/>
              <w:ind w:left="9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5</w:t>
            </w:r>
          </w:p>
        </w:tc>
        <w:tc>
          <w:tcPr>
            <w:tcW w:type="dxa" w:w="1260"/>
            <w:tcBorders>
              <w:left w:sz="8.0" w:val="single" w:color="000000"/>
              <w:top w:sz="8.0" w:val="single" w:color="000000"/>
              <w:right w:sz="8.0" w:val="single" w:color="000000"/>
              <w:bottom w:sz="8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98" w:after="0"/>
              <w:ind w:left="94" w:right="0" w:firstLine="0"/>
              <w:jc w:val="left"/>
            </w:pPr>
            <w:r>
              <w:rPr>
                <w:spacing w:val="-10"/>
                <w:rFonts w:ascii="Roboto Regular" w:hAnsi="Roboto Regular" w:eastAsia="Roboto Regular"/>
                <w:color w:val="000000"/>
                <w:sz w:val="24"/>
              </w:rPr>
              <w:t>99.0</w:t>
            </w:r>
          </w:p>
        </w:tc>
      </w:tr>
    </w:tbl>
    <w:p>
      <w:pPr>
        <w:autoSpaceDN w:val="0"/>
        <w:autoSpaceDE w:val="0"/>
        <w:widowControl/>
        <w:spacing w:line="316" w:lineRule="exact" w:before="542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12. Investigation Logic</w:t>
      </w:r>
    </w:p>
    <w:p>
      <w:pPr>
        <w:autoSpaceDN w:val="0"/>
        <w:autoSpaceDE w:val="0"/>
        <w:widowControl/>
        <w:spacing w:line="230" w:lineRule="exact" w:before="112" w:after="0"/>
        <w:ind w:left="1440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>Risk score 80+ is an investigation trigger, not a verdict.</w:t>
      </w:r>
    </w:p>
    <w:p>
      <w:pPr>
        <w:autoSpaceDN w:val="0"/>
        <w:autoSpaceDE w:val="0"/>
        <w:widowControl/>
        <w:spacing w:line="280" w:lineRule="exact" w:before="124" w:after="0"/>
        <w:ind w:left="1440" w:right="2304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 xml:space="preserve">Increase priority when high risk is combined with high velocity, device changes or </w:t>
      </w:r>
      <w:r>
        <w:br/>
      </w:r>
      <w:r>
        <w:rPr>
          <w:spacing w:val="-10"/>
          <w:rFonts w:ascii="Merriweather" w:hAnsi="Merriweather" w:eastAsia="Merriweather"/>
          <w:color w:val="000000"/>
          <w:sz w:val="21"/>
        </w:rPr>
        <w:t>repeated failed attempts.</w:t>
      </w:r>
    </w:p>
    <w:p>
      <w:pPr>
        <w:autoSpaceDN w:val="0"/>
        <w:autoSpaceDE w:val="0"/>
        <w:widowControl/>
        <w:spacing w:line="230" w:lineRule="exact" w:before="180" w:after="0"/>
        <w:ind w:left="1440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>Repeated high-risk activity from the same customer should be reviewed as one case.</w:t>
      </w:r>
    </w:p>
    <w:p>
      <w:pPr>
        <w:autoSpaceDN w:val="0"/>
        <w:autoSpaceDE w:val="0"/>
        <w:widowControl/>
        <w:spacing w:line="232" w:lineRule="exact" w:before="174" w:after="0"/>
        <w:ind w:left="1440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>Successful high-risk transactions should be checked for possible control gaps.</w:t>
      </w:r>
    </w:p>
    <w:p>
      <w:pPr>
        <w:autoSpaceDN w:val="0"/>
        <w:autoSpaceDE w:val="0"/>
        <w:widowControl/>
        <w:spacing w:line="264" w:lineRule="exact" w:before="142" w:after="0"/>
        <w:ind w:left="1440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1"/>
        </w:rPr>
        <w:t>Missing critical fields should be handled explicitly rather than silently ignored.</w:t>
      </w:r>
    </w:p>
    <w:p>
      <w:pPr>
        <w:autoSpaceDN w:val="0"/>
        <w:autoSpaceDE w:val="0"/>
        <w:widowControl/>
        <w:spacing w:line="248" w:lineRule="exact" w:before="570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13. Customer Case: CUST0099</w:t>
      </w:r>
    </w:p>
    <w:p>
      <w:pPr>
        <w:autoSpaceDN w:val="0"/>
        <w:autoSpaceDE w:val="0"/>
        <w:widowControl/>
        <w:spacing w:line="324" w:lineRule="exact" w:before="166" w:after="0"/>
        <w:ind w:left="1488" w:right="1008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 xml:space="preserve">CUST0099 is one of the clearest investigation leads in the dataset. The account </w:t>
      </w:r>
      <w:r>
        <w:br/>
      </w:r>
      <w:r>
        <w:rPr>
          <w:spacing w:val="-10"/>
          <w:rFonts w:ascii="Merriweather" w:hAnsi="Merriweather" w:eastAsia="Merriweather"/>
          <w:color w:val="000000"/>
          <w:sz w:val="24"/>
        </w:rPr>
        <w:t xml:space="preserve">appears repeatedly in high-risk records and shows several risk signals at the same </w:t>
      </w:r>
      <w:r>
        <w:br/>
      </w:r>
      <w:r>
        <w:rPr>
          <w:spacing w:val="-10"/>
          <w:rFonts w:ascii="Merriweather" w:hAnsi="Merriweather" w:eastAsia="Merriweather"/>
          <w:color w:val="000000"/>
          <w:sz w:val="24"/>
        </w:rPr>
        <w:t xml:space="preserve">time. The mix of channels, regions, velocity, failed attempts and device changes is </w:t>
      </w:r>
      <w:r>
        <w:br/>
      </w:r>
      <w:r>
        <w:rPr>
          <w:spacing w:val="-10"/>
          <w:rFonts w:ascii="Merriweather" w:hAnsi="Merriweather" w:eastAsia="Merriweather"/>
          <w:color w:val="000000"/>
          <w:sz w:val="24"/>
        </w:rPr>
        <w:t xml:space="preserve">enough to justify review. It would not be appropriate to call the account </w:t>
      </w:r>
      <w:r>
        <w:br/>
      </w:r>
      <w:r>
        <w:rPr>
          <w:spacing w:val="-10"/>
          <w:rFonts w:ascii="Merriweather" w:hAnsi="Merriweather" w:eastAsia="Merriweather"/>
          <w:color w:val="000000"/>
          <w:sz w:val="24"/>
        </w:rPr>
        <w:t>compromised without additional evidence.</w:t>
      </w:r>
    </w:p>
    <w:p>
      <w:pPr>
        <w:autoSpaceDN w:val="0"/>
        <w:autoSpaceDE w:val="0"/>
        <w:widowControl/>
        <w:spacing w:line="258" w:lineRule="exact" w:before="42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14. Problems and Limitations</w:t>
      </w:r>
    </w:p>
    <w:p>
      <w:pPr>
        <w:autoSpaceDN w:val="0"/>
        <w:autoSpaceDE w:val="0"/>
        <w:widowControl/>
        <w:spacing w:line="302" w:lineRule="exact" w:before="146" w:after="0"/>
        <w:ind w:left="1440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>The dataset is fictional.</w:t>
      </w:r>
    </w:p>
    <w:p>
      <w:pPr>
        <w:autoSpaceDN w:val="0"/>
        <w:autoSpaceDE w:val="0"/>
        <w:widowControl/>
        <w:spacing w:line="300" w:lineRule="exact" w:before="104" w:after="0"/>
        <w:ind w:left="1440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>There is no confirmed fraud label.</w:t>
      </w:r>
    </w:p>
    <w:p>
      <w:pPr>
        <w:autoSpaceDN w:val="0"/>
        <w:autoSpaceDE w:val="0"/>
        <w:widowControl/>
        <w:spacing w:line="302" w:lineRule="exact" w:before="104" w:after="0"/>
        <w:ind w:left="1440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>Some important fields contain missing values.</w:t>
      </w:r>
    </w:p>
    <w:p>
      <w:pPr>
        <w:autoSpaceDN w:val="0"/>
        <w:autoSpaceDE w:val="0"/>
        <w:widowControl/>
        <w:spacing w:line="300" w:lineRule="exact" w:before="104" w:after="0"/>
        <w:ind w:left="1440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>No IP, authentication, beneficiary or precise location data is available.</w:t>
      </w:r>
    </w:p>
    <w:p>
      <w:pPr>
        <w:autoSpaceDN w:val="0"/>
        <w:autoSpaceDE w:val="0"/>
        <w:widowControl/>
        <w:spacing w:line="262" w:lineRule="exact" w:before="144" w:after="0"/>
        <w:ind w:left="1440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>The observation period is too short to establish a strong long-term customer baseline.</w:t>
      </w:r>
    </w:p>
    <w:p>
      <w:pPr>
        <w:autoSpaceDN w:val="0"/>
        <w:autoSpaceDE w:val="0"/>
        <w:widowControl/>
        <w:spacing w:line="276" w:lineRule="exact" w:before="524" w:after="0"/>
        <w:ind w:left="108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15. AI / External Tools</w:t>
      </w:r>
    </w:p>
    <w:p>
      <w:pPr>
        <w:autoSpaceDN w:val="0"/>
        <w:autoSpaceDE w:val="0"/>
        <w:widowControl/>
        <w:spacing w:line="324" w:lineRule="exact" w:before="618" w:after="0"/>
        <w:ind w:left="1420" w:right="216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 xml:space="preserve">NotebookLM was used to assist with the analysis of the supplied </w:t>
      </w:r>
      <w:r>
        <w:br/>
      </w:r>
      <w:r>
        <w:rPr>
          <w:spacing w:val="-10"/>
          <w:rFonts w:ascii="Merriweather" w:hAnsi="Merriweather" w:eastAsia="Merriweather"/>
          <w:color w:val="000000"/>
          <w:sz w:val="24"/>
        </w:rPr>
        <w:t xml:space="preserve">transaction sheet. It helped review the dataset, identify relevant patterns </w:t>
      </w:r>
      <w:r>
        <w:br/>
      </w:r>
      <w:r>
        <w:rPr>
          <w:spacing w:val="-10"/>
          <w:rFonts w:ascii="Merriweather" w:hAnsi="Merriweather" w:eastAsia="Merriweather"/>
          <w:color w:val="000000"/>
          <w:sz w:val="24"/>
        </w:rPr>
        <w:t>and risk indicators, and support the interpretation of transaction</w:t>
      </w:r>
    </w:p>
    <w:p>
      <w:pPr>
        <w:autoSpaceDN w:val="0"/>
        <w:autoSpaceDE w:val="0"/>
        <w:widowControl/>
        <w:spacing w:line="198" w:lineRule="exact" w:before="72" w:after="0"/>
        <w:ind w:left="1420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>behaviour.</w:t>
      </w:r>
    </w:p>
    <w:p>
      <w:pPr>
        <w:autoSpaceDN w:val="0"/>
        <w:autoSpaceDE w:val="0"/>
        <w:widowControl/>
        <w:spacing w:line="306" w:lineRule="exact" w:before="804" w:after="0"/>
        <w:ind w:left="1200" w:right="0" w:firstLine="0"/>
        <w:jc w:val="left"/>
      </w:pPr>
      <w:r>
        <w:rPr>
          <w:spacing w:val="-10"/>
          <w:rFonts w:ascii="Roboto Regular" w:hAnsi="Roboto Regular" w:eastAsia="Roboto Regular"/>
          <w:b/>
          <w:color w:val="000000"/>
          <w:sz w:val="34"/>
        </w:rPr>
        <w:t>If I had another 72 hours, I would…</w:t>
      </w:r>
    </w:p>
    <w:p>
      <w:pPr>
        <w:autoSpaceDN w:val="0"/>
        <w:autoSpaceDE w:val="0"/>
        <w:widowControl/>
        <w:spacing w:line="302" w:lineRule="exact" w:before="248" w:after="0"/>
        <w:ind w:left="1216" w:right="0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>build a small detection pipeline, test the rules against confirmed legitimate and</w:t>
      </w:r>
    </w:p>
    <w:p>
      <w:pPr>
        <w:autoSpaceDN w:val="0"/>
        <w:autoSpaceDE w:val="0"/>
        <w:widowControl/>
        <w:spacing w:line="326" w:lineRule="exact" w:before="0" w:after="0"/>
        <w:ind w:left="1216" w:right="1584" w:firstLine="0"/>
        <w:jc w:val="left"/>
      </w:pPr>
      <w:r>
        <w:rPr>
          <w:spacing w:val="-10"/>
          <w:rFonts w:ascii="Merriweather" w:hAnsi="Merriweather" w:eastAsia="Merriweather"/>
          <w:color w:val="000000"/>
          <w:sz w:val="24"/>
        </w:rPr>
        <w:t xml:space="preserve">fraudulent examples, measure false positives and missed attacks, and add </w:t>
      </w:r>
      <w:r>
        <w:br/>
      </w:r>
      <w:r>
        <w:rPr>
          <w:spacing w:val="-10"/>
          <w:rFonts w:ascii="Merriweather" w:hAnsi="Merriweather" w:eastAsia="Merriweather"/>
          <w:color w:val="000000"/>
          <w:sz w:val="24"/>
        </w:rPr>
        <w:t xml:space="preserve">customer and device baselines so the system can distinguish unusual behaviour </w:t>
      </w:r>
      <w:r>
        <w:br/>
      </w:r>
      <w:r>
        <w:rPr>
          <w:spacing w:val="-10"/>
          <w:rFonts w:ascii="Merriweather" w:hAnsi="Merriweather" w:eastAsia="Merriweather"/>
          <w:color w:val="000000"/>
          <w:sz w:val="24"/>
        </w:rPr>
        <w:t>from genuinely risky behaviour.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