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111722"/>
          <w:sz w:val="46"/>
        </w:rPr>
        <w:t>VYTAL HOUSE BUSINESS PLAN</w:t>
      </w:r>
    </w:p>
    <w:p>
      <w:pPr>
        <w:jc w:val="center"/>
      </w:pPr>
      <w:r>
        <w:rPr>
          <w:rFonts w:ascii="Aptos" w:hAnsi="Aptos"/>
          <w:b/>
          <w:color w:val="C8A46B"/>
          <w:sz w:val="24"/>
        </w:rPr>
        <w:t>Recharge. Recover. Evolve.</w:t>
      </w:r>
    </w:p>
    <w:p>
      <w:pPr>
        <w:jc w:val="center"/>
      </w:pPr>
      <w:r>
        <w:rPr>
          <w:rFonts w:ascii="Aptos" w:hAnsi="Aptos"/>
          <w:b w:val="0"/>
          <w:color w:val="5C626E"/>
          <w:sz w:val="19"/>
        </w:rPr>
        <w:t>Draft operating plan | June 21, 2026 | Professional review required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Executive Summary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VYTAL House is a premium recovery and wellness club for high-performance members in Maryland. The target flagship location is 6000 Merriweather Drive, Columbia, MD 21044, pending lease, zoning, utilities, permits, and professional review. The concept combines clinical-grade recovery modalities, a recurring membership model, concierge operations, and a dark cinematic lounge experience.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Brand: VYTAL House only.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Owners: Chauncey Gardner and Kathy Ha.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Target site: 6000 Merriweather Drive, Columbia, MD 21044.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Promise: Recharge. Recover. Evolve.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Guardrails: no live payments, no protected health information, no vendor sending, and no legal filing without explicit approval.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Market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968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Plan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Category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Recovery, longevity, and wellness club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Target location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6000 Merriweather Drive, Columbia, MD 21044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Primary users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Founders, artists, athletes, executives, wellness clients, and recovery-focused members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Differentiator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Design-forward facility, recurring membership revenue, clinical oversight, and high-touch concierge flow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Experience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Private, cinematic, quiet, and operationally controlled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Commercial Role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Control Gate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Hyperbaric Oxygen 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Anchor clinical recovery modality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 protocol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IV and NAD+ Lounge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Premium treatment lane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Medical director and pharmacy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Red Light 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Photobiomodulation and recovery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Protocol and claims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Cryotherapy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Cold exposure lane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Safety and waiver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Sauna and Cold Plunge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Thermal contrast suite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 and maintenance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Float and Dry Float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Restoration and stress relief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 review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Compression and Recovery Zone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 utilization and retention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Staff training review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Membership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Projected Members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Projected MRR</w:t>
            </w:r>
          </w:p>
        </w:tc>
        <w:tc>
          <w:tcPr>
            <w:tcW w:type="dxa" w:w="1987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Includes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Core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$299/mo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150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$44,850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Red light, compression, recovery lounge, education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Elite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$599/mo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100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$59,900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Unlimited recovery services, monthly IV/NAD+ credit, booking priority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Black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$1,499/mo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$74,950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Concierge scheduling, quarterly labs, peptide optimization, VIP access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Financial Baseline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Target membership revenue: $179,700/month at the modeled tier mix.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Additional revenue lanes: IV/NAD+, peptides and hormone programs, float sessions, cryotherapy, sauna/cold plunge, compression, events, and retail.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Startup cost planning range: $750,000 to $1,800,000 depending on lease terms, tenant improvements, equipment mix, staffing, launch marketing, and working capital.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All financial assumptions require accountant, tax, lending, and securities review before investor or lender use.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Execution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Lease and due diligence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Confirm site, zoning, utilities, and tenant improvement terms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Legal and lease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Medical structure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Define clinical roles, protocols, consent, and pharmacy workflows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Medical counsel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 procurement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Request quotes, install needs, warranties, and maintenance terms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 quote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Digital platform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Launch website, local role login, command portal, member app, admin, vendor CRM, and source-backed content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Quality score &gt;= 97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Cloud readiness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Prepare Firebase staging and Google Cloud file vault plan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 approval before live resource creation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Founder launch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Prepare presale material and social calendar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Claims and payment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Controlled opening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Open with a limited member cohort and track utilization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Staff and compliance readiness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Source Appendix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Oxycell, Hyperbaric Pro, Oxynergy, TrueREST, VacuActiv, Eleve, and Awesome Design MD are used as reference inputs, not endorsements.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Maryland Business Express and Maryland SDAT sources are used for formation workflow planning.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HHS HIPAA guidance is used as a privacy planning reference. The prototype does not collect PHI.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26E"/>
        <w:sz w:val="16"/>
      </w:rPr>
      <w:t>VYTAL House Business Plan | Draft for professional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