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0012"/>
          <w:sz w:val="32"/>
        </w:rPr>
        <w:t>ROTES KREUZ</w:t>
      </w:r>
    </w:p>
    <w:p>
      <w:pPr>
        <w:jc w:val="center"/>
      </w:pPr>
      <w:r>
        <w:rPr>
          <w:b/>
          <w:color w:val="111827"/>
          <w:sz w:val="50"/>
        </w:rPr>
        <w:t>VYVA x Red Cross Konsole</w:t>
      </w:r>
    </w:p>
    <w:p>
      <w:pPr>
        <w:jc w:val="center"/>
      </w:pPr>
      <w:r>
        <w:rPr>
          <w:color w:val="4F46E5"/>
          <w:sz w:val="28"/>
        </w:rPr>
        <w:t>Benutzerhandbuch für Administratoren</w:t>
      </w:r>
    </w:p>
    <w:p>
      <w:pPr>
        <w:jc w:val="center"/>
      </w:pPr>
      <w:r>
        <w:rPr>
          <w:color w:val="6B7280"/>
          <w:sz w:val="18"/>
        </w:rPr>
        <w:t>Version 2026-06-20 | 20. Juni 2026 | Powered by VYVA</w:t>
      </w:r>
    </w:p>
    <w:p/>
    <w:tbl>
      <w:tblPr>
        <w:tblW w:type="auto" w:w="0"/>
        <w:jc w:val="center"/>
        <w:tblLook w:firstColumn="1" w:firstRow="1" w:lastColumn="0" w:lastRow="0" w:noHBand="0" w:noVBand="1" w:val="04A0"/>
      </w:tblPr>
      <w:tblGrid>
        <w:gridCol w:w="10080"/>
      </w:tblGrid>
      <w:tr>
        <w:tc>
          <w:tcPr>
            <w:tcW w:type="dxa" w:w="10080"/>
            <w:shd w:fill="F5F3FF"/>
          </w:tcPr>
          <w:p>
            <w:r/>
            <w:r>
              <w:rPr>
                <w:rFonts w:ascii="Segoe UI" w:hAnsi="Segoe UI"/>
                <w:color w:val="4C1D95"/>
                <w:sz w:val="20"/>
              </w:rPr>
              <w:t>Vollständiges deutsches Handbuch für die VYVA x Red Cross Konsole: Login, Rollen, Organisationen, Clients, Check-ins, Brain Coach, Medikation, Risk, Sensors, Kampagnen, Kontakte, Team, Einstellungen, Reports und Datenschutz.</w:t>
            </w:r>
          </w:p>
        </w:tc>
      </w:tr>
    </w:tbl>
    <w:p>
      <w:r>
        <w:br w:type="page"/>
      </w:r>
    </w:p>
    <w:p>
      <w:pPr>
        <w:pStyle w:val="Heading1"/>
      </w:pPr>
      <w:r>
        <w:t>Schnellreferenz</w:t>
      </w:r>
    </w:p>
    <w:tbl>
      <w:tblPr>
        <w:tblW w:type="auto" w:w="0"/>
        <w:jc w:val="center"/>
        <w:tblLook w:firstColumn="1" w:firstRow="1" w:lastColumn="0" w:lastRow="0" w:noHBand="0" w:noVBand="1" w:val="04A0"/>
      </w:tblPr>
      <w:tblGrid>
        <w:gridCol w:w="3360"/>
        <w:gridCol w:w="3360"/>
        <w:gridCol w:w="3360"/>
      </w:tblGrid>
      <w:tr>
        <w:tc>
          <w:tcPr>
            <w:tcW w:type="dxa" w:w="3360"/>
            <w:vAlign w:val="center"/>
            <w:shd w:fill="6D4AFF"/>
          </w:tcPr>
          <w:p>
            <w:r/>
            <w:r>
              <w:rPr>
                <w:rFonts w:ascii="Segoe UI" w:hAnsi="Segoe UI"/>
                <w:b/>
                <w:color w:val="FFFFFF"/>
                <w:sz w:val="18"/>
              </w:rPr>
              <w:t>Bedarf</w:t>
            </w:r>
          </w:p>
        </w:tc>
        <w:tc>
          <w:tcPr>
            <w:tcW w:type="dxa" w:w="3360"/>
            <w:vAlign w:val="center"/>
            <w:shd w:fill="6D4AFF"/>
          </w:tcPr>
          <w:p>
            <w:r/>
            <w:r>
              <w:rPr>
                <w:rFonts w:ascii="Segoe UI" w:hAnsi="Segoe UI"/>
                <w:b/>
                <w:color w:val="FFFFFF"/>
                <w:sz w:val="18"/>
              </w:rPr>
              <w:t>Wo</w:t>
            </w:r>
          </w:p>
        </w:tc>
        <w:tc>
          <w:tcPr>
            <w:tcW w:type="dxa" w:w="3360"/>
            <w:vAlign w:val="center"/>
            <w:shd w:fill="6D4AFF"/>
          </w:tcPr>
          <w:p>
            <w:r/>
            <w:r>
              <w:rPr>
                <w:rFonts w:ascii="Segoe UI" w:hAnsi="Segoe UI"/>
                <w:b/>
                <w:color w:val="FFFFFF"/>
                <w:sz w:val="18"/>
              </w:rPr>
              <w:t>Hinweis</w:t>
            </w:r>
          </w:p>
        </w:tc>
      </w:tr>
      <w:tr>
        <w:tc>
          <w:tcPr>
            <w:tcW w:type="dxa" w:w="3360"/>
            <w:vAlign w:val="center"/>
            <w:shd w:fill="FFFFFF"/>
          </w:tcPr>
          <w:p>
            <w:r/>
            <w:r>
              <w:rPr>
                <w:rFonts w:ascii="Segoe UI" w:hAnsi="Segoe UI"/>
                <w:b w:val="0"/>
                <w:color w:val="111827"/>
                <w:sz w:val="18"/>
              </w:rPr>
              <w:t>Client erstellen</w:t>
            </w:r>
          </w:p>
        </w:tc>
        <w:tc>
          <w:tcPr>
            <w:tcW w:type="dxa" w:w="3360"/>
            <w:vAlign w:val="center"/>
            <w:shd w:fill="FFFFFF"/>
          </w:tcPr>
          <w:p>
            <w:r/>
            <w:r>
              <w:rPr>
                <w:rFonts w:ascii="Segoe UI" w:hAnsi="Segoe UI"/>
                <w:b w:val="0"/>
                <w:color w:val="111827"/>
                <w:sz w:val="18"/>
              </w:rPr>
              <w:t>Clients -&gt; Add client</w:t>
            </w:r>
          </w:p>
        </w:tc>
        <w:tc>
          <w:tcPr>
            <w:tcW w:type="dxa" w:w="3360"/>
            <w:vAlign w:val="center"/>
            <w:shd w:fill="FFFFFF"/>
          </w:tcPr>
          <w:p>
            <w:r/>
            <w:r>
              <w:rPr>
                <w:rFonts w:ascii="Segoe UI" w:hAnsi="Segoe UI"/>
                <w:b w:val="0"/>
                <w:color w:val="111827"/>
                <w:sz w:val="18"/>
              </w:rPr>
              <w:t>Für betreute Personen.</w:t>
            </w:r>
          </w:p>
        </w:tc>
      </w:tr>
      <w:tr>
        <w:tc>
          <w:tcPr>
            <w:tcW w:type="dxa" w:w="3360"/>
            <w:vAlign w:val="center"/>
            <w:shd w:fill="F9FAFB"/>
          </w:tcPr>
          <w:p>
            <w:r/>
            <w:r>
              <w:rPr>
                <w:rFonts w:ascii="Segoe UI" w:hAnsi="Segoe UI"/>
                <w:b w:val="0"/>
                <w:color w:val="111827"/>
                <w:sz w:val="18"/>
              </w:rPr>
              <w:t>Clients importieren</w:t>
            </w:r>
          </w:p>
        </w:tc>
        <w:tc>
          <w:tcPr>
            <w:tcW w:type="dxa" w:w="3360"/>
            <w:vAlign w:val="center"/>
            <w:shd w:fill="F9FAFB"/>
          </w:tcPr>
          <w:p>
            <w:r/>
            <w:r>
              <w:rPr>
                <w:rFonts w:ascii="Segoe UI" w:hAnsi="Segoe UI"/>
                <w:b w:val="0"/>
                <w:color w:val="111827"/>
                <w:sz w:val="18"/>
              </w:rPr>
              <w:t>Clients -&gt; Import clients</w:t>
            </w:r>
          </w:p>
        </w:tc>
        <w:tc>
          <w:tcPr>
            <w:tcW w:type="dxa" w:w="3360"/>
            <w:vAlign w:val="center"/>
            <w:shd w:fill="F9FAFB"/>
          </w:tcPr>
          <w:p>
            <w:r/>
            <w:r>
              <w:rPr>
                <w:rFonts w:ascii="Segoe UI" w:hAnsi="Segoe UI"/>
                <w:b w:val="0"/>
                <w:color w:val="111827"/>
                <w:sz w:val="18"/>
              </w:rPr>
              <w:t>CSV mit Organisationsregeln.</w:t>
            </w:r>
          </w:p>
        </w:tc>
      </w:tr>
      <w:tr>
        <w:tc>
          <w:tcPr>
            <w:tcW w:type="dxa" w:w="3360"/>
            <w:vAlign w:val="center"/>
            <w:shd w:fill="FFFFFF"/>
          </w:tcPr>
          <w:p>
            <w:r/>
            <w:r>
              <w:rPr>
                <w:rFonts w:ascii="Segoe UI" w:hAnsi="Segoe UI"/>
                <w:b w:val="0"/>
                <w:color w:val="111827"/>
                <w:sz w:val="18"/>
              </w:rPr>
              <w:t>Externes Onboarding prüfen</w:t>
            </w:r>
          </w:p>
        </w:tc>
        <w:tc>
          <w:tcPr>
            <w:tcW w:type="dxa" w:w="3360"/>
            <w:vAlign w:val="center"/>
            <w:shd w:fill="FFFFFF"/>
          </w:tcPr>
          <w:p>
            <w:r/>
            <w:r>
              <w:rPr>
                <w:rFonts w:ascii="Segoe UI" w:hAnsi="Segoe UI"/>
                <w:b w:val="0"/>
                <w:color w:val="111827"/>
                <w:sz w:val="18"/>
              </w:rPr>
              <w:t>Clients -&gt; API intake</w:t>
            </w:r>
          </w:p>
        </w:tc>
        <w:tc>
          <w:tcPr>
            <w:tcW w:type="dxa" w:w="3360"/>
            <w:vAlign w:val="center"/>
            <w:shd w:fill="FFFFFF"/>
          </w:tcPr>
          <w:p>
            <w:r/>
            <w:r>
              <w:rPr>
                <w:rFonts w:ascii="Segoe UI" w:hAnsi="Segoe UI"/>
                <w:b w:val="0"/>
                <w:color w:val="111827"/>
                <w:sz w:val="18"/>
              </w:rPr>
              <w:t>Wenn Daten bereits im Backend existieren.</w:t>
            </w:r>
          </w:p>
        </w:tc>
      </w:tr>
      <w:tr>
        <w:tc>
          <w:tcPr>
            <w:tcW w:type="dxa" w:w="3360"/>
            <w:vAlign w:val="center"/>
            <w:shd w:fill="F9FAFB"/>
          </w:tcPr>
          <w:p>
            <w:r/>
            <w:r>
              <w:rPr>
                <w:rFonts w:ascii="Segoe UI" w:hAnsi="Segoe UI"/>
                <w:b w:val="0"/>
                <w:color w:val="111827"/>
                <w:sz w:val="18"/>
              </w:rPr>
              <w:t>Care Profile bearbeiten</w:t>
            </w:r>
          </w:p>
        </w:tc>
        <w:tc>
          <w:tcPr>
            <w:tcW w:type="dxa" w:w="3360"/>
            <w:vAlign w:val="center"/>
            <w:shd w:fill="F9FAFB"/>
          </w:tcPr>
          <w:p>
            <w:r/>
            <w:r>
              <w:rPr>
                <w:rFonts w:ascii="Segoe UI" w:hAnsi="Segoe UI"/>
                <w:b w:val="0"/>
                <w:color w:val="111827"/>
                <w:sz w:val="18"/>
              </w:rPr>
              <w:t>Client-Profil</w:t>
            </w:r>
          </w:p>
        </w:tc>
        <w:tc>
          <w:tcPr>
            <w:tcW w:type="dxa" w:w="3360"/>
            <w:vAlign w:val="center"/>
            <w:shd w:fill="F9FAFB"/>
          </w:tcPr>
          <w:p>
            <w:r/>
            <w:r>
              <w:rPr>
                <w:rFonts w:ascii="Segoe UI" w:hAnsi="Segoe UI"/>
                <w:b w:val="0"/>
                <w:color w:val="111827"/>
                <w:sz w:val="18"/>
              </w:rPr>
              <w:t>Nur berechtigte Rollen.</w:t>
            </w:r>
          </w:p>
        </w:tc>
      </w:tr>
      <w:tr>
        <w:tc>
          <w:tcPr>
            <w:tcW w:type="dxa" w:w="3360"/>
            <w:vAlign w:val="center"/>
            <w:shd w:fill="FFFFFF"/>
          </w:tcPr>
          <w:p>
            <w:r/>
            <w:r>
              <w:rPr>
                <w:rFonts w:ascii="Segoe UI" w:hAnsi="Segoe UI"/>
                <w:b w:val="0"/>
                <w:color w:val="111827"/>
                <w:sz w:val="18"/>
              </w:rPr>
              <w:t>Red Cross staff zuweisen</w:t>
            </w:r>
          </w:p>
        </w:tc>
        <w:tc>
          <w:tcPr>
            <w:tcW w:type="dxa" w:w="3360"/>
            <w:vAlign w:val="center"/>
            <w:shd w:fill="FFFFFF"/>
          </w:tcPr>
          <w:p>
            <w:r/>
            <w:r>
              <w:rPr>
                <w:rFonts w:ascii="Segoe UI" w:hAnsi="Segoe UI"/>
                <w:b w:val="0"/>
                <w:color w:val="111827"/>
                <w:sz w:val="18"/>
              </w:rPr>
              <w:t>Profil -&gt; Care coverage</w:t>
            </w:r>
          </w:p>
        </w:tc>
        <w:tc>
          <w:tcPr>
            <w:tcW w:type="dxa" w:w="3360"/>
            <w:vAlign w:val="center"/>
            <w:shd w:fill="FFFFFF"/>
          </w:tcPr>
          <w:p>
            <w:r/>
            <w:r>
              <w:rPr>
                <w:rFonts w:ascii="Segoe UI" w:hAnsi="Segoe UI"/>
                <w:b w:val="0"/>
                <w:color w:val="111827"/>
                <w:sz w:val="18"/>
              </w:rPr>
              <w:t>Nicht mit Emergency contacts mischen.</w:t>
            </w:r>
          </w:p>
        </w:tc>
      </w:tr>
      <w:tr>
        <w:tc>
          <w:tcPr>
            <w:tcW w:type="dxa" w:w="3360"/>
            <w:vAlign w:val="center"/>
            <w:shd w:fill="F9FAFB"/>
          </w:tcPr>
          <w:p>
            <w:r/>
            <w:r>
              <w:rPr>
                <w:rFonts w:ascii="Segoe UI" w:hAnsi="Segoe UI"/>
                <w:b w:val="0"/>
                <w:color w:val="111827"/>
                <w:sz w:val="18"/>
              </w:rPr>
              <w:t>Check-ins prüfen</w:t>
            </w:r>
          </w:p>
        </w:tc>
        <w:tc>
          <w:tcPr>
            <w:tcW w:type="dxa" w:w="3360"/>
            <w:vAlign w:val="center"/>
            <w:shd w:fill="F9FAFB"/>
          </w:tcPr>
          <w:p>
            <w:r/>
            <w:r>
              <w:rPr>
                <w:rFonts w:ascii="Segoe UI" w:hAnsi="Segoe UI"/>
                <w:b w:val="0"/>
                <w:color w:val="111827"/>
                <w:sz w:val="18"/>
              </w:rPr>
              <w:t>Check-ins</w:t>
            </w:r>
          </w:p>
        </w:tc>
        <w:tc>
          <w:tcPr>
            <w:tcW w:type="dxa" w:w="3360"/>
            <w:vAlign w:val="center"/>
            <w:shd w:fill="F9FAFB"/>
          </w:tcPr>
          <w:p>
            <w:r/>
            <w:r>
              <w:rPr>
                <w:rFonts w:ascii="Segoe UI" w:hAnsi="Segoe UI"/>
                <w:b w:val="0"/>
                <w:color w:val="111827"/>
                <w:sz w:val="18"/>
              </w:rPr>
              <w:t>Nur Check-up-Anrufe.</w:t>
            </w:r>
          </w:p>
        </w:tc>
      </w:tr>
      <w:tr>
        <w:tc>
          <w:tcPr>
            <w:tcW w:type="dxa" w:w="3360"/>
            <w:vAlign w:val="center"/>
            <w:shd w:fill="FFFFFF"/>
          </w:tcPr>
          <w:p>
            <w:r/>
            <w:r>
              <w:rPr>
                <w:rFonts w:ascii="Segoe UI" w:hAnsi="Segoe UI"/>
                <w:b w:val="0"/>
                <w:color w:val="111827"/>
                <w:sz w:val="18"/>
              </w:rPr>
              <w:t>Brain Coach prüfen</w:t>
            </w:r>
          </w:p>
        </w:tc>
        <w:tc>
          <w:tcPr>
            <w:tcW w:type="dxa" w:w="3360"/>
            <w:vAlign w:val="center"/>
            <w:shd w:fill="FFFFFF"/>
          </w:tcPr>
          <w:p>
            <w:r/>
            <w:r>
              <w:rPr>
                <w:rFonts w:ascii="Segoe UI" w:hAnsi="Segoe UI"/>
                <w:b w:val="0"/>
                <w:color w:val="111827"/>
                <w:sz w:val="18"/>
              </w:rPr>
              <w:t>Brain Coach</w:t>
            </w:r>
          </w:p>
        </w:tc>
        <w:tc>
          <w:tcPr>
            <w:tcW w:type="dxa" w:w="3360"/>
            <w:vAlign w:val="center"/>
            <w:shd w:fill="FFFFFF"/>
          </w:tcPr>
          <w:p>
            <w:r/>
            <w:r>
              <w:rPr>
                <w:rFonts w:ascii="Segoe UI" w:hAnsi="Segoe UI"/>
                <w:b w:val="0"/>
                <w:color w:val="111827"/>
                <w:sz w:val="18"/>
              </w:rPr>
              <w:t>Öffnet kognitive Reports.</w:t>
            </w:r>
          </w:p>
        </w:tc>
      </w:tr>
      <w:tr>
        <w:tc>
          <w:tcPr>
            <w:tcW w:type="dxa" w:w="3360"/>
            <w:vAlign w:val="center"/>
            <w:shd w:fill="F9FAFB"/>
          </w:tcPr>
          <w:p>
            <w:r/>
            <w:r>
              <w:rPr>
                <w:rFonts w:ascii="Segoe UI" w:hAnsi="Segoe UI"/>
                <w:b w:val="0"/>
                <w:color w:val="111827"/>
                <w:sz w:val="18"/>
              </w:rPr>
              <w:t>Adhärenz anzeigen</w:t>
            </w:r>
          </w:p>
        </w:tc>
        <w:tc>
          <w:tcPr>
            <w:tcW w:type="dxa" w:w="3360"/>
            <w:vAlign w:val="center"/>
            <w:shd w:fill="F9FAFB"/>
          </w:tcPr>
          <w:p>
            <w:r/>
            <w:r>
              <w:rPr>
                <w:rFonts w:ascii="Segoe UI" w:hAnsi="Segoe UI"/>
                <w:b w:val="0"/>
                <w:color w:val="111827"/>
                <w:sz w:val="18"/>
              </w:rPr>
              <w:t>Profil -&gt; View adherence</w:t>
            </w:r>
          </w:p>
        </w:tc>
        <w:tc>
          <w:tcPr>
            <w:tcW w:type="dxa" w:w="3360"/>
            <w:vAlign w:val="center"/>
            <w:shd w:fill="F9FAFB"/>
          </w:tcPr>
          <w:p>
            <w:r/>
            <w:r>
              <w:rPr>
                <w:rFonts w:ascii="Segoe UI" w:hAnsi="Segoe UI"/>
                <w:b w:val="0"/>
                <w:color w:val="111827"/>
                <w:sz w:val="18"/>
              </w:rPr>
              <w:t>Wochenkalender pro Client.</w:t>
            </w:r>
          </w:p>
        </w:tc>
      </w:tr>
      <w:tr>
        <w:tc>
          <w:tcPr>
            <w:tcW w:type="dxa" w:w="3360"/>
            <w:vAlign w:val="center"/>
            <w:shd w:fill="FFFFFF"/>
          </w:tcPr>
          <w:p>
            <w:r/>
            <w:r>
              <w:rPr>
                <w:rFonts w:ascii="Segoe UI" w:hAnsi="Segoe UI"/>
                <w:b w:val="0"/>
                <w:color w:val="111827"/>
                <w:sz w:val="18"/>
              </w:rPr>
              <w:t>Kampagne erstellen</w:t>
            </w:r>
          </w:p>
        </w:tc>
        <w:tc>
          <w:tcPr>
            <w:tcW w:type="dxa" w:w="3360"/>
            <w:vAlign w:val="center"/>
            <w:shd w:fill="FFFFFF"/>
          </w:tcPr>
          <w:p>
            <w:r/>
            <w:r>
              <w:rPr>
                <w:rFonts w:ascii="Segoe UI" w:hAnsi="Segoe UI"/>
                <w:b w:val="0"/>
                <w:color w:val="111827"/>
                <w:sz w:val="18"/>
              </w:rPr>
              <w:t>Campaigns -&gt; Create call campaign</w:t>
            </w:r>
          </w:p>
        </w:tc>
        <w:tc>
          <w:tcPr>
            <w:tcW w:type="dxa" w:w="3360"/>
            <w:vAlign w:val="center"/>
            <w:shd w:fill="FFFFFF"/>
          </w:tcPr>
          <w:p>
            <w:r/>
            <w:r>
              <w:rPr>
                <w:rFonts w:ascii="Segoe UI" w:hAnsi="Segoe UI"/>
                <w:b w:val="0"/>
                <w:color w:val="111827"/>
                <w:sz w:val="18"/>
              </w:rPr>
              <w:t>Vorlage, Regeln, Skript und Vorschau.</w:t>
            </w:r>
          </w:p>
        </w:tc>
      </w:tr>
      <w:tr>
        <w:tc>
          <w:tcPr>
            <w:tcW w:type="dxa" w:w="3360"/>
            <w:vAlign w:val="center"/>
            <w:shd w:fill="F9FAFB"/>
          </w:tcPr>
          <w:p>
            <w:r/>
            <w:r>
              <w:rPr>
                <w:rFonts w:ascii="Segoe UI" w:hAnsi="Segoe UI"/>
                <w:b w:val="0"/>
                <w:color w:val="111827"/>
                <w:sz w:val="18"/>
              </w:rPr>
              <w:t>Teamkonto erstellen</w:t>
            </w:r>
          </w:p>
        </w:tc>
        <w:tc>
          <w:tcPr>
            <w:tcW w:type="dxa" w:w="3360"/>
            <w:vAlign w:val="center"/>
            <w:shd w:fill="F9FAFB"/>
          </w:tcPr>
          <w:p>
            <w:r/>
            <w:r>
              <w:rPr>
                <w:rFonts w:ascii="Segoe UI" w:hAnsi="Segoe UI"/>
                <w:b w:val="0"/>
                <w:color w:val="111827"/>
                <w:sz w:val="18"/>
              </w:rPr>
              <w:t>Team access</w:t>
            </w:r>
          </w:p>
        </w:tc>
        <w:tc>
          <w:tcPr>
            <w:tcW w:type="dxa" w:w="3360"/>
            <w:vAlign w:val="center"/>
            <w:shd w:fill="F9FAFB"/>
          </w:tcPr>
          <w:p>
            <w:r/>
            <w:r>
              <w:rPr>
                <w:rFonts w:ascii="Segoe UI" w:hAnsi="Segoe UI"/>
                <w:b w:val="0"/>
                <w:color w:val="111827"/>
                <w:sz w:val="18"/>
              </w:rPr>
              <w:t>Nur interne Konten.</w:t>
            </w:r>
          </w:p>
        </w:tc>
      </w:tr>
    </w:tbl>
    <w:p/>
    <w:p>
      <w:r>
        <w:rPr>
          <w:b/>
        </w:rPr>
        <w:t xml:space="preserve">Handbuch-Link: </w:t>
      </w:r>
      <w:r>
        <w:t>https://rcadmin.vyva.life/manuals/VYVA_Admin_Console_User_Manual_DE.pdf</w:t>
      </w:r>
    </w:p>
    <w:p>
      <w:r>
        <w:br w:type="page"/>
      </w:r>
    </w:p>
    <w:p>
      <w:pPr>
        <w:pStyle w:val="Heading1"/>
      </w:pPr>
      <w:r>
        <w:t>1. Zweck und Umfang der Konsole</w:t>
      </w:r>
    </w:p>
    <w:p>
      <w:pPr>
        <w:spacing w:after="120"/>
      </w:pPr>
      <w:r>
        <w:t>Die VYVA x Red Cross Konsole ist ein operativer Arbeitsbereich für Betreuung, Nachverfolgung, Risikosignale, Medikationsroutinen, Kampagnen und Versorgungsabdeckung älterer Klientinnen und Klienten.</w:t>
      </w:r>
    </w:p>
    <w:p>
      <w:pPr>
        <w:spacing w:after="120"/>
      </w:pPr>
      <w:r>
        <w:t>Dieses Handbuch richtet sich an Administratoren, Koordinatoren, Operatoren und autorisiertes professionelles Personal. Es beschreibt, wie die aktuelle Konsole genutzt wird, welche Daten jede Ansicht liefern soll und welche Aktionen eine externe Integration benötigen.</w:t>
      </w:r>
    </w:p>
    <w:p>
      <w:pPr>
        <w:spacing w:after="120"/>
      </w:pPr>
      <w:r>
        <w:t>Die Konsole folgt dem Prinzip der minimal notwendigen Information: Erfassen Sie nur Daten, die für Koordination, Sicherheit und Betreuung wirklich gebraucht werden.</w:t>
      </w:r>
    </w:p>
    <w:p>
      <w:pPr>
        <w:pStyle w:val="ListBullet"/>
      </w:pPr>
      <w:r>
        <w:t>Clients sind die betreuten Personen.</w:t>
      </w:r>
    </w:p>
    <w:p>
      <w:pPr>
        <w:pStyle w:val="ListBullet"/>
      </w:pPr>
      <w:r>
        <w:t>Team members sind interne Benutzerkonten für die Konsole.</w:t>
      </w:r>
    </w:p>
    <w:p>
      <w:pPr>
        <w:pStyle w:val="ListBullet"/>
      </w:pPr>
      <w:r>
        <w:t>Emergency contacts sind Angehörige, Nachbarn oder informelle Betreuungspersonen.</w:t>
      </w:r>
    </w:p>
    <w:p>
      <w:pPr>
        <w:pStyle w:val="ListBullet"/>
      </w:pPr>
      <w:r>
        <w:t>Red Cross staff ist professionelles Personal der Organisation.</w:t>
      </w:r>
    </w:p>
    <w:p/>
    <w:p>
      <w:pPr>
        <w:pStyle w:val="Heading1"/>
      </w:pPr>
      <w:r>
        <w:t>2. Anmeldung</w:t>
      </w:r>
    </w:p>
    <w:p>
      <w:pPr>
        <w:spacing w:after="120"/>
      </w:pPr>
      <w:r>
        <w:t>Die sichtbare Anmeldung erfolgt ausschließlich per E-Mail. Admins geben ihre E-Mail-Adresse ein und erhalten einen sicheren Magic Link.</w:t>
      </w:r>
    </w:p>
    <w:p>
      <w:pPr>
        <w:spacing w:after="120"/>
      </w:pPr>
      <w:r>
        <w:t>Google- und Microsoft-OAuth bleiben ausgeblendet, bis diese Anbieter bewusst aktiviert werden. Supabase Auth dient nur als Identitätsschicht für den E-Mail-Link; Replit verwaltet Organisationen, Rollen, Teams und operative Daten.</w:t>
      </w:r>
    </w:p>
    <w:p>
      <w:pPr>
        <w:spacing w:after="120"/>
      </w:pPr>
      <w:r>
        <w:t>Nach dem Login ordnet das System die E-Mail einer Rolle und Organisation zu. Unbekannte E-Mails erhalten keinen Konsolenzugriff.</w:t>
      </w:r>
    </w:p>
    <w:p>
      <w:pPr>
        <w:pStyle w:val="ListNumber"/>
      </w:pPr>
      <w:r>
        <w:t>Öffnen Sie die veröffentlichte Konsolen-URL.</w:t>
      </w:r>
    </w:p>
    <w:p>
      <w:pPr>
        <w:pStyle w:val="ListNumber"/>
      </w:pPr>
      <w:r>
        <w:t>Geben Sie Ihre Admin-E-Mail-Adresse ein.</w:t>
      </w:r>
    </w:p>
    <w:p>
      <w:pPr>
        <w:pStyle w:val="ListNumber"/>
      </w:pPr>
      <w:r>
        <w:t>Öffnen Sie den neuesten Magic Link aus Ihrem Postfach.</w:t>
      </w:r>
    </w:p>
    <w:p>
      <w:pPr>
        <w:pStyle w:val="ListNumber"/>
      </w:pPr>
      <w:r>
        <w:t>Prüfen Sie nach dem Login die aktive Organisation.</w:t>
      </w:r>
    </w:p>
    <w:p>
      <w:pPr>
        <w:jc w:val="center"/>
      </w:pPr>
      <w:r>
        <w:drawing>
          <wp:inline xmlns:a="http://schemas.openxmlformats.org/drawingml/2006/main" xmlns:pic="http://schemas.openxmlformats.org/drawingml/2006/picture">
            <wp:extent cx="5806440" cy="3629025"/>
            <wp:docPr id="1" name="Picture 1"/>
            <wp:cNvGraphicFramePr>
              <a:graphicFrameLocks noChangeAspect="1"/>
            </wp:cNvGraphicFramePr>
            <a:graphic>
              <a:graphicData uri="http://schemas.openxmlformats.org/drawingml/2006/picture">
                <pic:pic>
                  <pic:nvPicPr>
                    <pic:cNvPr id="0" name="screenshot-01.png"/>
                    <pic:cNvPicPr/>
                  </pic:nvPicPr>
                  <pic:blipFill>
                    <a:blip r:embed="rId9"/>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Anmeldung per E-Mail und Magic Link.</w:t>
      </w:r>
    </w:p>
    <w:p>
      <w:pPr>
        <w:jc w:val="center"/>
      </w:pPr>
      <w:r>
        <w:drawing>
          <wp:inline xmlns:a="http://schemas.openxmlformats.org/drawingml/2006/main" xmlns:pic="http://schemas.openxmlformats.org/drawingml/2006/picture">
            <wp:extent cx="5806440" cy="3629025"/>
            <wp:docPr id="2" name="Picture 2"/>
            <wp:cNvGraphicFramePr>
              <a:graphicFrameLocks noChangeAspect="1"/>
            </wp:cNvGraphicFramePr>
            <a:graphic>
              <a:graphicData uri="http://schemas.openxmlformats.org/drawingml/2006/picture">
                <pic:pic>
                  <pic:nvPicPr>
                    <pic:cNvPr id="0" name="screenshot-02.png"/>
                    <pic:cNvPicPr/>
                  </pic:nvPicPr>
                  <pic:blipFill>
                    <a:blip r:embed="rId10"/>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Magic-Link-E-Mail mit sicherem Zugang zur Konsole.</w:t>
      </w:r>
    </w:p>
    <w:p/>
    <w:p>
      <w:pPr>
        <w:pStyle w:val="Heading1"/>
      </w:pPr>
      <w:r>
        <w:t>3. Rollen und Berechtigungen</w:t>
      </w:r>
    </w:p>
    <w:p>
      <w:pPr>
        <w:spacing w:after="120"/>
      </w:pPr>
      <w:r>
        <w:t>Berechtigungen werden aus der authentifizierten E-Mail und den Backend-Profilen abgeleitet. Die Oberfläche soll die echte Rolle anzeigen, zum Beispiel Super admin, Admin, Coordinator oder Operator.</w:t>
      </w:r>
    </w:p>
    <w:p>
      <w:pPr>
        <w:spacing w:after="120"/>
      </w:pPr>
      <w:r>
        <w:t>Superadmins werden nicht in der UI erstellt. Sie werden über Backend-Kontrollen wie VYVA_PLATFORM_ADMIN_EMAILS oder Profileinstellungen vergeben.</w:t>
      </w:r>
    </w:p>
    <w:tbl>
      <w:tblPr>
        <w:tblW w:type="auto" w:w="0"/>
        <w:jc w:val="center"/>
        <w:tblLook w:firstColumn="1" w:firstRow="1" w:lastColumn="0" w:lastRow="0" w:noHBand="0" w:noVBand="1" w:val="04A0"/>
      </w:tblPr>
      <w:tblGrid>
        <w:gridCol w:w="3360"/>
        <w:gridCol w:w="3360"/>
        <w:gridCol w:w="3360"/>
      </w:tblGrid>
      <w:tr>
        <w:tc>
          <w:tcPr>
            <w:tcW w:type="dxa" w:w="3360"/>
            <w:vAlign w:val="center"/>
            <w:shd w:fill="6D4AFF"/>
          </w:tcPr>
          <w:p>
            <w:r/>
            <w:r>
              <w:rPr>
                <w:rFonts w:ascii="Segoe UI" w:hAnsi="Segoe UI"/>
                <w:b/>
                <w:color w:val="FFFFFF"/>
                <w:sz w:val="18"/>
              </w:rPr>
              <w:t>Rolle</w:t>
            </w:r>
          </w:p>
        </w:tc>
        <w:tc>
          <w:tcPr>
            <w:tcW w:type="dxa" w:w="3360"/>
            <w:vAlign w:val="center"/>
            <w:shd w:fill="6D4AFF"/>
          </w:tcPr>
          <w:p>
            <w:r/>
            <w:r>
              <w:rPr>
                <w:rFonts w:ascii="Segoe UI" w:hAnsi="Segoe UI"/>
                <w:b/>
                <w:color w:val="FFFFFF"/>
                <w:sz w:val="18"/>
              </w:rPr>
              <w:t>Hauptumfang</w:t>
            </w:r>
          </w:p>
        </w:tc>
        <w:tc>
          <w:tcPr>
            <w:tcW w:type="dxa" w:w="3360"/>
            <w:vAlign w:val="center"/>
            <w:shd w:fill="6D4AFF"/>
          </w:tcPr>
          <w:p>
            <w:r/>
            <w:r>
              <w:rPr>
                <w:rFonts w:ascii="Segoe UI" w:hAnsi="Segoe UI"/>
                <w:b/>
                <w:color w:val="FFFFFF"/>
                <w:sz w:val="18"/>
              </w:rPr>
              <w:t>Hinweis</w:t>
            </w:r>
          </w:p>
        </w:tc>
      </w:tr>
      <w:tr>
        <w:tc>
          <w:tcPr>
            <w:tcW w:type="dxa" w:w="3360"/>
            <w:vAlign w:val="center"/>
            <w:shd w:fill="FFFFFF"/>
          </w:tcPr>
          <w:p>
            <w:r/>
            <w:r>
              <w:rPr>
                <w:rFonts w:ascii="Segoe UI" w:hAnsi="Segoe UI"/>
                <w:b w:val="0"/>
                <w:color w:val="111827"/>
                <w:sz w:val="18"/>
              </w:rPr>
              <w:t>Super admin</w:t>
            </w:r>
          </w:p>
        </w:tc>
        <w:tc>
          <w:tcPr>
            <w:tcW w:type="dxa" w:w="3360"/>
            <w:vAlign w:val="center"/>
            <w:shd w:fill="FFFFFF"/>
          </w:tcPr>
          <w:p>
            <w:r/>
            <w:r>
              <w:rPr>
                <w:rFonts w:ascii="Segoe UI" w:hAnsi="Segoe UI"/>
                <w:b w:val="0"/>
                <w:color w:val="111827"/>
                <w:sz w:val="18"/>
              </w:rPr>
              <w:t>Kann Organisationen wechseln und Organisationsadmins erstellen.</w:t>
            </w:r>
          </w:p>
        </w:tc>
        <w:tc>
          <w:tcPr>
            <w:tcW w:type="dxa" w:w="3360"/>
            <w:vAlign w:val="center"/>
            <w:shd w:fill="FFFFFF"/>
          </w:tcPr>
          <w:p>
            <w:r/>
            <w:r>
              <w:rPr>
                <w:rFonts w:ascii="Segoe UI" w:hAnsi="Segoe UI"/>
                <w:b w:val="0"/>
                <w:color w:val="111827"/>
                <w:sz w:val="18"/>
              </w:rPr>
              <w:t>Nicht über die normale UI verwaltet.</w:t>
            </w:r>
          </w:p>
        </w:tc>
      </w:tr>
      <w:tr>
        <w:tc>
          <w:tcPr>
            <w:tcW w:type="dxa" w:w="3360"/>
            <w:vAlign w:val="center"/>
            <w:shd w:fill="F9FAFB"/>
          </w:tcPr>
          <w:p>
            <w:r/>
            <w:r>
              <w:rPr>
                <w:rFonts w:ascii="Segoe UI" w:hAnsi="Segoe UI"/>
                <w:b w:val="0"/>
                <w:color w:val="111827"/>
                <w:sz w:val="18"/>
              </w:rPr>
              <w:t>Admin</w:t>
            </w:r>
          </w:p>
        </w:tc>
        <w:tc>
          <w:tcPr>
            <w:tcW w:type="dxa" w:w="3360"/>
            <w:vAlign w:val="center"/>
            <w:shd w:fill="F9FAFB"/>
          </w:tcPr>
          <w:p>
            <w:r/>
            <w:r>
              <w:rPr>
                <w:rFonts w:ascii="Segoe UI" w:hAnsi="Segoe UI"/>
                <w:b w:val="0"/>
                <w:color w:val="111827"/>
                <w:sz w:val="18"/>
              </w:rPr>
              <w:t>Verwaltet Clients, Team, Kampagnen, Kontakte, Zeitpläne und Einstellungen der Organisation.</w:t>
            </w:r>
          </w:p>
        </w:tc>
        <w:tc>
          <w:tcPr>
            <w:tcW w:type="dxa" w:w="3360"/>
            <w:vAlign w:val="center"/>
            <w:shd w:fill="F9FAFB"/>
          </w:tcPr>
          <w:p>
            <w:r/>
            <w:r>
              <w:rPr>
                <w:rFonts w:ascii="Segoe UI" w:hAnsi="Segoe UI"/>
                <w:b w:val="0"/>
                <w:color w:val="111827"/>
                <w:sz w:val="18"/>
              </w:rPr>
              <w:t>Kann Teammitglieder anlegen.</w:t>
            </w:r>
          </w:p>
        </w:tc>
      </w:tr>
      <w:tr>
        <w:tc>
          <w:tcPr>
            <w:tcW w:type="dxa" w:w="3360"/>
            <w:vAlign w:val="center"/>
            <w:shd w:fill="FFFFFF"/>
          </w:tcPr>
          <w:p>
            <w:r/>
            <w:r>
              <w:rPr>
                <w:rFonts w:ascii="Segoe UI" w:hAnsi="Segoe UI"/>
                <w:b w:val="0"/>
                <w:color w:val="111827"/>
                <w:sz w:val="18"/>
              </w:rPr>
              <w:t>Coordinator / Operator</w:t>
            </w:r>
          </w:p>
        </w:tc>
        <w:tc>
          <w:tcPr>
            <w:tcW w:type="dxa" w:w="3360"/>
            <w:vAlign w:val="center"/>
            <w:shd w:fill="FFFFFF"/>
          </w:tcPr>
          <w:p>
            <w:r/>
            <w:r>
              <w:rPr>
                <w:rFonts w:ascii="Segoe UI" w:hAnsi="Segoe UI"/>
                <w:b w:val="0"/>
                <w:color w:val="111827"/>
                <w:sz w:val="18"/>
              </w:rPr>
              <w:t>Bearbeitet Queues, Profile und zugewiesene Aufgaben.</w:t>
            </w:r>
          </w:p>
        </w:tc>
        <w:tc>
          <w:tcPr>
            <w:tcW w:type="dxa" w:w="3360"/>
            <w:vAlign w:val="center"/>
            <w:shd w:fill="FFFFFF"/>
          </w:tcPr>
          <w:p>
            <w:r/>
            <w:r>
              <w:rPr>
                <w:rFonts w:ascii="Segoe UI" w:hAnsi="Segoe UI"/>
                <w:b w:val="0"/>
                <w:color w:val="111827"/>
                <w:sz w:val="18"/>
              </w:rPr>
              <w:t>Sensible Aktionen können eingeschränkt sein.</w:t>
            </w:r>
          </w:p>
        </w:tc>
      </w:tr>
      <w:tr>
        <w:tc>
          <w:tcPr>
            <w:tcW w:type="dxa" w:w="3360"/>
            <w:vAlign w:val="center"/>
            <w:shd w:fill="F9FAFB"/>
          </w:tcPr>
          <w:p>
            <w:r/>
            <w:r>
              <w:rPr>
                <w:rFonts w:ascii="Segoe UI" w:hAnsi="Segoe UI"/>
                <w:b w:val="0"/>
                <w:color w:val="111827"/>
                <w:sz w:val="18"/>
              </w:rPr>
              <w:t>Primär zugewiesenes Red Cross staff</w:t>
            </w:r>
          </w:p>
        </w:tc>
        <w:tc>
          <w:tcPr>
            <w:tcW w:type="dxa" w:w="3360"/>
            <w:vAlign w:val="center"/>
            <w:shd w:fill="F9FAFB"/>
          </w:tcPr>
          <w:p>
            <w:r/>
            <w:r>
              <w:rPr>
                <w:rFonts w:ascii="Segoe UI" w:hAnsi="Segoe UI"/>
                <w:b w:val="0"/>
                <w:color w:val="111827"/>
                <w:sz w:val="18"/>
              </w:rPr>
              <w:t>Kann bestimmte Care-Plan-Daten bearbeiten, wenn Zustimmung vorliegt.</w:t>
            </w:r>
          </w:p>
        </w:tc>
        <w:tc>
          <w:tcPr>
            <w:tcW w:type="dxa" w:w="3360"/>
            <w:vAlign w:val="center"/>
            <w:shd w:fill="F9FAFB"/>
          </w:tcPr>
          <w:p>
            <w:r/>
            <w:r>
              <w:rPr>
                <w:rFonts w:ascii="Segoe UI" w:hAnsi="Segoe UI"/>
                <w:b w:val="0"/>
                <w:color w:val="111827"/>
                <w:sz w:val="18"/>
              </w:rPr>
              <w:t>Nicht dasselbe wie Emergency contact.</w:t>
            </w:r>
          </w:p>
        </w:tc>
      </w:tr>
    </w:tbl>
    <w:p/>
    <w:p>
      <w:pPr>
        <w:pStyle w:val="Heading1"/>
      </w:pPr>
      <w:r>
        <w:t>4. Aktive Organisation</w:t>
      </w:r>
    </w:p>
    <w:p>
      <w:pPr>
        <w:spacing w:after="120"/>
      </w:pPr>
      <w:r>
        <w:t>Die aktive Organisation bestimmt, welche Daten in der Konsole angezeigt werden. Beim Wechsel zwischen Red Cross Zamora und Red Cross Leipzig müssen Clients, Kampagnen, Check-ins, Brain Coach, Medikation, Risiko, Kontakte, Personal, Reports und Karte neu geladen werden.</w:t>
      </w:r>
    </w:p>
    <w:p>
      <w:pPr>
        <w:spacing w:after="120"/>
      </w:pPr>
      <w:r>
        <w:t>Red Cross Zamora nutzt standardmäßig Spanisch, Spanien und Europe/Madrid. Red Cross Leipzig nutzt Deutsch, Deutschland und Europe/Berlin.</w:t>
      </w:r>
    </w:p>
    <w:p>
      <w:pPr>
        <w:spacing w:after="120"/>
      </w:pPr>
      <w:r>
        <w:t>Die Zuordnung ist strikt: spanische Nummern und Adressen gehören zu Zamora; deutsche Nummern und Adressen gehören zu Leipzig. Es darf kein generischer Fallback Clients in die falsche Organisation verschieben.</w:t>
      </w:r>
    </w:p>
    <w:p/>
    <w:p>
      <w:pPr>
        <w:pStyle w:val="Heading1"/>
      </w:pPr>
      <w:r>
        <w:t>5. Allgemeine Navigation</w:t>
      </w:r>
    </w:p>
    <w:p>
      <w:pPr>
        <w:spacing w:after="120"/>
      </w:pPr>
      <w:r>
        <w:t>Die Seitenleiste gruppiert die Arbeit in Main, Follow-up und Management. Die wichtigsten Bereiche sind Today, Clients, Risk, Sensors, Check-ins, Medication, Brain Coach, Campaigns, Care Providers, Reports, Team access und Settings.</w:t>
      </w:r>
    </w:p>
    <w:p>
      <w:pPr>
        <w:spacing w:after="120"/>
      </w:pPr>
      <w:r>
        <w:t>Der Kopfbereich zeigt Konsole, aktive Organisation, Systemstatus und den angemeldeten Benutzer. Bei Superadmins erscheint zusätzlich der Organisationswechsel.</w:t>
      </w:r>
    </w:p>
    <w:tbl>
      <w:tblPr>
        <w:tblW w:type="auto" w:w="0"/>
        <w:jc w:val="center"/>
        <w:tblLook w:firstColumn="1" w:firstRow="1" w:lastColumn="0" w:lastRow="0" w:noHBand="0" w:noVBand="1" w:val="04A0"/>
      </w:tblPr>
      <w:tblGrid>
        <w:gridCol w:w="5040"/>
        <w:gridCol w:w="5040"/>
      </w:tblGrid>
      <w:tr>
        <w:tc>
          <w:tcPr>
            <w:tcW w:type="dxa" w:w="5040"/>
            <w:vAlign w:val="center"/>
            <w:shd w:fill="6D4AFF"/>
          </w:tcPr>
          <w:p>
            <w:r/>
            <w:r>
              <w:rPr>
                <w:rFonts w:ascii="Segoe UI" w:hAnsi="Segoe UI"/>
                <w:b/>
                <w:color w:val="FFFFFF"/>
                <w:sz w:val="18"/>
              </w:rPr>
              <w:t>Bereich</w:t>
            </w:r>
          </w:p>
        </w:tc>
        <w:tc>
          <w:tcPr>
            <w:tcW w:type="dxa" w:w="5040"/>
            <w:vAlign w:val="center"/>
            <w:shd w:fill="6D4AFF"/>
          </w:tcPr>
          <w:p>
            <w:r/>
            <w:r>
              <w:rPr>
                <w:rFonts w:ascii="Segoe UI" w:hAnsi="Segoe UI"/>
                <w:b/>
                <w:color w:val="FFFFFF"/>
                <w:sz w:val="18"/>
              </w:rPr>
              <w:t>Zweck</w:t>
            </w:r>
          </w:p>
        </w:tc>
      </w:tr>
      <w:tr>
        <w:tc>
          <w:tcPr>
            <w:tcW w:type="dxa" w:w="5040"/>
            <w:vAlign w:val="center"/>
            <w:shd w:fill="FFFFFF"/>
          </w:tcPr>
          <w:p>
            <w:r/>
            <w:r>
              <w:rPr>
                <w:rFonts w:ascii="Segoe UI" w:hAnsi="Segoe UI"/>
                <w:b w:val="0"/>
                <w:color w:val="111827"/>
                <w:sz w:val="18"/>
              </w:rPr>
              <w:t>Today</w:t>
            </w:r>
          </w:p>
        </w:tc>
        <w:tc>
          <w:tcPr>
            <w:tcW w:type="dxa" w:w="5040"/>
            <w:vAlign w:val="center"/>
            <w:shd w:fill="FFFFFF"/>
          </w:tcPr>
          <w:p>
            <w:r/>
            <w:r>
              <w:rPr>
                <w:rFonts w:ascii="Segoe UI" w:hAnsi="Segoe UI"/>
                <w:b w:val="0"/>
                <w:color w:val="111827"/>
                <w:sz w:val="18"/>
              </w:rPr>
              <w:t>Tägliche operative Übersicht mit Kennzahlen und Karte.</w:t>
            </w:r>
          </w:p>
        </w:tc>
      </w:tr>
      <w:tr>
        <w:tc>
          <w:tcPr>
            <w:tcW w:type="dxa" w:w="5040"/>
            <w:vAlign w:val="center"/>
            <w:shd w:fill="F9FAFB"/>
          </w:tcPr>
          <w:p>
            <w:r/>
            <w:r>
              <w:rPr>
                <w:rFonts w:ascii="Segoe UI" w:hAnsi="Segoe UI"/>
                <w:b w:val="0"/>
                <w:color w:val="111827"/>
                <w:sz w:val="18"/>
              </w:rPr>
              <w:t>Clients</w:t>
            </w:r>
          </w:p>
        </w:tc>
        <w:tc>
          <w:tcPr>
            <w:tcW w:type="dxa" w:w="5040"/>
            <w:vAlign w:val="center"/>
            <w:shd w:fill="F9FAFB"/>
          </w:tcPr>
          <w:p>
            <w:r/>
            <w:r>
              <w:rPr>
                <w:rFonts w:ascii="Segoe UI" w:hAnsi="Segoe UI"/>
                <w:b w:val="0"/>
                <w:color w:val="111827"/>
                <w:sz w:val="18"/>
              </w:rPr>
              <w:t>Client-Queue und Pflegeprofile.</w:t>
            </w:r>
          </w:p>
        </w:tc>
      </w:tr>
      <w:tr>
        <w:tc>
          <w:tcPr>
            <w:tcW w:type="dxa" w:w="5040"/>
            <w:vAlign w:val="center"/>
            <w:shd w:fill="FFFFFF"/>
          </w:tcPr>
          <w:p>
            <w:r/>
            <w:r>
              <w:rPr>
                <w:rFonts w:ascii="Segoe UI" w:hAnsi="Segoe UI"/>
                <w:b w:val="0"/>
                <w:color w:val="111827"/>
                <w:sz w:val="18"/>
              </w:rPr>
              <w:t>Risk</w:t>
            </w:r>
          </w:p>
        </w:tc>
        <w:tc>
          <w:tcPr>
            <w:tcW w:type="dxa" w:w="5040"/>
            <w:vAlign w:val="center"/>
            <w:shd w:fill="FFFFFF"/>
          </w:tcPr>
          <w:p>
            <w:r/>
            <w:r>
              <w:rPr>
                <w:rFonts w:ascii="Segoe UI" w:hAnsi="Segoe UI"/>
                <w:b w:val="0"/>
                <w:color w:val="111827"/>
                <w:sz w:val="18"/>
              </w:rPr>
              <w:t>Priorisierte Fälle nach Risiko, Nichtantwort, Medikation oder fehlender Abdeckung.</w:t>
            </w:r>
          </w:p>
        </w:tc>
      </w:tr>
      <w:tr>
        <w:tc>
          <w:tcPr>
            <w:tcW w:type="dxa" w:w="5040"/>
            <w:vAlign w:val="center"/>
            <w:shd w:fill="F9FAFB"/>
          </w:tcPr>
          <w:p>
            <w:r/>
            <w:r>
              <w:rPr>
                <w:rFonts w:ascii="Segoe UI" w:hAnsi="Segoe UI"/>
                <w:b w:val="0"/>
                <w:color w:val="111827"/>
                <w:sz w:val="18"/>
              </w:rPr>
              <w:t>Sensors</w:t>
            </w:r>
          </w:p>
        </w:tc>
        <w:tc>
          <w:tcPr>
            <w:tcW w:type="dxa" w:w="5040"/>
            <w:vAlign w:val="center"/>
            <w:shd w:fill="F9FAFB"/>
          </w:tcPr>
          <w:p>
            <w:r/>
            <w:r>
              <w:rPr>
                <w:rFonts w:ascii="Segoe UI" w:hAnsi="Segoe UI"/>
                <w:b w:val="0"/>
                <w:color w:val="111827"/>
                <w:sz w:val="18"/>
              </w:rPr>
              <w:t>Vorbereiteter Bereich für Gerätedaten.</w:t>
            </w:r>
          </w:p>
        </w:tc>
      </w:tr>
      <w:tr>
        <w:tc>
          <w:tcPr>
            <w:tcW w:type="dxa" w:w="5040"/>
            <w:vAlign w:val="center"/>
            <w:shd w:fill="FFFFFF"/>
          </w:tcPr>
          <w:p>
            <w:r/>
            <w:r>
              <w:rPr>
                <w:rFonts w:ascii="Segoe UI" w:hAnsi="Segoe UI"/>
                <w:b w:val="0"/>
                <w:color w:val="111827"/>
                <w:sz w:val="18"/>
              </w:rPr>
              <w:t>Check-ins</w:t>
            </w:r>
          </w:p>
        </w:tc>
        <w:tc>
          <w:tcPr>
            <w:tcW w:type="dxa" w:w="5040"/>
            <w:vAlign w:val="center"/>
            <w:shd w:fill="FFFFFF"/>
          </w:tcPr>
          <w:p>
            <w:r/>
            <w:r>
              <w:rPr>
                <w:rFonts w:ascii="Segoe UI" w:hAnsi="Segoe UI"/>
                <w:b w:val="0"/>
                <w:color w:val="111827"/>
                <w:sz w:val="18"/>
              </w:rPr>
              <w:t>Routine-Check-up-Anrufe und Status.</w:t>
            </w:r>
          </w:p>
        </w:tc>
      </w:tr>
      <w:tr>
        <w:tc>
          <w:tcPr>
            <w:tcW w:type="dxa" w:w="5040"/>
            <w:vAlign w:val="center"/>
            <w:shd w:fill="F9FAFB"/>
          </w:tcPr>
          <w:p>
            <w:r/>
            <w:r>
              <w:rPr>
                <w:rFonts w:ascii="Segoe UI" w:hAnsi="Segoe UI"/>
                <w:b w:val="0"/>
                <w:color w:val="111827"/>
                <w:sz w:val="18"/>
              </w:rPr>
              <w:t>Brain Coach</w:t>
            </w:r>
          </w:p>
        </w:tc>
        <w:tc>
          <w:tcPr>
            <w:tcW w:type="dxa" w:w="5040"/>
            <w:vAlign w:val="center"/>
            <w:shd w:fill="F9FAFB"/>
          </w:tcPr>
          <w:p>
            <w:r/>
            <w:r>
              <w:rPr>
                <w:rFonts w:ascii="Segoe UI" w:hAnsi="Segoe UI"/>
                <w:b w:val="0"/>
                <w:color w:val="111827"/>
                <w:sz w:val="18"/>
              </w:rPr>
              <w:t>Kognitive Routinen und Aktivitätsberichte.</w:t>
            </w:r>
          </w:p>
        </w:tc>
      </w:tr>
      <w:tr>
        <w:tc>
          <w:tcPr>
            <w:tcW w:type="dxa" w:w="5040"/>
            <w:vAlign w:val="center"/>
            <w:shd w:fill="FFFFFF"/>
          </w:tcPr>
          <w:p>
            <w:r/>
            <w:r>
              <w:rPr>
                <w:rFonts w:ascii="Segoe UI" w:hAnsi="Segoe UI"/>
                <w:b w:val="0"/>
                <w:color w:val="111827"/>
                <w:sz w:val="18"/>
              </w:rPr>
              <w:t>Campaigns</w:t>
            </w:r>
          </w:p>
        </w:tc>
        <w:tc>
          <w:tcPr>
            <w:tcW w:type="dxa" w:w="5040"/>
            <w:vAlign w:val="center"/>
            <w:shd w:fill="FFFFFF"/>
          </w:tcPr>
          <w:p>
            <w:r/>
            <w:r>
              <w:rPr>
                <w:rFonts w:ascii="Segoe UI" w:hAnsi="Segoe UI"/>
                <w:b w:val="0"/>
                <w:color w:val="111827"/>
                <w:sz w:val="18"/>
              </w:rPr>
              <w:t>VYVA-Anrufkampagnen.</w:t>
            </w:r>
          </w:p>
        </w:tc>
      </w:tr>
    </w:tbl>
    <w:p>
      <w:pPr>
        <w:jc w:val="center"/>
      </w:pPr>
      <w:r>
        <w:drawing>
          <wp:inline xmlns:a="http://schemas.openxmlformats.org/drawingml/2006/main" xmlns:pic="http://schemas.openxmlformats.org/drawingml/2006/picture">
            <wp:extent cx="5806440" cy="3629025"/>
            <wp:docPr id="3" name="Picture 3"/>
            <wp:cNvGraphicFramePr>
              <a:graphicFrameLocks noChangeAspect="1"/>
            </wp:cNvGraphicFramePr>
            <a:graphic>
              <a:graphicData uri="http://schemas.openxmlformats.org/drawingml/2006/picture">
                <pic:pic>
                  <pic:nvPicPr>
                    <pic:cNvPr id="0" name="screenshot-03.png"/>
                    <pic:cNvPicPr/>
                  </pic:nvPicPr>
                  <pic:blipFill>
                    <a:blip r:embed="rId11"/>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Seitennavigation mit operativen Bereichen.</w:t>
      </w:r>
    </w:p>
    <w:p/>
    <w:p>
      <w:pPr>
        <w:pStyle w:val="Heading1"/>
      </w:pPr>
      <w:r>
        <w:t>6. Today Dashboard</w:t>
      </w:r>
    </w:p>
    <w:p>
      <w:pPr>
        <w:spacing w:after="120"/>
      </w:pPr>
      <w:r>
        <w:t>Today fasst den operativen Zustand der aktiven Organisation zusammen. Kennzahlen müssen eine klare Berechnungslogik und einen eindeutigen Zeitraum haben.</w:t>
      </w:r>
    </w:p>
    <w:p>
      <w:pPr>
        <w:spacing w:after="120"/>
      </w:pPr>
      <w:r>
        <w:t>Die Karte steht oben und behält das Leaflet-Verhalten bei: stabile Größe, korrektes Resize, Tiles, Clustering und passende Zentrierung für das Land der aktiven Organisation.</w:t>
      </w:r>
    </w:p>
    <w:p>
      <w:pPr>
        <w:spacing w:after="120"/>
      </w:pPr>
      <w:r>
        <w:t>Check-ins werden wöchentlich bewertet: erledigte Check-ins im Verhältnis zu erwarteten Check-ins dieser Woche.</w:t>
      </w:r>
    </w:p>
    <w:p>
      <w:pPr>
        <w:pStyle w:val="ListBullet"/>
      </w:pPr>
      <w:r>
        <w:t>Active clients: aktive Clients in der Organisation.</w:t>
      </w:r>
    </w:p>
    <w:p>
      <w:pPr>
        <w:pStyle w:val="ListBullet"/>
      </w:pPr>
      <w:r>
        <w:t>Urgent: Fälle mit sofortigem Handlungsbedarf.</w:t>
      </w:r>
    </w:p>
    <w:p>
      <w:pPr>
        <w:pStyle w:val="ListBullet"/>
      </w:pPr>
      <w:r>
        <w:t>Review: Fälle für heutige Operator-Prüfung.</w:t>
      </w:r>
    </w:p>
    <w:p>
      <w:pPr>
        <w:pStyle w:val="ListBullet"/>
      </w:pPr>
      <w:r>
        <w:t>Check-ins: wöchentliche Erfüllung.</w:t>
      </w:r>
    </w:p>
    <w:p>
      <w:pPr>
        <w:pStyle w:val="ListBullet"/>
      </w:pPr>
      <w:r>
        <w:t>Medication: offene oder unbestätigte Medikationssignale.</w:t>
      </w:r>
    </w:p>
    <w:p>
      <w:pPr>
        <w:jc w:val="center"/>
      </w:pPr>
      <w:r>
        <w:drawing>
          <wp:inline xmlns:a="http://schemas.openxmlformats.org/drawingml/2006/main" xmlns:pic="http://schemas.openxmlformats.org/drawingml/2006/picture">
            <wp:extent cx="5806440" cy="3629025"/>
            <wp:docPr id="4" name="Picture 4"/>
            <wp:cNvGraphicFramePr>
              <a:graphicFrameLocks noChangeAspect="1"/>
            </wp:cNvGraphicFramePr>
            <a:graphic>
              <a:graphicData uri="http://schemas.openxmlformats.org/drawingml/2006/picture">
                <pic:pic>
                  <pic:nvPicPr>
                    <pic:cNvPr id="0" name="screenshot-04.png"/>
                    <pic:cNvPicPr/>
                  </pic:nvPicPr>
                  <pic:blipFill>
                    <a:blip r:embed="rId12"/>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Today Dashboard mit Kennzahlen, Filtern und Karte.</w:t>
      </w:r>
    </w:p>
    <w:p/>
    <w:p>
      <w:pPr>
        <w:pStyle w:val="Heading1"/>
      </w:pPr>
      <w:r>
        <w:t>7. Clients</w:t>
      </w:r>
    </w:p>
    <w:p>
      <w:pPr>
        <w:spacing w:after="120"/>
      </w:pPr>
      <w:r>
        <w:t>Clients ist die Hauptliste betreuter Personen. Sie können nach Name, Telefon, Stadt oder Kontakt suchen und nach Dringlichkeit, Review, No response, Medication, Check-ins oder Unassigned filtern.</w:t>
      </w:r>
    </w:p>
    <w:p>
      <w:pPr>
        <w:spacing w:after="120"/>
      </w:pPr>
      <w:r>
        <w:t>Die Aktionen Add client, Import clients und API intake gehören zur Client-Erstellung. Teamkonten werden nicht hier erstellt.</w:t>
      </w:r>
    </w:p>
    <w:p>
      <w:pPr>
        <w:pStyle w:val="ListNumber"/>
      </w:pPr>
      <w:r>
        <w:t>Add client für einzelne neue Clients.</w:t>
      </w:r>
    </w:p>
    <w:p>
      <w:pPr>
        <w:pStyle w:val="ListNumber"/>
      </w:pPr>
      <w:r>
        <w:t>Import clients für CSV-Upload.</w:t>
      </w:r>
    </w:p>
    <w:p>
      <w:pPr>
        <w:pStyle w:val="ListNumber"/>
      </w:pPr>
      <w:r>
        <w:t>API intake für Clients, die bereits im Onboarding-Backend existieren.</w:t>
      </w:r>
    </w:p>
    <w:p>
      <w:pPr>
        <w:pStyle w:val="ListNumber"/>
      </w:pPr>
      <w:r>
        <w:t>Eine Zeile öffnen, um Profil und Care coverage zu prüfen.</w:t>
      </w:r>
    </w:p>
    <w:p>
      <w:pPr>
        <w:jc w:val="center"/>
      </w:pPr>
      <w:r>
        <w:drawing>
          <wp:inline xmlns:a="http://schemas.openxmlformats.org/drawingml/2006/main" xmlns:pic="http://schemas.openxmlformats.org/drawingml/2006/picture">
            <wp:extent cx="5806440" cy="3677412"/>
            <wp:docPr id="5" name="Picture 5"/>
            <wp:cNvGraphicFramePr>
              <a:graphicFrameLocks noChangeAspect="1"/>
            </wp:cNvGraphicFramePr>
            <a:graphic>
              <a:graphicData uri="http://schemas.openxmlformats.org/drawingml/2006/picture">
                <pic:pic>
                  <pic:nvPicPr>
                    <pic:cNvPr id="0" name="screenshot-05.png"/>
                    <pic:cNvPicPr/>
                  </pic:nvPicPr>
                  <pic:blipFill>
                    <a:blip r:embed="rId13"/>
                    <a:stretch>
                      <a:fillRect/>
                    </a:stretch>
                  </pic:blipFill>
                  <pic:spPr>
                    <a:xfrm>
                      <a:off x="0" y="0"/>
                      <a:ext cx="5806440" cy="3677412"/>
                    </a:xfrm>
                    <a:prstGeom prst="rect"/>
                  </pic:spPr>
                </pic:pic>
              </a:graphicData>
            </a:graphic>
          </wp:inline>
        </w:drawing>
      </w:r>
    </w:p>
    <w:p>
      <w:pPr>
        <w:jc w:val="center"/>
      </w:pPr>
      <w:r>
        <w:rPr>
          <w:rFonts w:ascii="Segoe UI" w:hAnsi="Segoe UI"/>
          <w:i/>
          <w:color w:val="6B7280"/>
          <w:sz w:val="16"/>
        </w:rPr>
        <w:t>Client-Liste mit Suche, Filtern und Care coverage.</w:t>
      </w:r>
    </w:p>
    <w:p/>
    <w:p>
      <w:pPr>
        <w:pStyle w:val="Heading1"/>
      </w:pPr>
      <w:r>
        <w:t>8. Clients erstellen oder importieren</w:t>
      </w:r>
    </w:p>
    <w:p>
      <w:pPr>
        <w:spacing w:after="120"/>
      </w:pPr>
      <w:r>
        <w:t>Das Client-Formular ist als Care Profile Intake aufgebaut: Person und Kontakt, medizinisches Mindestprofil, Medikation, Zustimmung, Emergency contact und Follow-up-Routinen.</w:t>
      </w:r>
    </w:p>
    <w:p>
      <w:pPr>
        <w:spacing w:after="120"/>
      </w:pPr>
      <w:r>
        <w:t>Telefonnummern müssen im internationalen Format mit + und Ländercode erfasst werden. Das unterstützt Routing, Organisationserkennung und spätere Anrufintegration.</w:t>
      </w:r>
    </w:p>
    <w:p>
      <w:pPr>
        <w:spacing w:after="120"/>
      </w:pPr>
      <w:r>
        <w:t>CSV-Importe müssen dieselben Regeln für minimale notwendige Daten beachten. Emergency contacts aus CSV oder Onboarding bleiben persönliche Kontakte und werden nicht zu Red Cross staff.</w:t>
      </w:r>
    </w:p>
    <w:p>
      <w:pPr>
        <w:jc w:val="center"/>
      </w:pPr>
      <w:r>
        <w:drawing>
          <wp:inline xmlns:a="http://schemas.openxmlformats.org/drawingml/2006/main" xmlns:pic="http://schemas.openxmlformats.org/drawingml/2006/picture">
            <wp:extent cx="5806440" cy="3629025"/>
            <wp:docPr id="6" name="Picture 6"/>
            <wp:cNvGraphicFramePr>
              <a:graphicFrameLocks noChangeAspect="1"/>
            </wp:cNvGraphicFramePr>
            <a:graphic>
              <a:graphicData uri="http://schemas.openxmlformats.org/drawingml/2006/picture">
                <pic:pic>
                  <pic:nvPicPr>
                    <pic:cNvPr id="0" name="screenshot-06.png"/>
                    <pic:cNvPicPr/>
                  </pic:nvPicPr>
                  <pic:blipFill>
                    <a:blip r:embed="rId14"/>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Care Profile Intake für neue Clients.</w:t>
      </w:r>
    </w:p>
    <w:p/>
    <w:p>
      <w:pPr>
        <w:pStyle w:val="Heading1"/>
      </w:pPr>
      <w:r>
        <w:t>9. Client-Profil</w:t>
      </w:r>
    </w:p>
    <w:p>
      <w:pPr>
        <w:spacing w:after="120"/>
      </w:pPr>
      <w:r>
        <w:t>Das Client-Profil ist die zentrale Arbeitsansicht. Es zeigt Name, Stadt, Status, Telefon, Sprache, Adresse, Zustimmung, letzten Kontakt und Care coverage.</w:t>
      </w:r>
    </w:p>
    <w:p>
      <w:pPr>
        <w:spacing w:after="120"/>
      </w:pPr>
      <w:r>
        <w:t>Die Karte Medication and check-ins zeigt Medikamente, Zeiten, Frequenz und Routinen. View adherence öffnet den wöchentlichen Medikationskalender des Clients.</w:t>
      </w:r>
    </w:p>
    <w:p>
      <w:pPr>
        <w:spacing w:after="120"/>
      </w:pPr>
      <w:r>
        <w:t>Call now, Send WhatsApp und Contact care provider dürfen keine Aktion vortäuschen. Wenn kein Gateway verbunden ist, muss die UI erklären, dass eine Gateway-Verbindung erforderlich ist.</w:t>
      </w:r>
    </w:p>
    <w:p>
      <w:pPr>
        <w:jc w:val="center"/>
      </w:pPr>
      <w:r>
        <w:drawing>
          <wp:inline xmlns:a="http://schemas.openxmlformats.org/drawingml/2006/main" xmlns:pic="http://schemas.openxmlformats.org/drawingml/2006/picture">
            <wp:extent cx="5806440" cy="3677412"/>
            <wp:docPr id="7" name="Picture 7"/>
            <wp:cNvGraphicFramePr>
              <a:graphicFrameLocks noChangeAspect="1"/>
            </wp:cNvGraphicFramePr>
            <a:graphic>
              <a:graphicData uri="http://schemas.openxmlformats.org/drawingml/2006/picture">
                <pic:pic>
                  <pic:nvPicPr>
                    <pic:cNvPr id="0" name="screenshot-07.png"/>
                    <pic:cNvPicPr/>
                  </pic:nvPicPr>
                  <pic:blipFill>
                    <a:blip r:embed="rId15"/>
                    <a:stretch>
                      <a:fillRect/>
                    </a:stretch>
                  </pic:blipFill>
                  <pic:spPr>
                    <a:xfrm>
                      <a:off x="0" y="0"/>
                      <a:ext cx="5806440" cy="3677412"/>
                    </a:xfrm>
                    <a:prstGeom prst="rect"/>
                  </pic:spPr>
                </pic:pic>
              </a:graphicData>
            </a:graphic>
          </wp:inline>
        </w:drawing>
      </w:r>
    </w:p>
    <w:p>
      <w:pPr>
        <w:jc w:val="center"/>
      </w:pPr>
      <w:r>
        <w:rPr>
          <w:rFonts w:ascii="Segoe UI" w:hAnsi="Segoe UI"/>
          <w:i/>
          <w:color w:val="6B7280"/>
          <w:sz w:val="16"/>
        </w:rPr>
        <w:t>Client-Profil mit Status, Aktionen und Care Cards.</w:t>
      </w:r>
    </w:p>
    <w:p>
      <w:pPr>
        <w:jc w:val="center"/>
      </w:pPr>
      <w:r>
        <w:drawing>
          <wp:inline xmlns:a="http://schemas.openxmlformats.org/drawingml/2006/main" xmlns:pic="http://schemas.openxmlformats.org/drawingml/2006/picture">
            <wp:extent cx="5806440" cy="3677412"/>
            <wp:docPr id="8" name="Picture 8"/>
            <wp:cNvGraphicFramePr>
              <a:graphicFrameLocks noChangeAspect="1"/>
            </wp:cNvGraphicFramePr>
            <a:graphic>
              <a:graphicData uri="http://schemas.openxmlformats.org/drawingml/2006/picture">
                <pic:pic>
                  <pic:nvPicPr>
                    <pic:cNvPr id="0" name="screenshot-08.png"/>
                    <pic:cNvPicPr/>
                  </pic:nvPicPr>
                  <pic:blipFill>
                    <a:blip r:embed="rId16"/>
                    <a:stretch>
                      <a:fillRect/>
                    </a:stretch>
                  </pic:blipFill>
                  <pic:spPr>
                    <a:xfrm>
                      <a:off x="0" y="0"/>
                      <a:ext cx="5806440" cy="3677412"/>
                    </a:xfrm>
                    <a:prstGeom prst="rect"/>
                  </pic:spPr>
                </pic:pic>
              </a:graphicData>
            </a:graphic>
          </wp:inline>
        </w:drawing>
      </w:r>
    </w:p>
    <w:p>
      <w:pPr>
        <w:jc w:val="center"/>
      </w:pPr>
      <w:r>
        <w:rPr>
          <w:rFonts w:ascii="Segoe UI" w:hAnsi="Segoe UI"/>
          <w:i/>
          <w:color w:val="6B7280"/>
          <w:sz w:val="16"/>
        </w:rPr>
        <w:t>Medikation, Check-ins und Brain Coach im Client-Profil.</w:t>
      </w:r>
    </w:p>
    <w:p/>
    <w:p>
      <w:pPr>
        <w:pStyle w:val="Heading1"/>
      </w:pPr>
      <w:r>
        <w:t>10. Emergency contacts</w:t>
      </w:r>
    </w:p>
    <w:p>
      <w:pPr>
        <w:spacing w:after="120"/>
      </w:pPr>
      <w:r>
        <w:t>Emergency contacts sind nicht-professionelle Unterstützungspersonen: Familie, Nachbarn, informelle Betreuung oder persönliche Notfallkontakte.</w:t>
      </w:r>
    </w:p>
    <w:p>
      <w:pPr>
        <w:spacing w:after="120"/>
      </w:pPr>
      <w:r>
        <w:t>Diese Kontakte werden während Onboarding, eingehenden Gesprächen oder im Admin-Intake erfasst. Die Seite darf kein Red Cross staff enthalten.</w:t>
      </w:r>
    </w:p>
    <w:p>
      <w:pPr>
        <w:spacing w:after="120"/>
      </w:pPr>
      <w:r>
        <w:t>Ein Client kann mehrere Emergency contacts haben, und ein Kontakt kann mehreren Clients zugeordnet sein.</w:t>
      </w:r>
    </w:p>
    <w:p>
      <w:pPr>
        <w:jc w:val="center"/>
      </w:pPr>
      <w:r>
        <w:drawing>
          <wp:inline xmlns:a="http://schemas.openxmlformats.org/drawingml/2006/main" xmlns:pic="http://schemas.openxmlformats.org/drawingml/2006/picture">
            <wp:extent cx="5806440" cy="3677412"/>
            <wp:docPr id="9" name="Picture 9"/>
            <wp:cNvGraphicFramePr>
              <a:graphicFrameLocks noChangeAspect="1"/>
            </wp:cNvGraphicFramePr>
            <a:graphic>
              <a:graphicData uri="http://schemas.openxmlformats.org/drawingml/2006/picture">
                <pic:pic>
                  <pic:nvPicPr>
                    <pic:cNvPr id="0" name="screenshot-09.png"/>
                    <pic:cNvPicPr/>
                  </pic:nvPicPr>
                  <pic:blipFill>
                    <a:blip r:embed="rId17"/>
                    <a:stretch>
                      <a:fillRect/>
                    </a:stretch>
                  </pic:blipFill>
                  <pic:spPr>
                    <a:xfrm>
                      <a:off x="0" y="0"/>
                      <a:ext cx="5806440" cy="3677412"/>
                    </a:xfrm>
                    <a:prstGeom prst="rect"/>
                  </pic:spPr>
                </pic:pic>
              </a:graphicData>
            </a:graphic>
          </wp:inline>
        </w:drawing>
      </w:r>
    </w:p>
    <w:p>
      <w:pPr>
        <w:jc w:val="center"/>
      </w:pPr>
      <w:r>
        <w:rPr>
          <w:rFonts w:ascii="Segoe UI" w:hAnsi="Segoe UI"/>
          <w:i/>
          <w:color w:val="6B7280"/>
          <w:sz w:val="16"/>
        </w:rPr>
        <w:t>Emergency contacts aus Onboarding oder Intake.</w:t>
      </w:r>
    </w:p>
    <w:p/>
    <w:p>
      <w:pPr>
        <w:pStyle w:val="Heading1"/>
      </w:pPr>
      <w:r>
        <w:t>11. Red Cross staff</w:t>
      </w:r>
    </w:p>
    <w:p>
      <w:pPr>
        <w:spacing w:after="120"/>
      </w:pPr>
      <w:r>
        <w:t>Red Cross staff ist professionelles Personal der aktiven Organisation. Es wird getrennt von Emergency contacts verwaltet.</w:t>
      </w:r>
    </w:p>
    <w:p>
      <w:pPr>
        <w:spacing w:after="120"/>
      </w:pPr>
      <w:r>
        <w:t>Beim Zuweisen von Personal wird eine professionelle Rolle ausgewählt, nicht eine familiäre Beziehung. Beispiele sind Field coordinator, Primary operator, Medication support, Social worker oder Supervisor.</w:t>
      </w:r>
    </w:p>
    <w:p>
      <w:pPr>
        <w:jc w:val="center"/>
      </w:pPr>
      <w:r>
        <w:drawing>
          <wp:inline xmlns:a="http://schemas.openxmlformats.org/drawingml/2006/main" xmlns:pic="http://schemas.openxmlformats.org/drawingml/2006/picture">
            <wp:extent cx="5806440" cy="3677412"/>
            <wp:docPr id="10" name="Picture 10"/>
            <wp:cNvGraphicFramePr>
              <a:graphicFrameLocks noChangeAspect="1"/>
            </wp:cNvGraphicFramePr>
            <a:graphic>
              <a:graphicData uri="http://schemas.openxmlformats.org/drawingml/2006/picture">
                <pic:pic>
                  <pic:nvPicPr>
                    <pic:cNvPr id="0" name="screenshot-10.png"/>
                    <pic:cNvPicPr/>
                  </pic:nvPicPr>
                  <pic:blipFill>
                    <a:blip r:embed="rId18"/>
                    <a:stretch>
                      <a:fillRect/>
                    </a:stretch>
                  </pic:blipFill>
                  <pic:spPr>
                    <a:xfrm>
                      <a:off x="0" y="0"/>
                      <a:ext cx="5806440" cy="3677412"/>
                    </a:xfrm>
                    <a:prstGeom prst="rect"/>
                  </pic:spPr>
                </pic:pic>
              </a:graphicData>
            </a:graphic>
          </wp:inline>
        </w:drawing>
      </w:r>
    </w:p>
    <w:p>
      <w:pPr>
        <w:jc w:val="center"/>
      </w:pPr>
      <w:r>
        <w:rPr>
          <w:rFonts w:ascii="Segoe UI" w:hAnsi="Segoe UI"/>
          <w:i/>
          <w:color w:val="6B7280"/>
          <w:sz w:val="16"/>
        </w:rPr>
        <w:t>Professionelles Red Cross staff getrennt von persönlichen Kontakten.</w:t>
      </w:r>
    </w:p>
    <w:p/>
    <w:p>
      <w:pPr>
        <w:pStyle w:val="Heading1"/>
      </w:pPr>
      <w:r>
        <w:t>12. Check-ins</w:t>
      </w:r>
    </w:p>
    <w:p>
      <w:pPr>
        <w:spacing w:after="120"/>
      </w:pPr>
      <w:r>
        <w:t>Check-ins ist nur für Check-up-Anrufe. Brain Coach Sessions werden auf der separaten Brain Coach Seite geführt.</w:t>
      </w:r>
    </w:p>
    <w:p>
      <w:pPr>
        <w:spacing w:after="120"/>
      </w:pPr>
      <w:r>
        <w:t>Jede Zeile zeigt Client, Telefon, Typ, Status, letzten Check-in, Frequenz, bevorzugte Uhrzeit und Aktionen.</w:t>
      </w:r>
    </w:p>
    <w:p>
      <w:pPr>
        <w:spacing w:after="120"/>
      </w:pPr>
      <w:r>
        <w:t>Wenn die geplante Uhrzeit vorbei ist und kein erfolgreicher Verlauf existiert, muss die Zeile Missed today anzeigen. Erfolgreiche Anrufe werden als Confirmed oder Completed angezeigt. Eskalationen werden als Escalated markiert.</w:t>
      </w:r>
    </w:p>
    <w:tbl>
      <w:tblPr>
        <w:tblW w:type="auto" w:w="0"/>
        <w:jc w:val="center"/>
        <w:tblLook w:firstColumn="1" w:firstRow="1" w:lastColumn="0" w:lastRow="0" w:noHBand="0" w:noVBand="1" w:val="04A0"/>
      </w:tblPr>
      <w:tblGrid>
        <w:gridCol w:w="5040"/>
        <w:gridCol w:w="5040"/>
      </w:tblGrid>
      <w:tr>
        <w:tc>
          <w:tcPr>
            <w:tcW w:type="dxa" w:w="5040"/>
            <w:vAlign w:val="center"/>
            <w:shd w:fill="6D4AFF"/>
          </w:tcPr>
          <w:p>
            <w:r/>
            <w:r>
              <w:rPr>
                <w:rFonts w:ascii="Segoe UI" w:hAnsi="Segoe UI"/>
                <w:b/>
                <w:color w:val="FFFFFF"/>
                <w:sz w:val="18"/>
              </w:rPr>
              <w:t>Status</w:t>
            </w:r>
          </w:p>
        </w:tc>
        <w:tc>
          <w:tcPr>
            <w:tcW w:type="dxa" w:w="5040"/>
            <w:vAlign w:val="center"/>
            <w:shd w:fill="6D4AFF"/>
          </w:tcPr>
          <w:p>
            <w:r/>
            <w:r>
              <w:rPr>
                <w:rFonts w:ascii="Segoe UI" w:hAnsi="Segoe UI"/>
                <w:b/>
                <w:color w:val="FFFFFF"/>
                <w:sz w:val="18"/>
              </w:rPr>
              <w:t>Bedeutung</w:t>
            </w:r>
          </w:p>
        </w:tc>
      </w:tr>
      <w:tr>
        <w:tc>
          <w:tcPr>
            <w:tcW w:type="dxa" w:w="5040"/>
            <w:vAlign w:val="center"/>
            <w:shd w:fill="FFFFFF"/>
          </w:tcPr>
          <w:p>
            <w:r/>
            <w:r>
              <w:rPr>
                <w:rFonts w:ascii="Segoe UI" w:hAnsi="Segoe UI"/>
                <w:b w:val="0"/>
                <w:color w:val="111827"/>
                <w:sz w:val="18"/>
              </w:rPr>
              <w:t>Active</w:t>
            </w:r>
          </w:p>
        </w:tc>
        <w:tc>
          <w:tcPr>
            <w:tcW w:type="dxa" w:w="5040"/>
            <w:vAlign w:val="center"/>
            <w:shd w:fill="FFFFFF"/>
          </w:tcPr>
          <w:p>
            <w:r/>
            <w:r>
              <w:rPr>
                <w:rFonts w:ascii="Segoe UI" w:hAnsi="Segoe UI"/>
                <w:b w:val="0"/>
                <w:color w:val="111827"/>
                <w:sz w:val="18"/>
              </w:rPr>
              <w:t>Routine ist aktiviert.</w:t>
            </w:r>
          </w:p>
        </w:tc>
      </w:tr>
      <w:tr>
        <w:tc>
          <w:tcPr>
            <w:tcW w:type="dxa" w:w="5040"/>
            <w:vAlign w:val="center"/>
            <w:shd w:fill="F9FAFB"/>
          </w:tcPr>
          <w:p>
            <w:r/>
            <w:r>
              <w:rPr>
                <w:rFonts w:ascii="Segoe UI" w:hAnsi="Segoe UI"/>
                <w:b w:val="0"/>
                <w:color w:val="111827"/>
                <w:sz w:val="18"/>
              </w:rPr>
              <w:t>Missed</w:t>
            </w:r>
          </w:p>
        </w:tc>
        <w:tc>
          <w:tcPr>
            <w:tcW w:type="dxa" w:w="5040"/>
            <w:vAlign w:val="center"/>
            <w:shd w:fill="F9FAFB"/>
          </w:tcPr>
          <w:p>
            <w:r/>
            <w:r>
              <w:rPr>
                <w:rFonts w:ascii="Segoe UI" w:hAnsi="Segoe UI"/>
                <w:b w:val="0"/>
                <w:color w:val="111827"/>
                <w:sz w:val="18"/>
              </w:rPr>
              <w:t>Geplanter Anruf ist ohne Bestätigung verstrichen.</w:t>
            </w:r>
          </w:p>
        </w:tc>
      </w:tr>
      <w:tr>
        <w:tc>
          <w:tcPr>
            <w:tcW w:type="dxa" w:w="5040"/>
            <w:vAlign w:val="center"/>
            <w:shd w:fill="FFFFFF"/>
          </w:tcPr>
          <w:p>
            <w:r/>
            <w:r>
              <w:rPr>
                <w:rFonts w:ascii="Segoe UI" w:hAnsi="Segoe UI"/>
                <w:b w:val="0"/>
                <w:color w:val="111827"/>
                <w:sz w:val="18"/>
              </w:rPr>
              <w:t>Confirmed / Completed</w:t>
            </w:r>
          </w:p>
        </w:tc>
        <w:tc>
          <w:tcPr>
            <w:tcW w:type="dxa" w:w="5040"/>
            <w:vAlign w:val="center"/>
            <w:shd w:fill="FFFFFF"/>
          </w:tcPr>
          <w:p>
            <w:r/>
            <w:r>
              <w:rPr>
                <w:rFonts w:ascii="Segoe UI" w:hAnsi="Segoe UI"/>
                <w:b w:val="0"/>
                <w:color w:val="111827"/>
                <w:sz w:val="18"/>
              </w:rPr>
              <w:t>Anruf wurde erfolgreich abgeschlossen.</w:t>
            </w:r>
          </w:p>
        </w:tc>
      </w:tr>
      <w:tr>
        <w:tc>
          <w:tcPr>
            <w:tcW w:type="dxa" w:w="5040"/>
            <w:vAlign w:val="center"/>
            <w:shd w:fill="F9FAFB"/>
          </w:tcPr>
          <w:p>
            <w:r/>
            <w:r>
              <w:rPr>
                <w:rFonts w:ascii="Segoe UI" w:hAnsi="Segoe UI"/>
                <w:b w:val="0"/>
                <w:color w:val="111827"/>
                <w:sz w:val="18"/>
              </w:rPr>
              <w:t>Escalated</w:t>
            </w:r>
          </w:p>
        </w:tc>
        <w:tc>
          <w:tcPr>
            <w:tcW w:type="dxa" w:w="5040"/>
            <w:vAlign w:val="center"/>
            <w:shd w:fill="F9FAFB"/>
          </w:tcPr>
          <w:p>
            <w:r/>
            <w:r>
              <w:rPr>
                <w:rFonts w:ascii="Segoe UI" w:hAnsi="Segoe UI"/>
                <w:b w:val="0"/>
                <w:color w:val="111827"/>
                <w:sz w:val="18"/>
              </w:rPr>
              <w:t>Notfall- oder Eskalationsprotokoll wurde ausgelöst.</w:t>
            </w:r>
          </w:p>
        </w:tc>
      </w:tr>
      <w:tr>
        <w:tc>
          <w:tcPr>
            <w:tcW w:type="dxa" w:w="5040"/>
            <w:vAlign w:val="center"/>
            <w:shd w:fill="FFFFFF"/>
          </w:tcPr>
          <w:p>
            <w:r/>
            <w:r>
              <w:rPr>
                <w:rFonts w:ascii="Segoe UI" w:hAnsi="Segoe UI"/>
                <w:b w:val="0"/>
                <w:color w:val="111827"/>
                <w:sz w:val="18"/>
              </w:rPr>
              <w:t>Cancelled</w:t>
            </w:r>
          </w:p>
        </w:tc>
        <w:tc>
          <w:tcPr>
            <w:tcW w:type="dxa" w:w="5040"/>
            <w:vAlign w:val="center"/>
            <w:shd w:fill="FFFFFF"/>
          </w:tcPr>
          <w:p>
            <w:r/>
            <w:r>
              <w:rPr>
                <w:rFonts w:ascii="Segoe UI" w:hAnsi="Segoe UI"/>
                <w:b w:val="0"/>
                <w:color w:val="111827"/>
                <w:sz w:val="18"/>
              </w:rPr>
              <w:t>Routine oder geplanter Anruf wurde beendet.</w:t>
            </w:r>
          </w:p>
        </w:tc>
      </w:tr>
    </w:tbl>
    <w:p>
      <w:pPr>
        <w:jc w:val="center"/>
      </w:pPr>
      <w:r>
        <w:drawing>
          <wp:inline xmlns:a="http://schemas.openxmlformats.org/drawingml/2006/main" xmlns:pic="http://schemas.openxmlformats.org/drawingml/2006/picture">
            <wp:extent cx="5806440" cy="3629025"/>
            <wp:docPr id="11" name="Picture 11"/>
            <wp:cNvGraphicFramePr>
              <a:graphicFrameLocks noChangeAspect="1"/>
            </wp:cNvGraphicFramePr>
            <a:graphic>
              <a:graphicData uri="http://schemas.openxmlformats.org/drawingml/2006/picture">
                <pic:pic>
                  <pic:nvPicPr>
                    <pic:cNvPr id="0" name="screenshot-11.png"/>
                    <pic:cNvPicPr/>
                  </pic:nvPicPr>
                  <pic:blipFill>
                    <a:blip r:embed="rId19"/>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Check-in-Routinen mit Status und bevorzugter Uhrzeit.</w:t>
      </w:r>
    </w:p>
    <w:p/>
    <w:p>
      <w:pPr>
        <w:pStyle w:val="Heading1"/>
      </w:pPr>
      <w:r>
        <w:t>13. Brain Coach</w:t>
      </w:r>
    </w:p>
    <w:p>
      <w:pPr>
        <w:spacing w:after="120"/>
      </w:pPr>
      <w:r>
        <w:t>Brain Coach zeigt kognitive Routinen und Aktivitätsberichte. Die Tabelle zeigt aktive und inaktive Routinen mit Frequenz und bevorzugter Uhrzeit.</w:t>
      </w:r>
    </w:p>
    <w:p>
      <w:pPr>
        <w:spacing w:after="120"/>
      </w:pPr>
      <w:r>
        <w:t>Das Report-Icon öffnet den Brain Coach Aktivitätsbericht, nicht das allgemeine Client-Profil. Der Bericht zeigt Durchschnittswert, abgeschlossene Sessions, Fragen, Streak und Details für 7, 30 oder 90 Tage.</w:t>
      </w:r>
    </w:p>
    <w:p>
      <w:pPr>
        <w:spacing w:after="120"/>
      </w:pPr>
      <w:r>
        <w:t>Die Profil-Timeline soll die letzte echte Session anzeigen, nicht nur die aktive Einstellung.</w:t>
      </w:r>
    </w:p>
    <w:p>
      <w:pPr>
        <w:jc w:val="center"/>
      </w:pPr>
      <w:r>
        <w:drawing>
          <wp:inline xmlns:a="http://schemas.openxmlformats.org/drawingml/2006/main" xmlns:pic="http://schemas.openxmlformats.org/drawingml/2006/picture">
            <wp:extent cx="5806440" cy="3629025"/>
            <wp:docPr id="12" name="Picture 12"/>
            <wp:cNvGraphicFramePr>
              <a:graphicFrameLocks noChangeAspect="1"/>
            </wp:cNvGraphicFramePr>
            <a:graphic>
              <a:graphicData uri="http://schemas.openxmlformats.org/drawingml/2006/picture">
                <pic:pic>
                  <pic:nvPicPr>
                    <pic:cNvPr id="0" name="screenshot-12.png"/>
                    <pic:cNvPicPr/>
                  </pic:nvPicPr>
                  <pic:blipFill>
                    <a:blip r:embed="rId20"/>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Brain Coach Sessions und Aktivitätsberichte.</w:t>
      </w:r>
    </w:p>
    <w:p/>
    <w:p>
      <w:pPr>
        <w:pStyle w:val="Heading1"/>
      </w:pPr>
      <w:r>
        <w:t>14. Medikation und Adhärenz</w:t>
      </w:r>
    </w:p>
    <w:p>
      <w:pPr>
        <w:spacing w:after="120"/>
      </w:pPr>
      <w:r>
        <w:t>Medication zeigt Medikationssignale und führt zur wöchentlichen Adhärenz pro Client. Medikamente stehen in Zeilen, Wochentage in Spalten.</w:t>
      </w:r>
    </w:p>
    <w:p>
      <w:pPr>
        <w:spacing w:after="120"/>
      </w:pPr>
      <w:r>
        <w:t>Der Medikationsdialog umfasst Name, Dosierung, Zweck, Zeiten, Frequenz und ob Erinnerungen aktiv sind.</w:t>
      </w:r>
    </w:p>
    <w:p>
      <w:pPr>
        <w:spacing w:after="120"/>
      </w:pPr>
      <w:r>
        <w:t>Vergangene Dosen ohne Eintrag werden als Unconfirmed angezeigt; künftige geplante Dosen bleiben Upcoming.</w:t>
      </w:r>
    </w:p>
    <w:p>
      <w:pPr>
        <w:jc w:val="center"/>
      </w:pPr>
      <w:r>
        <w:drawing>
          <wp:inline xmlns:a="http://schemas.openxmlformats.org/drawingml/2006/main" xmlns:pic="http://schemas.openxmlformats.org/drawingml/2006/picture">
            <wp:extent cx="5806440" cy="3629025"/>
            <wp:docPr id="13" name="Picture 13"/>
            <wp:cNvGraphicFramePr>
              <a:graphicFrameLocks noChangeAspect="1"/>
            </wp:cNvGraphicFramePr>
            <a:graphic>
              <a:graphicData uri="http://schemas.openxmlformats.org/drawingml/2006/picture">
                <pic:pic>
                  <pic:nvPicPr>
                    <pic:cNvPr id="0" name="screenshot-13.png"/>
                    <pic:cNvPicPr/>
                  </pic:nvPicPr>
                  <pic:blipFill>
                    <a:blip r:embed="rId21"/>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Wöchentlicher Medikationskalender mit Status pro Dosis.</w:t>
      </w:r>
    </w:p>
    <w:p/>
    <w:p>
      <w:pPr>
        <w:pStyle w:val="Heading1"/>
      </w:pPr>
      <w:r>
        <w:t>15. Risk</w:t>
      </w:r>
    </w:p>
    <w:p>
      <w:pPr>
        <w:spacing w:after="120"/>
      </w:pPr>
      <w:r>
        <w:t>Risk priorisiert operative Arbeit. Die Karten Urgent, Review, No response, Medication und Unassigned müssen erklärbar sein.</w:t>
      </w:r>
    </w:p>
    <w:p>
      <w:pPr>
        <w:spacing w:after="120"/>
      </w:pPr>
      <w:r>
        <w:t>Jede Karte sollte eine Hilfe anzeigen, die beschreibt, wie die Zahl berechnet wird. Die Queue aktualisiert sich aus realen Signalen: verpasste Check-ins, unbestätigte Medikation, fehlende Abdeckung, Eskalationen und aktuelle Ereignisse.</w:t>
      </w:r>
    </w:p>
    <w:p>
      <w:pPr>
        <w:jc w:val="center"/>
      </w:pPr>
      <w:r>
        <w:drawing>
          <wp:inline xmlns:a="http://schemas.openxmlformats.org/drawingml/2006/main" xmlns:pic="http://schemas.openxmlformats.org/drawingml/2006/picture">
            <wp:extent cx="5806440" cy="3629025"/>
            <wp:docPr id="14" name="Picture 14"/>
            <wp:cNvGraphicFramePr>
              <a:graphicFrameLocks noChangeAspect="1"/>
            </wp:cNvGraphicFramePr>
            <a:graphic>
              <a:graphicData uri="http://schemas.openxmlformats.org/drawingml/2006/picture">
                <pic:pic>
                  <pic:nvPicPr>
                    <pic:cNvPr id="0" name="screenshot-14.png"/>
                    <pic:cNvPicPr/>
                  </pic:nvPicPr>
                  <pic:blipFill>
                    <a:blip r:embed="rId22"/>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Risk Queue mit erklärbaren Kennzahlen.</w:t>
      </w:r>
    </w:p>
    <w:p/>
    <w:p>
      <w:pPr>
        <w:pStyle w:val="Heading1"/>
      </w:pPr>
      <w:r>
        <w:t>16. Sensors</w:t>
      </w:r>
    </w:p>
    <w:p>
      <w:pPr>
        <w:spacing w:after="120"/>
      </w:pPr>
      <w:r>
        <w:t>Sensors ersetzt die alte Bezeichnung Alerts. Bis der Sensor-Backend-Anschluss fertig ist, zeigt die Seite einen klaren leeren Zustand.</w:t>
      </w:r>
    </w:p>
    <w:p>
      <w:pPr>
        <w:spacing w:after="120"/>
      </w:pPr>
      <w:r>
        <w:t>Die Konsole darf keine Sensordaten erfinden. Später können Geräte, Batterie, Verbindung, Alerts und Events ergänzt werden.</w:t>
      </w:r>
    </w:p>
    <w:p/>
    <w:p>
      <w:pPr>
        <w:pStyle w:val="Heading1"/>
      </w:pPr>
      <w:r>
        <w:t>17. VYVA Call Campaigns</w:t>
      </w:r>
    </w:p>
    <w:p>
      <w:pPr>
        <w:spacing w:after="120"/>
      </w:pPr>
      <w:r>
        <w:t>Campaigns ist ein Anruf-first-Arbeitsbereich für VYVA-Kampagnen. Der Ablauf ist: Vorlage wählen, Zielgruppe definieren, Skript schreiben oder generieren, Empfänger prüfen und speichern, planen oder in die Queue stellen.</w:t>
      </w:r>
    </w:p>
    <w:p>
      <w:pPr>
        <w:spacing w:after="120"/>
      </w:pPr>
      <w:r>
        <w:t>Vorlagen sind General announcement, Heatwave alert, Vaccination reminder, Scam safety alert, Service update und Create your own.</w:t>
      </w:r>
    </w:p>
    <w:p>
      <w:pPr>
        <w:spacing w:after="120"/>
      </w:pPr>
      <w:r>
        <w:t>AI assist kann aus wenigen Worten ein erstes Skript erzeugen. Das Skript bleibt immer editierbar und wird nicht ohne Admin-Bestätigung in die Queue gestellt.</w:t>
      </w:r>
    </w:p>
    <w:p>
      <w:pPr>
        <w:jc w:val="center"/>
      </w:pPr>
      <w:r>
        <w:drawing>
          <wp:inline xmlns:a="http://schemas.openxmlformats.org/drawingml/2006/main" xmlns:pic="http://schemas.openxmlformats.org/drawingml/2006/picture">
            <wp:extent cx="5806440" cy="3629025"/>
            <wp:docPr id="15" name="Picture 15"/>
            <wp:cNvGraphicFramePr>
              <a:graphicFrameLocks noChangeAspect="1"/>
            </wp:cNvGraphicFramePr>
            <a:graphic>
              <a:graphicData uri="http://schemas.openxmlformats.org/drawingml/2006/picture">
                <pic:pic>
                  <pic:nvPicPr>
                    <pic:cNvPr id="0" name="screenshot-15.png"/>
                    <pic:cNvPicPr/>
                  </pic:nvPicPr>
                  <pic:blipFill>
                    <a:blip r:embed="rId23"/>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VYVA Call Campaigns mit Vorlagen und Status.</w:t>
      </w:r>
    </w:p>
    <w:p/>
    <w:p>
      <w:pPr>
        <w:pStyle w:val="Heading1"/>
      </w:pPr>
      <w:r>
        <w:t>18. Intelligente Kampagnen-Zielgruppen</w:t>
      </w:r>
    </w:p>
    <w:p>
      <w:pPr>
        <w:spacing w:after="120"/>
      </w:pPr>
      <w:r>
        <w:t>Das Targeting ist regelbasiert. Admins können geografisch, nach Risiko, Gesundheitsbedingung, Versorgungslücke oder zugewiesenem Personal filtern.</w:t>
      </w:r>
    </w:p>
    <w:p>
      <w:pPr>
        <w:spacing w:after="120"/>
      </w:pPr>
      <w:r>
        <w:t>Telefonnummer und Zustimmung sind Pflicht-Schutzregeln für VYVA-Anrufkampagnen. Die Vorschau zeigt berechtigte und übersprungene Clients mit Gründen.</w:t>
      </w:r>
    </w:p>
    <w:p>
      <w:pPr>
        <w:pStyle w:val="ListBullet"/>
      </w:pPr>
      <w:r>
        <w:t>Where: Organisation, Land, Stadt oder benannter Bereich.</w:t>
      </w:r>
    </w:p>
    <w:p>
      <w:pPr>
        <w:pStyle w:val="ListBullet"/>
      </w:pPr>
      <w:r>
        <w:t>Who: Risiko-Level und Gesundheitsbedingungen.</w:t>
      </w:r>
    </w:p>
    <w:p>
      <w:pPr>
        <w:pStyle w:val="ListBullet"/>
      </w:pPr>
      <w:r>
        <w:t>Support coverage: alle, unassigned oder einem Provider zugewiesen.</w:t>
      </w:r>
    </w:p>
    <w:p>
      <w:pPr>
        <w:pStyle w:val="ListBullet"/>
      </w:pPr>
      <w:r>
        <w:t>Safeguards: Zustimmung und Telefonnummer bleiben standardmäßig erforderlich.</w:t>
      </w:r>
    </w:p>
    <w:p>
      <w:pPr>
        <w:jc w:val="center"/>
      </w:pPr>
      <w:r>
        <w:drawing>
          <wp:inline xmlns:a="http://schemas.openxmlformats.org/drawingml/2006/main" xmlns:pic="http://schemas.openxmlformats.org/drawingml/2006/picture">
            <wp:extent cx="5806440" cy="3629025"/>
            <wp:docPr id="16" name="Picture 16"/>
            <wp:cNvGraphicFramePr>
              <a:graphicFrameLocks noChangeAspect="1"/>
            </wp:cNvGraphicFramePr>
            <a:graphic>
              <a:graphicData uri="http://schemas.openxmlformats.org/drawingml/2006/picture">
                <pic:pic>
                  <pic:nvPicPr>
                    <pic:cNvPr id="0" name="screenshot-16.png"/>
                    <pic:cNvPicPr/>
                  </pic:nvPicPr>
                  <pic:blipFill>
                    <a:blip r:embed="rId24"/>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Regelbasierte Zielgruppenauswahl für Kampagnen.</w:t>
      </w:r>
    </w:p>
    <w:p/>
    <w:p>
      <w:pPr>
        <w:pStyle w:val="Heading1"/>
      </w:pPr>
      <w:r>
        <w:t>19. Team access</w:t>
      </w:r>
    </w:p>
    <w:p>
      <w:pPr>
        <w:spacing w:after="120"/>
      </w:pPr>
      <w:r>
        <w:t>Team access erstellt interne Konsolenkonten für Admins, Koordinatoren und Operatoren. Es erstellt keine Clients.</w:t>
      </w:r>
    </w:p>
    <w:p>
      <w:pPr>
        <w:spacing w:after="120"/>
      </w:pPr>
      <w:r>
        <w:t>Superadmin-Berechtigungen werden nicht über diese Seite vergeben. Superadmins bleiben backendverwaltet.</w:t>
      </w:r>
    </w:p>
    <w:p>
      <w:pPr>
        <w:jc w:val="center"/>
      </w:pPr>
      <w:r>
        <w:drawing>
          <wp:inline xmlns:a="http://schemas.openxmlformats.org/drawingml/2006/main" xmlns:pic="http://schemas.openxmlformats.org/drawingml/2006/picture">
            <wp:extent cx="5806440" cy="3677412"/>
            <wp:docPr id="17" name="Picture 17"/>
            <wp:cNvGraphicFramePr>
              <a:graphicFrameLocks noChangeAspect="1"/>
            </wp:cNvGraphicFramePr>
            <a:graphic>
              <a:graphicData uri="http://schemas.openxmlformats.org/drawingml/2006/picture">
                <pic:pic>
                  <pic:nvPicPr>
                    <pic:cNvPr id="0" name="screenshot-17.png"/>
                    <pic:cNvPicPr/>
                  </pic:nvPicPr>
                  <pic:blipFill>
                    <a:blip r:embed="rId25"/>
                    <a:stretch>
                      <a:fillRect/>
                    </a:stretch>
                  </pic:blipFill>
                  <pic:spPr>
                    <a:xfrm>
                      <a:off x="0" y="0"/>
                      <a:ext cx="5806440" cy="3677412"/>
                    </a:xfrm>
                    <a:prstGeom prst="rect"/>
                  </pic:spPr>
                </pic:pic>
              </a:graphicData>
            </a:graphic>
          </wp:inline>
        </w:drawing>
      </w:r>
    </w:p>
    <w:p>
      <w:pPr>
        <w:jc w:val="center"/>
      </w:pPr>
      <w:r>
        <w:rPr>
          <w:rFonts w:ascii="Segoe UI" w:hAnsi="Segoe UI"/>
          <w:i/>
          <w:color w:val="6B7280"/>
          <w:sz w:val="16"/>
        </w:rPr>
        <w:t>Team access für interne Konsolenkonten.</w:t>
      </w:r>
    </w:p>
    <w:p/>
    <w:p>
      <w:pPr>
        <w:pStyle w:val="Heading1"/>
      </w:pPr>
      <w:r>
        <w:t>20. Einstellungen und Sprache</w:t>
      </w:r>
    </w:p>
    <w:p>
      <w:pPr>
        <w:spacing w:after="120"/>
      </w:pPr>
      <w:r>
        <w:t>Settings zeigt aktive Organisation, Standardland, Standardsprache und Zeitzone. Admins können Organisationswerte pflegen, sofern sie die Berechtigung haben.</w:t>
      </w:r>
    </w:p>
    <w:p>
      <w:pPr>
        <w:spacing w:after="120"/>
      </w:pPr>
      <w:r>
        <w:t>Die Konsolensprache kann Englisch, Deutsch oder Spanisch sein. Neue Care Profiles übernehmen zunächst die Organisationssprache, können aber angepasst werden.</w:t>
      </w:r>
    </w:p>
    <w:p>
      <w:pPr>
        <w:jc w:val="center"/>
      </w:pPr>
      <w:r>
        <w:drawing>
          <wp:inline xmlns:a="http://schemas.openxmlformats.org/drawingml/2006/main" xmlns:pic="http://schemas.openxmlformats.org/drawingml/2006/picture">
            <wp:extent cx="5806440" cy="3629025"/>
            <wp:docPr id="18" name="Picture 18"/>
            <wp:cNvGraphicFramePr>
              <a:graphicFrameLocks noChangeAspect="1"/>
            </wp:cNvGraphicFramePr>
            <a:graphic>
              <a:graphicData uri="http://schemas.openxmlformats.org/drawingml/2006/picture">
                <pic:pic>
                  <pic:nvPicPr>
                    <pic:cNvPr id="0" name="screenshot-18.png"/>
                    <pic:cNvPicPr/>
                  </pic:nvPicPr>
                  <pic:blipFill>
                    <a:blip r:embed="rId26"/>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Organisation, Sprache und Zeitzone in Settings.</w:t>
      </w:r>
    </w:p>
    <w:p/>
    <w:p>
      <w:pPr>
        <w:pStyle w:val="Heading1"/>
      </w:pPr>
      <w:r>
        <w:t>21. Reports</w:t>
      </w:r>
    </w:p>
    <w:p>
      <w:pPr>
        <w:spacing w:after="120"/>
      </w:pPr>
      <w:r>
        <w:t>Reports fasst operative Kennzahlen nach Organisation zusammen. Zahlen müssen sich beim Organisationswechsel ändern und dürfen nicht aus einer anderen Organisation gecacht werden.</w:t>
      </w:r>
    </w:p>
    <w:p>
      <w:pPr>
        <w:spacing w:after="120"/>
      </w:pPr>
      <w:r>
        <w:t>Reports helfen bei Review, Follow-up, Kampagnenstatus, Brain Coach Verlauf und Versorgungslücken.</w:t>
      </w:r>
    </w:p>
    <w:p>
      <w:pPr>
        <w:jc w:val="center"/>
      </w:pPr>
      <w:r>
        <w:drawing>
          <wp:inline xmlns:a="http://schemas.openxmlformats.org/drawingml/2006/main" xmlns:pic="http://schemas.openxmlformats.org/drawingml/2006/picture">
            <wp:extent cx="5806440" cy="3629025"/>
            <wp:docPr id="19" name="Picture 19"/>
            <wp:cNvGraphicFramePr>
              <a:graphicFrameLocks noChangeAspect="1"/>
            </wp:cNvGraphicFramePr>
            <a:graphic>
              <a:graphicData uri="http://schemas.openxmlformats.org/drawingml/2006/picture">
                <pic:pic>
                  <pic:nvPicPr>
                    <pic:cNvPr id="0" name="screenshot-19.png"/>
                    <pic:cNvPicPr/>
                  </pic:nvPicPr>
                  <pic:blipFill>
                    <a:blip r:embed="rId27"/>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Reports für operative Kennzahlen.</w:t>
      </w:r>
    </w:p>
    <w:p/>
    <w:p>
      <w:pPr>
        <w:pStyle w:val="Heading1"/>
      </w:pPr>
      <w:r>
        <w:t>22. Client-Aktivität</w:t>
      </w:r>
    </w:p>
    <w:p>
      <w:pPr>
        <w:spacing w:after="120"/>
      </w:pPr>
      <w:r>
        <w:t>Die Activity timeline zeigt echte Ereignisse: Onboarding, letzte Check-up-Anrufe, letzte Brain Coach Session, Medikationsaktionen, Care coverage Änderungen und Zustimmung.</w:t>
      </w:r>
    </w:p>
    <w:p>
      <w:pPr>
        <w:spacing w:after="120"/>
      </w:pPr>
      <w:r>
        <w:t>Einstellungen wie 'Brain Coach active' oder 'Medication plan has items' sind weniger hilfreich als die letzte reale Aktion. Die Timeline soll deshalb Ereignisse statt bloßer Konfigurationen priorisieren.</w:t>
      </w:r>
    </w:p>
    <w:p>
      <w:pPr>
        <w:jc w:val="center"/>
      </w:pPr>
      <w:r>
        <w:drawing>
          <wp:inline xmlns:a="http://schemas.openxmlformats.org/drawingml/2006/main" xmlns:pic="http://schemas.openxmlformats.org/drawingml/2006/picture">
            <wp:extent cx="5806440" cy="3629025"/>
            <wp:docPr id="20" name="Picture 20"/>
            <wp:cNvGraphicFramePr>
              <a:graphicFrameLocks noChangeAspect="1"/>
            </wp:cNvGraphicFramePr>
            <a:graphic>
              <a:graphicData uri="http://schemas.openxmlformats.org/drawingml/2006/picture">
                <pic:pic>
                  <pic:nvPicPr>
                    <pic:cNvPr id="0" name="screenshot-20.png"/>
                    <pic:cNvPicPr/>
                  </pic:nvPicPr>
                  <pic:blipFill>
                    <a:blip r:embed="rId28"/>
                    <a:stretch>
                      <a:fillRect/>
                    </a:stretch>
                  </pic:blipFill>
                  <pic:spPr>
                    <a:xfrm>
                      <a:off x="0" y="0"/>
                      <a:ext cx="5806440" cy="3629025"/>
                    </a:xfrm>
                    <a:prstGeom prst="rect"/>
                  </pic:spPr>
                </pic:pic>
              </a:graphicData>
            </a:graphic>
          </wp:inline>
        </w:drawing>
      </w:r>
    </w:p>
    <w:p>
      <w:pPr>
        <w:jc w:val="center"/>
      </w:pPr>
      <w:r>
        <w:rPr>
          <w:rFonts w:ascii="Segoe UI" w:hAnsi="Segoe UI"/>
          <w:i/>
          <w:color w:val="6B7280"/>
          <w:sz w:val="16"/>
        </w:rPr>
        <w:t>Activity timeline mit echten Client-Ereignissen.</w:t>
      </w:r>
    </w:p>
    <w:p/>
    <w:p>
      <w:pPr>
        <w:pStyle w:val="Heading1"/>
      </w:pPr>
      <w:r>
        <w:t>23. Datenschutz und minimale Daten</w:t>
      </w:r>
    </w:p>
    <w:p>
      <w:pPr>
        <w:spacing w:after="120"/>
      </w:pPr>
      <w:r>
        <w:t>Die Konsole sollte nur Daten erfassen, die für Betreuung und Koordination erforderlich sind. Vermeiden Sie vollständige medizinische Historien, Versicherungsdaten oder unnötige Diagnosedetails.</w:t>
      </w:r>
    </w:p>
    <w:p>
      <w:pPr>
        <w:spacing w:after="120"/>
      </w:pPr>
      <w:r>
        <w:t>Toasts, Logs und Fehlermeldungen dürfen keine Namen, Telefonnummern, Diagnosen, Medikamente oder Freitexte mit sensiblen Angaben enthalten.</w:t>
      </w:r>
    </w:p>
    <w:p/>
    <w:p>
      <w:pPr>
        <w:pStyle w:val="Heading1"/>
      </w:pPr>
      <w:r>
        <w:t>24. Externe Gateways und Integrationen</w:t>
      </w:r>
    </w:p>
    <w:p>
      <w:pPr>
        <w:spacing w:after="120"/>
      </w:pPr>
      <w:r>
        <w:t>Einige Aktionen benötigen externe Gateways: ausgehende Telefonie, WhatsApp, VYVA Voice Connector und zukünftige Sensoren.</w:t>
      </w:r>
    </w:p>
    <w:p>
      <w:pPr>
        <w:spacing w:after="120"/>
      </w:pPr>
      <w:r>
        <w:t>Solange ein Gateway nicht verbunden ist, muss die UI das klar sagen und darf keine erfolgreiche Aktion vortäuschen.</w:t>
      </w:r>
    </w:p>
    <w:p/>
    <w:p>
      <w:pPr>
        <w:pStyle w:val="Heading1"/>
      </w:pPr>
      <w:r>
        <w:t>25. Fehlerbehebung</w:t>
      </w:r>
    </w:p>
    <w:p>
      <w:pPr>
        <w:spacing w:after="120"/>
      </w:pPr>
      <w:r>
        <w:t>Wenn der Magic Link nicht ankommt, prüfen Sie Provider-Credits, verifizierte Domain und Absenderkonfiguration.</w:t>
      </w:r>
    </w:p>
    <w:p>
      <w:pPr>
        <w:spacing w:after="120"/>
      </w:pPr>
      <w:r>
        <w:t>Wenn eine Seite leer bleibt, sollte die Seite einen Fehlerzustand anzeigen. Prüfen Sie die letzte Veröffentlichung und laden Sie die Seite neu.</w:t>
      </w:r>
    </w:p>
    <w:p>
      <w:pPr>
        <w:spacing w:after="120"/>
      </w:pPr>
      <w:r>
        <w:t>Wenn Daten beim Organisationswechsel gleich bleiben, prüfen Sie, ob der Endpoint die aktive Organisation erhält und ob Query-Caches organisationsspezifisch invalidiert werden.</w:t>
      </w:r>
    </w:p>
    <w:p/>
    <w:sectPr w:rsidR="00FC693F" w:rsidRPr="0006063C" w:rsidSect="00034616">
      <w:footerReference w:type="default" r:id="rId2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Benutzerhandbuch - VYVA x Red Cross Konsole | Powered by VYVA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