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ubik" w:cs="Rubik" w:eastAsia="Rubik" w:hAnsi="Rubi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ubik" w:cs="Rubik" w:eastAsia="Rubik" w:hAnsi="Rubi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ubik" w:cs="Rubik" w:eastAsia="Rubik" w:hAnsi="Rubi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ubik" w:cs="Rubik" w:eastAsia="Rubik" w:hAnsi="Rubi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ubik" w:cs="Rubik" w:eastAsia="Rubik" w:hAnsi="Rubi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Questo è un modello di carta intestata libera dei Servizi d’Ateneo, da utilizzare per documenti interni, regolamenti, bandi e altra documentazione che non richiede l’utilizzo di carta intestata da lettere o altri formati particolari. Si prega di leggere attentamente le istruzioni.</w:t>
      </w:r>
    </w:p>
    <w:p w:rsidR="00000000" w:rsidDel="00000000" w:rsidP="00000000" w:rsidRDefault="00000000" w:rsidRPr="00000000" w14:paraId="00000007">
      <w:pPr>
        <w:rPr>
          <w:rFonts w:ascii="Rubik" w:cs="Rubik" w:eastAsia="Rubik" w:hAnsi="Rubi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Oltre al Manuale di stile presente nell’area Intranet, suggeriamo di seguire alcune regole per questo specifico documento.</w:t>
      </w:r>
    </w:p>
    <w:p w:rsidR="00000000" w:rsidDel="00000000" w:rsidP="00000000" w:rsidRDefault="00000000" w:rsidRPr="00000000" w14:paraId="00000009">
      <w:pPr>
        <w:rPr>
          <w:rFonts w:ascii="Rubik" w:cs="Rubik" w:eastAsia="Rubik" w:hAnsi="Rubi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ubik" w:cs="Rubik" w:eastAsia="Rubik" w:hAnsi="Rubi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ubik Medium" w:cs="Rubik Medium" w:eastAsia="Rubik Medium" w:hAnsi="Rubik Medium"/>
        </w:rPr>
      </w:pPr>
      <w:r w:rsidDel="00000000" w:rsidR="00000000" w:rsidRPr="00000000">
        <w:rPr>
          <w:rFonts w:ascii="Rubik Medium" w:cs="Rubik Medium" w:eastAsia="Rubik Medium" w:hAnsi="Rubik Medium"/>
          <w:rtl w:val="0"/>
        </w:rPr>
        <w:t xml:space="preserve">Per i titoli potete usare il font Rubik Medium, dimensione 12pt, interlinea singola.</w:t>
      </w:r>
    </w:p>
    <w:p w:rsidR="00000000" w:rsidDel="00000000" w:rsidP="00000000" w:rsidRDefault="00000000" w:rsidRPr="00000000" w14:paraId="0000000C">
      <w:pPr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Per i sottotitoli potete usare il font Rubik Regular, dimensione 12pt, interlinea singola.</w:t>
      </w:r>
    </w:p>
    <w:p w:rsidR="00000000" w:rsidDel="00000000" w:rsidP="00000000" w:rsidRDefault="00000000" w:rsidRPr="00000000" w14:paraId="0000000D">
      <w:pPr>
        <w:rPr>
          <w:rFonts w:ascii="Rubik" w:cs="Rubik" w:eastAsia="Rubik" w:hAnsi="Rubi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ubik" w:cs="Rubik" w:eastAsia="Rubik" w:hAnsi="Rubik"/>
          <w:sz w:val="20"/>
          <w:szCs w:val="20"/>
        </w:rPr>
      </w:pPr>
      <w:r w:rsidDel="00000000" w:rsidR="00000000" w:rsidRPr="00000000">
        <w:rPr>
          <w:rFonts w:ascii="Rubik" w:cs="Rubik" w:eastAsia="Rubik" w:hAnsi="Rubik"/>
          <w:sz w:val="20"/>
          <w:szCs w:val="20"/>
          <w:rtl w:val="0"/>
        </w:rPr>
        <w:t xml:space="preserve">Per il corpo di testo potete usare il font Rubik Regular, dimensioni 10pt, interlinea singola, se possibile non di meno. </w:t>
      </w:r>
    </w:p>
    <w:p w:rsidR="00000000" w:rsidDel="00000000" w:rsidP="00000000" w:rsidRDefault="00000000" w:rsidRPr="00000000" w14:paraId="0000000F">
      <w:pPr>
        <w:rPr>
          <w:rFonts w:ascii="Rubik" w:cs="Rubik" w:eastAsia="Rubik" w:hAnsi="Rubi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 i punti elenco potete usare la formattazione standard di Word, sempre con un font Rubik Regular a 10pt. </w:t>
      </w:r>
    </w:p>
    <w:p w:rsidR="00000000" w:rsidDel="00000000" w:rsidP="00000000" w:rsidRDefault="00000000" w:rsidRPr="00000000" w14:paraId="00000011">
      <w:pPr>
        <w:rPr>
          <w:rFonts w:ascii="Rubik" w:cs="Rubik" w:eastAsia="Rubik" w:hAnsi="Rubi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ubik" w:cs="Rubik" w:eastAsia="Rubik" w:hAnsi="Rubik"/>
          <w:i w:val="1"/>
          <w:iCs w:val="1"/>
          <w:sz w:val="20"/>
          <w:szCs w:val="20"/>
        </w:rPr>
      </w:pPr>
      <w:r w:rsidDel="00000000" w:rsidR="00000000" w:rsidRPr="00000000">
        <w:rPr>
          <w:rFonts w:ascii="Rubik" w:cs="Rubik" w:eastAsia="Rubik" w:hAnsi="Rubik"/>
          <w:i w:val="1"/>
          <w:iCs w:val="1"/>
          <w:sz w:val="20"/>
          <w:szCs w:val="20"/>
          <w:rtl w:val="0"/>
        </w:rPr>
        <w:t xml:space="preserve">Per citazioni, parole straniere, o altre parti del testo che richiedono il corsivo potete usare il Rubik Italico, dimensione 10pt. </w:t>
      </w:r>
    </w:p>
    <w:p w:rsidR="00000000" w:rsidDel="00000000" w:rsidP="00000000" w:rsidRDefault="00000000" w:rsidRPr="00000000" w14:paraId="00000013">
      <w:pPr>
        <w:rPr>
          <w:rFonts w:ascii="Rubik" w:cs="Rubik" w:eastAsia="Rubik" w:hAnsi="Rubi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ubik Light" w:cs="Rubik Light" w:eastAsia="Rubik Light" w:hAnsi="Rubik Light"/>
          <w:sz w:val="20"/>
          <w:szCs w:val="20"/>
        </w:rPr>
      </w:pPr>
      <w:r w:rsidDel="00000000" w:rsidR="00000000" w:rsidRPr="00000000">
        <w:rPr>
          <w:rFonts w:ascii="Rubik Light" w:cs="Rubik Light" w:eastAsia="Rubik Light" w:hAnsi="Rubik Light"/>
          <w:sz w:val="20"/>
          <w:szCs w:val="20"/>
          <w:rtl w:val="0"/>
        </w:rPr>
        <w:t xml:space="preserve">Per testi marginali o di importanza secondaria, per citazioni molto lunghe (solitamente sopra le 3-4 righe di testo), potete usare il Rubik Light, dimensione 10pt, interlinea singola. </w:t>
      </w:r>
    </w:p>
    <w:p w:rsidR="00000000" w:rsidDel="00000000" w:rsidP="00000000" w:rsidRDefault="00000000" w:rsidRPr="00000000" w14:paraId="00000015">
      <w:pPr>
        <w:rPr>
          <w:rFonts w:ascii="Rubik Light" w:cs="Rubik Light" w:eastAsia="Rubik Light" w:hAnsi="Rubik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ubik" w:cs="Rubik" w:eastAsia="Rubik" w:hAnsi="Rubik"/>
          <w:sz w:val="20"/>
          <w:szCs w:val="20"/>
        </w:rPr>
      </w:pPr>
      <w:r w:rsidDel="00000000" w:rsidR="00000000" w:rsidRPr="00000000">
        <w:rPr>
          <w:rFonts w:ascii="Rubik" w:cs="Rubik" w:eastAsia="Rubik" w:hAnsi="Rubik"/>
          <w:sz w:val="20"/>
          <w:szCs w:val="20"/>
          <w:rtl w:val="0"/>
        </w:rPr>
        <w:t xml:space="preserve">Il font Rubik comprende anche tutti i caratteri speciali (come questi # ] *). Solo in casi eccezionali, laddove non sia in alcun modo possibile utilizzare il Rubik, il font alternativo dell’Ateneo è il Verdana, disponibile su tutti i sistemi operativi.  </w:t>
      </w:r>
    </w:p>
    <w:p w:rsidR="00000000" w:rsidDel="00000000" w:rsidP="00000000" w:rsidRDefault="00000000" w:rsidRPr="00000000" w14:paraId="00000017">
      <w:pPr>
        <w:rPr>
          <w:rFonts w:ascii="Rubik" w:cs="Rubik" w:eastAsia="Rubik" w:hAnsi="Rubi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ubik" w:cs="Rubik" w:eastAsia="Rubik" w:hAnsi="Rubik"/>
          <w:sz w:val="20"/>
          <w:szCs w:val="20"/>
        </w:rPr>
      </w:pPr>
      <w:r w:rsidDel="00000000" w:rsidR="00000000" w:rsidRPr="00000000">
        <w:rPr>
          <w:rFonts w:ascii="Rubik" w:cs="Rubik" w:eastAsia="Rubik" w:hAnsi="Rubik"/>
          <w:sz w:val="20"/>
          <w:szCs w:val="20"/>
          <w:rtl w:val="0"/>
        </w:rPr>
        <w:t xml:space="preserve">Al presente modello è stato integrato il font Rubik, ma consigliamo di installarlo nel vostro sistema operativo prima di cominciare a lavorare con tutti i nuovi documenti, per essere sicuri di utilizzarlo correttamente su tutti i materiali di comunicazione. </w:t>
      </w:r>
    </w:p>
    <w:p w:rsidR="00000000" w:rsidDel="00000000" w:rsidP="00000000" w:rsidRDefault="00000000" w:rsidRPr="00000000" w14:paraId="00000019">
      <w:pPr>
        <w:rPr>
          <w:rFonts w:ascii="Rubik" w:cs="Rubik" w:eastAsia="Rubik" w:hAnsi="Rubi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ubik" w:cs="Rubik" w:eastAsia="Rubik" w:hAnsi="Rubik"/>
          <w:sz w:val="20"/>
          <w:szCs w:val="20"/>
        </w:rPr>
      </w:pPr>
      <w:r w:rsidDel="00000000" w:rsidR="00000000" w:rsidRPr="00000000">
        <w:rPr>
          <w:rFonts w:ascii="Rubik" w:cs="Rubik" w:eastAsia="Rubik" w:hAnsi="Rubik"/>
          <w:sz w:val="20"/>
          <w:szCs w:val="20"/>
          <w:rtl w:val="0"/>
        </w:rPr>
        <w:t xml:space="preserve">I margini del documento sono impostati a 2,5 per lato. </w:t>
      </w:r>
    </w:p>
    <w:p w:rsidR="00000000" w:rsidDel="00000000" w:rsidP="00000000" w:rsidRDefault="00000000" w:rsidRPr="00000000" w14:paraId="0000001B">
      <w:pPr>
        <w:rPr>
          <w:rFonts w:ascii="Rubik" w:cs="Rubik" w:eastAsia="Rubik" w:hAnsi="Rubi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ubik" w:cs="Rubik" w:eastAsia="Rubik" w:hAnsi="Rubik"/>
          <w:sz w:val="20"/>
          <w:szCs w:val="20"/>
        </w:rPr>
      </w:pPr>
      <w:r w:rsidDel="00000000" w:rsidR="00000000" w:rsidRPr="00000000">
        <w:rPr>
          <w:rFonts w:ascii="Rubik" w:cs="Rubik" w:eastAsia="Rubik" w:hAnsi="Rubik"/>
          <w:sz w:val="20"/>
          <w:szCs w:val="20"/>
          <w:rtl w:val="0"/>
        </w:rPr>
        <w:t xml:space="preserve">L’unica parte del documento da modificare è il piè di pagina (basta un doppio clic sul testo del pi di pagina). </w:t>
        <w:br w:type="textWrapping"/>
        <w:t xml:space="preserve">L’intestazione va lasciata invariata e assolutamente non toccata per non rischiare di spostarla o modificarla.</w:t>
      </w:r>
    </w:p>
    <w:p w:rsidR="00000000" w:rsidDel="00000000" w:rsidP="00000000" w:rsidRDefault="00000000" w:rsidRPr="00000000" w14:paraId="0000001D">
      <w:pPr>
        <w:rPr>
          <w:rFonts w:ascii="Rubik" w:cs="Rubik" w:eastAsia="Rubik" w:hAnsi="Rubi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ubik" w:cs="Rubik" w:eastAsia="Rubik" w:hAnsi="Rubik"/>
          <w:sz w:val="20"/>
          <w:szCs w:val="20"/>
        </w:rPr>
      </w:pPr>
      <w:bookmarkStart w:colFirst="0" w:colLast="0" w:name="_heading=h.b9zyreow034b" w:id="0"/>
      <w:bookmarkEnd w:id="0"/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pgSz w:h="16840" w:w="11900" w:orient="portrait"/>
      <w:pgMar w:bottom="1134" w:top="2579" w:left="1418" w:right="1134" w:header="708" w:footer="31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Rubik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ubik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  <w:font w:name="Rubik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Rubik" w:cs="Rubik" w:eastAsia="Rubik" w:hAnsi="Rubik"/>
        <w:b w:val="0"/>
        <w:bCs w:val="0"/>
        <w:i w:val="0"/>
        <w:iCs w:val="0"/>
        <w:smallCaps w:val="0"/>
        <w:strike w:val="0"/>
        <w:color w:val="40404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Rubik" w:cs="Rubik" w:eastAsia="Rubik" w:hAnsi="Rubik"/>
        <w:b w:val="0"/>
        <w:bCs w:val="0"/>
        <w:i w:val="0"/>
        <w:iCs w:val="0"/>
        <w:smallCaps w:val="0"/>
        <w:strike w:val="0"/>
        <w:color w:val="404040"/>
        <w:sz w:val="16"/>
        <w:szCs w:val="16"/>
        <w:u w:val="none"/>
        <w:shd w:fill="auto" w:val="clear"/>
        <w:vertAlign w:val="baseline"/>
        <w:rtl w:val="0"/>
      </w:rPr>
      <w:t xml:space="preserve">Università degli studi di Bergamo – Presidio della Qualità</w:t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Rubik" w:cs="Rubik" w:eastAsia="Rubik" w:hAnsi="Rubik"/>
        <w:b w:val="0"/>
        <w:bCs w:val="0"/>
        <w:i w:val="0"/>
        <w:iCs w:val="0"/>
        <w:smallCaps w:val="0"/>
        <w:strike w:val="0"/>
        <w:color w:val="40404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Rubik" w:cs="Rubik" w:eastAsia="Rubik" w:hAnsi="Rubik"/>
        <w:b w:val="0"/>
        <w:bCs w:val="0"/>
        <w:i w:val="0"/>
        <w:iCs w:val="0"/>
        <w:smallCaps w:val="0"/>
        <w:strike w:val="0"/>
        <w:color w:val="404040"/>
        <w:sz w:val="16"/>
        <w:szCs w:val="16"/>
        <w:u w:val="none"/>
        <w:shd w:fill="auto" w:val="clear"/>
        <w:vertAlign w:val="baseline"/>
        <w:rtl w:val="0"/>
      </w:rPr>
      <w:t xml:space="preserve">Cod. Fiscale 80004350163 e P.IVA 01612800167  </w:t>
    </w:r>
  </w:p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Rubik" w:cs="Rubik" w:eastAsia="Rubik" w:hAnsi="Rubik"/>
        <w:b w:val="0"/>
        <w:bCs w:val="0"/>
        <w:i w:val="0"/>
        <w:iCs w:val="0"/>
        <w:smallCaps w:val="0"/>
        <w:strike w:val="0"/>
        <w:color w:val="40404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Rubik" w:cs="Rubik" w:eastAsia="Rubik" w:hAnsi="Rubik"/>
        <w:b w:val="0"/>
        <w:bCs w:val="0"/>
        <w:i w:val="0"/>
        <w:iCs w:val="0"/>
        <w:smallCaps w:val="0"/>
        <w:strike w:val="0"/>
        <w:color w:val="404040"/>
        <w:sz w:val="16"/>
        <w:szCs w:val="16"/>
        <w:u w:val="none"/>
        <w:shd w:fill="auto" w:val="clear"/>
        <w:vertAlign w:val="baseline"/>
        <w:rtl w:val="0"/>
      </w:rPr>
      <w:t xml:space="preserve">e-mail: </w:t>
    </w:r>
    <w:hyperlink r:id="rId1"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563c1"/>
          <w:sz w:val="16"/>
          <w:szCs w:val="16"/>
          <w:u w:val="single"/>
          <w:shd w:fill="auto" w:val="clear"/>
          <w:vertAlign w:val="baseline"/>
          <w:rtl w:val="0"/>
        </w:rPr>
        <w:t xml:space="preserve">presidioqualita@unibg.it</w:t>
      </w:r>
    </w:hyperlink>
    <w:r w:rsidDel="00000000" w:rsidR="00000000" w:rsidRPr="00000000">
      <w:rPr>
        <w:rFonts w:ascii="Rubik" w:cs="Rubik" w:eastAsia="Rubik" w:hAnsi="Rubik"/>
        <w:b w:val="0"/>
        <w:bCs w:val="0"/>
        <w:i w:val="0"/>
        <w:iCs w:val="0"/>
        <w:smallCaps w:val="0"/>
        <w:strike w:val="0"/>
        <w:color w:val="404040"/>
        <w:sz w:val="16"/>
        <w:szCs w:val="16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Rubik" w:cs="Rubik" w:eastAsia="Rubik" w:hAnsi="Rubik"/>
        <w:b w:val="0"/>
        <w:bCs w:val="0"/>
        <w:i w:val="0"/>
        <w:iCs w:val="0"/>
        <w:smallCaps w:val="0"/>
        <w:strike w:val="0"/>
        <w:color w:val="404040"/>
        <w:sz w:val="16"/>
        <w:szCs w:val="16"/>
        <w:u w:val="none"/>
        <w:shd w:fill="auto" w:val="clear"/>
        <w:vertAlign w:val="baseline"/>
      </w:rPr>
    </w:pPr>
    <w:hyperlink r:id="rId2">
      <w:r w:rsidDel="00000000" w:rsidR="00000000" w:rsidRPr="00000000">
        <w:rPr>
          <w:rFonts w:ascii="Rubik" w:cs="Rubik" w:eastAsia="Rubik" w:hAnsi="Rubik"/>
          <w:color w:val="1155cc"/>
          <w:sz w:val="16"/>
          <w:szCs w:val="16"/>
          <w:u w:val="single"/>
          <w:rtl w:val="0"/>
        </w:rPr>
        <w:t xml:space="preserve">https://www.unibg.it/ateneo/organizzazione-e-struttura/organi-e-governance/presidio-qualita</w:t>
      </w:r>
    </w:hyperlink>
    <w:r w:rsidDel="00000000" w:rsidR="00000000" w:rsidRPr="00000000">
      <w:rPr>
        <w:rFonts w:ascii="Rubik" w:cs="Rubik" w:eastAsia="Rubik" w:hAnsi="Rubik"/>
        <w:b w:val="0"/>
        <w:bCs w:val="0"/>
        <w:i w:val="0"/>
        <w:iCs w:val="0"/>
        <w:smallCaps w:val="0"/>
        <w:strike w:val="0"/>
        <w:color w:val="404040"/>
        <w:sz w:val="16"/>
        <w:szCs w:val="16"/>
        <w:u w:val="none"/>
        <w:shd w:fill="auto" w:val="clear"/>
        <w:vertAlign w:val="baseline"/>
        <w:rtl w:val="0"/>
      </w:rPr>
      <w:t xml:space="preserve"> 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3" style="position:absolute;width:595.45pt;height:132.0pt;rotation:0;z-index:-503316481;mso-position-horizontal-relative:margin;mso-position-horizontal:center;mso-position-vertical-relative:margin;mso-position-vertical:center;" alt="/Users/noemiborghese/Downloads/Header_servizi/Header_PresidioQualita_Tavola disegno 1.png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1" distB="0" distT="0" distL="114300" distR="114300" hidden="0" layoutInCell="1" locked="0" relativeHeight="0" simplePos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62215" cy="16764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2215" cy="16764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1" style="position:absolute;width:595.45pt;height:132.0pt;rotation:0;z-index:-503316481;mso-position-horizontal-relative:margin;mso-position-horizontal:absolute;margin-left:-71.05pt;mso-position-vertical-relative:margin;mso-position-vertical:absolute;margin-top:-128.75pt;" alt="/Users/noemiborghese/Downloads/Header_servizi/Header_PresidioQualita_Tavola disegno 1.png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2" style="position:absolute;width:595.45pt;height:132.0pt;rotation:0;z-index:-503316481;mso-position-horizontal-relative:margin;mso-position-horizontal:center;mso-position-vertical-relative:margin;mso-position-vertical:center;" alt="/Users/noemiborghese/Downloads/Header_servizi/Header_PresidioQualita_Tavola disegno 1.png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1" distB="0" distT="0" distL="114300" distR="114300" hidden="0" layoutInCell="1" locked="0" relativeHeight="0" simplePos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62215" cy="16764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2215" cy="16764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i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0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ubik-regular.ttf"/><Relationship Id="rId10" Type="http://schemas.openxmlformats.org/officeDocument/2006/relationships/font" Target="fonts/NotoSansSymbols-bold.ttf"/><Relationship Id="rId13" Type="http://schemas.openxmlformats.org/officeDocument/2006/relationships/font" Target="fonts/Rubik-italic.ttf"/><Relationship Id="rId12" Type="http://schemas.openxmlformats.org/officeDocument/2006/relationships/font" Target="fonts/Rubik-bold.ttf"/><Relationship Id="rId1" Type="http://schemas.openxmlformats.org/officeDocument/2006/relationships/font" Target="fonts/RubikMedium-regular.ttf"/><Relationship Id="rId2" Type="http://schemas.openxmlformats.org/officeDocument/2006/relationships/font" Target="fonts/RubikMedium-bold.ttf"/><Relationship Id="rId3" Type="http://schemas.openxmlformats.org/officeDocument/2006/relationships/font" Target="fonts/RubikMedium-italic.ttf"/><Relationship Id="rId4" Type="http://schemas.openxmlformats.org/officeDocument/2006/relationships/font" Target="fonts/RubikMedium-boldItalic.ttf"/><Relationship Id="rId9" Type="http://schemas.openxmlformats.org/officeDocument/2006/relationships/font" Target="fonts/NotoSansSymbols-regular.ttf"/><Relationship Id="rId14" Type="http://schemas.openxmlformats.org/officeDocument/2006/relationships/font" Target="fonts/Rubik-boldItalic.ttf"/><Relationship Id="rId5" Type="http://schemas.openxmlformats.org/officeDocument/2006/relationships/font" Target="fonts/RubikLight-regular.ttf"/><Relationship Id="rId6" Type="http://schemas.openxmlformats.org/officeDocument/2006/relationships/font" Target="fonts/RubikLight-bold.ttf"/><Relationship Id="rId7" Type="http://schemas.openxmlformats.org/officeDocument/2006/relationships/font" Target="fonts/RubikLight-italic.ttf"/><Relationship Id="rId8" Type="http://schemas.openxmlformats.org/officeDocument/2006/relationships/font" Target="fonts/RubikLight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presidioqualita@unibg.it" TargetMode="External"/><Relationship Id="rId2" Type="http://schemas.openxmlformats.org/officeDocument/2006/relationships/hyperlink" Target="https://www.unibg.it/ateneo/organizzazione-e-struttura/organi-e-governance/presidio-qualita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Kt8LzqjZLtVrLBlRg5W4HCZ+nQ==">CgMxLjAyDmguYjl6eXJlb3cwMzRiOAByITFlZ3pXbjNZUWRWaTMwQTF2dkFhV1NiZUVTRmdvWjRpcw==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