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ayments-sad"/>
    <w:p>
      <w:pPr>
        <w:pStyle w:val="Heading1"/>
      </w:pPr>
      <w:r>
        <w:t xml:space="preserve">Payments SAD</w:t>
      </w:r>
    </w:p>
    <w:bookmarkStart w:id="9" w:name="business-context"/>
    <w:p>
      <w:pPr>
        <w:pStyle w:val="Heading2"/>
      </w:pPr>
      <w:r>
        <w:t xml:space="preserve">Business Context</w:t>
      </w:r>
    </w:p>
    <w:p>
      <w:pPr>
        <w:pStyle w:val="FirstParagraph"/>
      </w:pPr>
      <w:r>
        <w:t xml:space="preserve">Missing PCI-DSS 4.0 certification by 30/06/2027 exposes the company to a EUR 2m penalty.</w:t>
      </w:r>
    </w:p>
    <w:bookmarkEnd w:id="9"/>
    <w:bookmarkStart w:id="10" w:name="resilience"/>
    <w:p>
      <w:pPr>
        <w:pStyle w:val="Heading2"/>
      </w:pPr>
      <w:r>
        <w:t xml:space="preserve">Resilience</w:t>
      </w:r>
    </w:p>
    <w:p>
      <w:pPr>
        <w:pStyle w:val="FirstParagraph"/>
      </w:pPr>
      <w:r>
        <w:t xml:space="preserve">Recovery time objective (RTO) for the payment API is 4 hours.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99.95% monthly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2026-09-24T21:34:08Z</dcterms:created>
  <dcterms:modified xsi:type="dcterms:W3CDTF">2026-09-24T21:34:08Z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