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b/>
          <w:color w:val="111111"/>
          <w:sz w:val="60"/>
        </w:rPr>
        <w:t>AI Football Intelligence</w:t>
      </w:r>
    </w:p>
    <w:p>
      <w:r>
        <w:rPr>
          <w:color w:val="333333"/>
          <w:sz w:val="34"/>
        </w:rPr>
        <w:t>From data to transfer decisions</w:t>
      </w:r>
    </w:p>
    <w:p/>
    <w:p>
      <w:r>
        <w:rPr>
          <w:color w:val="333333"/>
          <w:sz w:val="24"/>
        </w:rPr>
        <w:t>Assignment 5</w:t>
      </w:r>
    </w:p>
    <w:p>
      <w:r>
        <w:rPr>
          <w:color w:val="333333"/>
          <w:sz w:val="24"/>
        </w:rPr>
        <w:t>Replacing N'Golo Kanté at Leicester City, summer 2016</w:t>
      </w:r>
    </w:p>
    <w:p/>
    <w:p>
      <w:r>
        <w:rPr>
          <w:color w:val="555555"/>
          <w:sz w:val="21"/>
        </w:rPr>
        <w:t>Dinmukhammed Mynzhassar, Laura Duisenova, Zhaidar Kairat</w:t>
      </w:r>
    </w:p>
    <w:p>
      <w:r>
        <w:rPr>
          <w:color w:val="555555"/>
          <w:sz w:val="21"/>
        </w:rPr>
        <w:t>AAI-2504M</w:t>
      </w:r>
    </w:p>
    <w:p>
      <w:r>
        <w:rPr>
          <w:color w:val="555555"/>
          <w:sz w:val="21"/>
        </w:rPr>
        <w:t>October 2026</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2F2F2"/>
          </w:tcPr>
          <w:p>
            <w:r/>
            <w:r>
              <w:rPr>
                <w:b/>
                <w:color w:val="333333"/>
                <w:sz w:val="16"/>
              </w:rPr>
              <w:t>Decision</w:t>
            </w:r>
          </w:p>
          <w:p>
            <w:r>
              <w:rPr>
                <w:color w:val="111111"/>
                <w:sz w:val="18"/>
              </w:rPr>
              <w:t>Sign Gueye, Cook and Ighalo for EUR 24m</w:t>
            </w:r>
          </w:p>
        </w:tc>
        <w:tc>
          <w:tcPr>
            <w:tcW w:type="dxa" w:w="3324"/>
            <w:shd w:fill="F2F2F2"/>
          </w:tcPr>
          <w:p>
            <w:r/>
            <w:r>
              <w:rPr>
                <w:b/>
                <w:color w:val="333333"/>
                <w:sz w:val="16"/>
              </w:rPr>
              <w:t>Budget</w:t>
            </w:r>
          </w:p>
          <w:p>
            <w:r>
              <w:rPr>
                <w:color w:val="111111"/>
                <w:sz w:val="18"/>
              </w:rPr>
              <w:t>EUR 50m, leaving EUR 26m</w:t>
            </w:r>
          </w:p>
        </w:tc>
        <w:tc>
          <w:tcPr>
            <w:tcW w:type="dxa" w:w="3324"/>
            <w:shd w:fill="F2F2F2"/>
          </w:tcPr>
          <w:p>
            <w:r/>
            <w:r>
              <w:rPr>
                <w:b/>
                <w:color w:val="333333"/>
                <w:sz w:val="16"/>
              </w:rPr>
              <w:t>Evidence</w:t>
            </w:r>
          </w:p>
          <w:p>
            <w:r>
              <w:rPr>
                <w:color w:val="111111"/>
                <w:sz w:val="18"/>
              </w:rPr>
              <w:t>380 real matches, 30,939 player-seasons</w:t>
            </w:r>
          </w:p>
        </w:tc>
      </w:tr>
    </w:tbl>
    <w:p>
      <w:r>
        <w:br w:type="page"/>
      </w:r>
    </w:p>
    <w:p>
      <w:pPr>
        <w:pStyle w:val="Heading1"/>
      </w:pPr>
      <w:r>
        <w:t>Executive summary</w:t>
      </w:r>
    </w:p>
    <w:p>
      <w:r>
        <w:t>Leicester City won the Premier League in 2015/16 and lost N'Golo Kanté to Chelsea weeks later. The club had to replace a midfielder who was a 100th percentile ball winner, keep the counterattacking style and stay inside a limited budget. This report builds a transfer decision system from two independent data sources: StatsBomb event data for all 380 Premier League matches and a Transfermarkt datalake with market values, performances, transfers and injuries.</w:t>
      </w:r>
    </w:p>
    <w:p>
      <w:r>
        <w:t>The recommended plan signs Idrissa Gueye from Aston Villa for EUR 9m, Steve Cook from AFC Bournemouth for EUR 3m and Odion Ighalo from Watford for EUR 12m. The three fees total EUR 24m and leave EUR 26m for wages, agent fees and a January buffer. Gueye is the closest real-match profile to Kanté (cosine similarity 0.93, 100th percentile ball winning). Cook is the strongest value signal in the candidate pool, with a local market gap of +61% and a global gap of +64% at a EUR 3m fee. Ighalo is the best available box threat, with 15 league goals and 16.9 xG in 2015/16.</w:t>
      </w:r>
    </w:p>
    <w:p>
      <w:r>
        <w:t>The evidence is deliberately separated from the recommendation. The global market model reaches R2 0.734 and Spearman 0.855 on future seasons. The local model reaches R2 0.614 against 0.495 for a baseline that knows only age, minutes, role and club rank. Players flagged as undervalued in 2015/16 gained 11.8% in market value over the next two years, while the rest lost 10.9%. The hit rate was 52.8% against 35.8%. The signal is useful but modest, and the decision rule says so.</w:t>
      </w:r>
    </w:p>
    <w:p>
      <w:r>
        <w:t>The plan is a portfolio, not a ranking. Kanté is unique and Gueye is fairly priced by the market, so the value model does not call him a bargain. The money is made on Cook, while Ighalo supplies a proven box threat at a modest fee. The report also shows what happened after 2016: Gueye and Cook gained value, Ighalo lost value, and the plan gained 52% in total. That is a backtest, not a promise, and it is used only to judge the method. The plan had two hits and one miss.</w:t>
      </w:r>
    </w:p>
    <w:p>
      <w:pPr>
        <w:pStyle w:val="Heading1"/>
      </w:pPr>
      <w:r>
        <w:t>1. Problem and decision</w:t>
      </w:r>
    </w:p>
    <w:p>
      <w:pPr>
        <w:pStyle w:val="Heading2"/>
      </w:pPr>
      <w:r>
        <w:t>The situation</w:t>
      </w:r>
    </w:p>
    <w:p>
      <w:r>
        <w:t>Leicester City finished the 2015/16 season with 81 points, 68 goals scored and 36 conceded. They won the league with 42.6% average possession, the lowest pass completion in the division and the highest xG per match. N'Golo Kanté played 37 of the 38 league matches and 3,019 minutes. He then joined Chelsea for a reported EUR 35.8m fee, against a market value of EUR 20m on 1 July 2016. The transfer was a sporting loss and a financial gain at the same time.</w:t>
      </w:r>
    </w:p>
    <w:p>
      <w:r>
        <w:t>The decision is not simply to buy the player with the highest rating. Leicester needed a midfielder who could replace Kanté's defensive volume and carrying, a centre back who could succeed Robert Huth and Wes Morgan, and a forward who could compete with Jamie Vardy and Shinji Okazaki. The budget is EUR 50m in fees. Age, availability, injury history and tactical fit all matter. The sporting director has to choose three players, not rank a list.</w:t>
      </w:r>
    </w:p>
    <w:p>
      <w:pPr>
        <w:pStyle w:val="Heading2"/>
      </w:pPr>
      <w:r>
        <w:t>Research questions</w:t>
      </w:r>
    </w:p>
    <w:p>
      <w:pPr>
        <w:pStyle w:val="ListBullet"/>
      </w:pPr>
      <w:r>
        <w:t>What exactly made Kanté valuable in Leicester's style, measured from real match actions rather than reputation?</w:t>
      </w:r>
    </w:p>
    <w:p>
      <w:pPr>
        <w:pStyle w:val="ListBullet"/>
      </w:pPr>
      <w:r>
        <w:t>Which 2015/16 Premier League players reproduce that profile, and which of them are mispriced by the market?</w:t>
      </w:r>
    </w:p>
    <w:p>
      <w:pPr>
        <w:pStyle w:val="ListBullet"/>
      </w:pPr>
      <w:r>
        <w:t>Which three-player plan maximises tactical fit, market value and availability under a EUR 50m fee budget?</w:t>
      </w:r>
    </w:p>
    <w:p>
      <w:pPr>
        <w:pStyle w:val="ListBullet"/>
      </w:pPr>
      <w:r>
        <w:t>How reliable is the evidence, and which limitations would change the answer?</w:t>
      </w:r>
    </w:p>
    <w:p>
      <w:r>
        <w:t>The case is retrospective. The analysis uses only information available on 1 July 2016 for the recommendation. Market values from 2017 and 2018 are used only for validation and for the what happened next section. This avoids the usual trap of a 2026 scouting report that has no observable outcome.</w:t>
      </w:r>
    </w:p>
    <w:p>
      <w:r>
        <w:br w:type="page"/>
      </w:r>
    </w:p>
    <w:p>
      <w:pPr>
        <w:pStyle w:val="Heading1"/>
      </w:pPr>
      <w:r>
        <w:t>2. Data</w:t>
      </w:r>
    </w:p>
    <w:p>
      <w:pPr>
        <w:pStyle w:val="Heading2"/>
      </w:pPr>
      <w:r>
        <w:t>Sources and coverage</w:t>
      </w:r>
    </w:p>
    <w:p>
      <w:r>
        <w:t>The project combines event-level match data with market data. StatsBomb open data provides the 2015/16 Premier League season: 380 matches, 10,385 player-match rows and 548 players. Each match file contains every pass, carry, shot, pressure, tackle, interception, clearance and recovery with coordinates and pressure flags. Lineups provide formation slots and minutes.</w:t>
      </w:r>
    </w:p>
    <w:p>
      <w:r>
        <w:t>The Transfermarkt datalake provides 92,671 player profiles, 901,429 market value observations, 1,878,719 player-season performance rows, 1,101,440 transfer records and injury histories. For the market model the analysis uses the top five leagues from 2010/11 to 2024/25, giving 30,939 player-seasons with a market value and at least five appearances. The case cutoff is 1 July 2016. Market values are in euros.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6E6E6"/>
          </w:tcPr>
          <w:p>
            <w:r/>
            <w:r>
              <w:rPr>
                <w:b/>
                <w:color w:val="111111"/>
                <w:sz w:val="16"/>
              </w:rPr>
              <w:t>Source</w:t>
            </w:r>
          </w:p>
        </w:tc>
        <w:tc>
          <w:tcPr>
            <w:tcW w:type="dxa" w:w="2493"/>
            <w:shd w:fill="E6E6E6"/>
          </w:tcPr>
          <w:p>
            <w:r/>
            <w:r>
              <w:rPr>
                <w:b/>
                <w:color w:val="111111"/>
                <w:sz w:val="16"/>
              </w:rPr>
              <w:t>What it provides</w:t>
            </w:r>
          </w:p>
        </w:tc>
        <w:tc>
          <w:tcPr>
            <w:tcW w:type="dxa" w:w="2493"/>
            <w:shd w:fill="E6E6E6"/>
          </w:tcPr>
          <w:p>
            <w:r/>
            <w:r>
              <w:rPr>
                <w:b/>
                <w:color w:val="111111"/>
                <w:sz w:val="16"/>
              </w:rPr>
              <w:t>Scale</w:t>
            </w:r>
          </w:p>
        </w:tc>
        <w:tc>
          <w:tcPr>
            <w:tcW w:type="dxa" w:w="2493"/>
            <w:shd w:fill="E6E6E6"/>
          </w:tcPr>
          <w:p>
            <w:r/>
            <w:r>
              <w:rPr>
                <w:b/>
                <w:color w:val="111111"/>
                <w:sz w:val="16"/>
              </w:rPr>
              <w:t>Use</w:t>
            </w:r>
          </w:p>
        </w:tc>
      </w:tr>
      <w:tr>
        <w:tc>
          <w:tcPr>
            <w:tcW w:type="dxa" w:w="2493"/>
          </w:tcPr>
          <w:p>
            <w:r/>
            <w:r>
              <w:rPr>
                <w:color w:val="111111"/>
                <w:sz w:val="16"/>
              </w:rPr>
              <w:t>StatsBomb open data</w:t>
            </w:r>
          </w:p>
        </w:tc>
        <w:tc>
          <w:tcPr>
            <w:tcW w:type="dxa" w:w="2493"/>
          </w:tcPr>
          <w:p>
            <w:r/>
            <w:r>
              <w:rPr>
                <w:color w:val="111111"/>
                <w:sz w:val="16"/>
              </w:rPr>
              <w:t>Premier League 2015/16 events and lineups</w:t>
            </w:r>
          </w:p>
        </w:tc>
        <w:tc>
          <w:tcPr>
            <w:tcW w:type="dxa" w:w="2493"/>
          </w:tcPr>
          <w:p>
            <w:r/>
            <w:r>
              <w:rPr>
                <w:color w:val="111111"/>
                <w:sz w:val="16"/>
              </w:rPr>
              <w:t>380 matches, 10,385 player-match rows, 548 players</w:t>
            </w:r>
          </w:p>
        </w:tc>
        <w:tc>
          <w:tcPr>
            <w:tcW w:type="dxa" w:w="2493"/>
          </w:tcPr>
          <w:p>
            <w:r/>
            <w:r>
              <w:rPr>
                <w:color w:val="111111"/>
                <w:sz w:val="16"/>
              </w:rPr>
              <w:t>Real match style, Kanté profile, local value model, candidate fit</w:t>
            </w:r>
          </w:p>
        </w:tc>
      </w:tr>
      <w:tr>
        <w:tc>
          <w:tcPr>
            <w:tcW w:type="dxa" w:w="2493"/>
          </w:tcPr>
          <w:p>
            <w:r/>
            <w:r>
              <w:rPr>
                <w:color w:val="111111"/>
                <w:sz w:val="16"/>
              </w:rPr>
              <w:t>Transfermarkt datalake</w:t>
            </w:r>
          </w:p>
        </w:tc>
        <w:tc>
          <w:tcPr>
            <w:tcW w:type="dxa" w:w="2493"/>
          </w:tcPr>
          <w:p>
            <w:r/>
            <w:r>
              <w:rPr>
                <w:color w:val="111111"/>
                <w:sz w:val="16"/>
              </w:rPr>
              <w:t>Profiles, market values, performances, transfers, injuries</w:t>
            </w:r>
          </w:p>
        </w:tc>
        <w:tc>
          <w:tcPr>
            <w:tcW w:type="dxa" w:w="2493"/>
          </w:tcPr>
          <w:p>
            <w:r/>
            <w:r>
              <w:rPr>
                <w:color w:val="111111"/>
                <w:sz w:val="16"/>
              </w:rPr>
              <w:t>92,671 profiles, 901,429 values, 1.88m performance rows, 1.1m transfers</w:t>
            </w:r>
          </w:p>
        </w:tc>
        <w:tc>
          <w:tcPr>
            <w:tcW w:type="dxa" w:w="2493"/>
          </w:tcPr>
          <w:p>
            <w:r/>
            <w:r>
              <w:rPr>
                <w:color w:val="111111"/>
                <w:sz w:val="16"/>
              </w:rPr>
              <w:t>Global value model, case values, fees proxy, risk</w:t>
            </w:r>
          </w:p>
        </w:tc>
      </w:tr>
      <w:tr>
        <w:tc>
          <w:tcPr>
            <w:tcW w:type="dxa" w:w="2493"/>
          </w:tcPr>
          <w:p>
            <w:r/>
            <w:r>
              <w:rPr>
                <w:color w:val="111111"/>
                <w:sz w:val="16"/>
              </w:rPr>
              <w:t>Analysis cohort</w:t>
            </w:r>
          </w:p>
        </w:tc>
        <w:tc>
          <w:tcPr>
            <w:tcW w:type="dxa" w:w="2493"/>
          </w:tcPr>
          <w:p>
            <w:r/>
            <w:r>
              <w:rPr>
                <w:color w:val="111111"/>
                <w:sz w:val="16"/>
              </w:rPr>
              <w:t>Top five leagues, 2010/11 to 2024/25</w:t>
            </w:r>
          </w:p>
        </w:tc>
        <w:tc>
          <w:tcPr>
            <w:tcW w:type="dxa" w:w="2493"/>
          </w:tcPr>
          <w:p>
            <w:r/>
            <w:r>
              <w:rPr>
                <w:color w:val="111111"/>
                <w:sz w:val="16"/>
              </w:rPr>
              <w:t>30,939 player-seasons</w:t>
            </w:r>
          </w:p>
        </w:tc>
        <w:tc>
          <w:tcPr>
            <w:tcW w:type="dxa" w:w="2493"/>
          </w:tcPr>
          <w:p>
            <w:r/>
            <w:r>
              <w:rPr>
                <w:color w:val="111111"/>
                <w:sz w:val="16"/>
              </w:rPr>
              <w:t>Market model training and temporal validation</w:t>
            </w:r>
          </w:p>
        </w:tc>
      </w:tr>
    </w:tbl>
    <w:p>
      <w:r>
        <w:rPr>
          <w:i w:val="0"/>
          <w:color w:val="555555"/>
          <w:sz w:val="16"/>
        </w:rPr>
        <w:t>Table 1: Data sources and scale</w:t>
      </w:r>
    </w:p>
    <w:p>
      <w:pPr>
        <w:pStyle w:val="Heading2"/>
      </w:pPr>
      <w:r>
        <w:t>Preparation and matching</w:t>
      </w:r>
    </w:p>
    <w:p>
      <w:r>
        <w:t>The raw data is not committed to the repository because the event files alone are about 1.1 GB. The download script recreates it from public URLs, and the processed tables are committed so the app runs offline. Market value at the cutoff is the latest observation on or before 1 July 2016, with a maximum staleness of 550 days. Season end values use 1 July of the following year.</w:t>
      </w:r>
    </w:p>
    <w:p>
      <w:r>
        <w:t>Player matching between StatsBomb and Transfermarkt uses normalized names, club mapping, position group and nationality, with rapidfuzz scores and manual checks. Of 421 StatsBomb players with at least 300 minutes, 408 are mapped. The 13 low-confidence matches are rejected rather than forced. All shortlisted players and the Leicester squad were checked by hand. The candidate pool requires at least 1,500 minutes, which excludes players whose per-90 rates are unstable.</w:t>
      </w:r>
    </w:p>
    <w:p>
      <w:r>
        <w:t>Two data quality problems shaped the method. First, the Transfermarkt minutes column is unreliable for some high scorers: Harry Kane is listed with 135 minutes and 25 goals, Jamie Vardy with 131 minutes and 24 goals. The column behaves like minutes per goal in those rows. The local model therefore uses StatsBomb minutes, and the global model avoids minutes entirely and uses appearances and starts. Second, some 2015/16 profiles are missing from the datalake, including Charlie Daniels, Daryl Janmaat and Lee Cattermole. The matching keeps only verified players, and the report states that the candidate pool is a sample of the league, not a complete market.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r/>
            <w:r>
              <w:rPr>
                <w:b/>
                <w:color w:val="111111"/>
                <w:sz w:val="16"/>
              </w:rPr>
              <w:t>Check</w:t>
            </w:r>
          </w:p>
        </w:tc>
        <w:tc>
          <w:tcPr>
            <w:tcW w:type="dxa" w:w="3324"/>
            <w:shd w:fill="E6E6E6"/>
          </w:tcPr>
          <w:p>
            <w:r/>
            <w:r>
              <w:rPr>
                <w:b/>
                <w:color w:val="111111"/>
                <w:sz w:val="16"/>
              </w:rPr>
              <w:t>Result</w:t>
            </w:r>
          </w:p>
        </w:tc>
        <w:tc>
          <w:tcPr>
            <w:tcW w:type="dxa" w:w="3324"/>
            <w:shd w:fill="E6E6E6"/>
          </w:tcPr>
          <w:p>
            <w:r/>
            <w:r>
              <w:rPr>
                <w:b/>
                <w:color w:val="111111"/>
                <w:sz w:val="16"/>
              </w:rPr>
              <w:t>Action</w:t>
            </w:r>
          </w:p>
        </w:tc>
      </w:tr>
      <w:tr>
        <w:tc>
          <w:tcPr>
            <w:tcW w:type="dxa" w:w="3324"/>
          </w:tcPr>
          <w:p>
            <w:r/>
            <w:r>
              <w:rPr>
                <w:color w:val="111111"/>
                <w:sz w:val="16"/>
              </w:rPr>
              <w:t>StatsBomb matches</w:t>
            </w:r>
          </w:p>
        </w:tc>
        <w:tc>
          <w:tcPr>
            <w:tcW w:type="dxa" w:w="3324"/>
          </w:tcPr>
          <w:p>
            <w:r/>
            <w:r>
              <w:rPr>
                <w:color w:val="111111"/>
                <w:sz w:val="16"/>
              </w:rPr>
              <w:t>380 of 380</w:t>
            </w:r>
          </w:p>
        </w:tc>
        <w:tc>
          <w:tcPr>
            <w:tcW w:type="dxa" w:w="3324"/>
          </w:tcPr>
          <w:p>
            <w:r/>
            <w:r>
              <w:rPr>
                <w:color w:val="111111"/>
                <w:sz w:val="16"/>
              </w:rPr>
              <w:t>Full season used</w:t>
            </w:r>
          </w:p>
        </w:tc>
      </w:tr>
      <w:tr>
        <w:tc>
          <w:tcPr>
            <w:tcW w:type="dxa" w:w="3324"/>
          </w:tcPr>
          <w:p>
            <w:r/>
            <w:r>
              <w:rPr>
                <w:color w:val="111111"/>
                <w:sz w:val="16"/>
              </w:rPr>
              <w:t>Leicester matches</w:t>
            </w:r>
          </w:p>
        </w:tc>
        <w:tc>
          <w:tcPr>
            <w:tcW w:type="dxa" w:w="3324"/>
          </w:tcPr>
          <w:p>
            <w:r/>
            <w:r>
              <w:rPr>
                <w:color w:val="111111"/>
                <w:sz w:val="16"/>
              </w:rPr>
              <w:t>38</w:t>
            </w:r>
          </w:p>
        </w:tc>
        <w:tc>
          <w:tcPr>
            <w:tcW w:type="dxa" w:w="3324"/>
          </w:tcPr>
          <w:p>
            <w:r/>
            <w:r>
              <w:rPr>
                <w:color w:val="111111"/>
                <w:sz w:val="16"/>
              </w:rPr>
              <w:t>Club style and Kanté actions</w:t>
            </w:r>
          </w:p>
        </w:tc>
      </w:tr>
      <w:tr>
        <w:tc>
          <w:tcPr>
            <w:tcW w:type="dxa" w:w="3324"/>
          </w:tcPr>
          <w:p>
            <w:r/>
            <w:r>
              <w:rPr>
                <w:color w:val="111111"/>
                <w:sz w:val="16"/>
              </w:rPr>
              <w:t>StatsBomb players</w:t>
            </w:r>
          </w:p>
        </w:tc>
        <w:tc>
          <w:tcPr>
            <w:tcW w:type="dxa" w:w="3324"/>
          </w:tcPr>
          <w:p>
            <w:r/>
            <w:r>
              <w:rPr>
                <w:color w:val="111111"/>
                <w:sz w:val="16"/>
              </w:rPr>
              <w:t>548</w:t>
            </w:r>
          </w:p>
        </w:tc>
        <w:tc>
          <w:tcPr>
            <w:tcW w:type="dxa" w:w="3324"/>
          </w:tcPr>
          <w:p>
            <w:r/>
            <w:r>
              <w:rPr>
                <w:color w:val="111111"/>
                <w:sz w:val="16"/>
              </w:rPr>
              <w:t>10,385 player-match rows</w:t>
            </w:r>
          </w:p>
        </w:tc>
      </w:tr>
      <w:tr>
        <w:tc>
          <w:tcPr>
            <w:tcW w:type="dxa" w:w="3324"/>
          </w:tcPr>
          <w:p>
            <w:r/>
            <w:r>
              <w:rPr>
                <w:color w:val="111111"/>
                <w:sz w:val="16"/>
              </w:rPr>
              <w:t>Mapped players</w:t>
            </w:r>
          </w:p>
        </w:tc>
        <w:tc>
          <w:tcPr>
            <w:tcW w:type="dxa" w:w="3324"/>
          </w:tcPr>
          <w:p>
            <w:r/>
            <w:r>
              <w:rPr>
                <w:color w:val="111111"/>
                <w:sz w:val="16"/>
              </w:rPr>
              <w:t>408 of 421 with 300+ minutes</w:t>
            </w:r>
          </w:p>
        </w:tc>
        <w:tc>
          <w:tcPr>
            <w:tcW w:type="dxa" w:w="3324"/>
          </w:tcPr>
          <w:p>
            <w:r/>
            <w:r>
              <w:rPr>
                <w:color w:val="111111"/>
                <w:sz w:val="16"/>
              </w:rPr>
              <w:t>13 low-confidence matches rejected</w:t>
            </w:r>
          </w:p>
        </w:tc>
      </w:tr>
      <w:tr>
        <w:tc>
          <w:tcPr>
            <w:tcW w:type="dxa" w:w="3324"/>
          </w:tcPr>
          <w:p>
            <w:r/>
            <w:r>
              <w:rPr>
                <w:color w:val="111111"/>
                <w:sz w:val="16"/>
              </w:rPr>
              <w:t>Candidate pool</w:t>
            </w:r>
          </w:p>
        </w:tc>
        <w:tc>
          <w:tcPr>
            <w:tcW w:type="dxa" w:w="3324"/>
          </w:tcPr>
          <w:p>
            <w:r/>
            <w:r>
              <w:rPr>
                <w:color w:val="111111"/>
                <w:sz w:val="16"/>
              </w:rPr>
              <w:t>19 central midfielders, 13 centre backs, 8 centre forwards</w:t>
            </w:r>
          </w:p>
        </w:tc>
        <w:tc>
          <w:tcPr>
            <w:tcW w:type="dxa" w:w="3324"/>
          </w:tcPr>
          <w:p>
            <w:r/>
            <w:r>
              <w:rPr>
                <w:color w:val="111111"/>
                <w:sz w:val="16"/>
              </w:rPr>
              <w:t>1,500+ minutes, age limit, EUR 1m to EUR 30m</w:t>
            </w:r>
          </w:p>
        </w:tc>
      </w:tr>
      <w:tr>
        <w:tc>
          <w:tcPr>
            <w:tcW w:type="dxa" w:w="3324"/>
          </w:tcPr>
          <w:p>
            <w:r/>
            <w:r>
              <w:rPr>
                <w:color w:val="111111"/>
                <w:sz w:val="16"/>
              </w:rPr>
              <w:t>Market cohort</w:t>
            </w:r>
          </w:p>
        </w:tc>
        <w:tc>
          <w:tcPr>
            <w:tcW w:type="dxa" w:w="3324"/>
          </w:tcPr>
          <w:p>
            <w:r/>
            <w:r>
              <w:rPr>
                <w:color w:val="111111"/>
                <w:sz w:val="16"/>
              </w:rPr>
              <w:t>30,939 player-seasons</w:t>
            </w:r>
          </w:p>
        </w:tc>
        <w:tc>
          <w:tcPr>
            <w:tcW w:type="dxa" w:w="3324"/>
          </w:tcPr>
          <w:p>
            <w:r/>
            <w:r>
              <w:rPr>
                <w:color w:val="111111"/>
                <w:sz w:val="16"/>
              </w:rPr>
              <w:t>Top five leagues, 2010/11 to 2024/25</w:t>
            </w:r>
          </w:p>
        </w:tc>
      </w:tr>
    </w:tbl>
    <w:p>
      <w:r>
        <w:rPr>
          <w:i w:val="0"/>
          <w:color w:val="555555"/>
          <w:sz w:val="16"/>
        </w:rPr>
        <w:t>Table 2: Coverage and validation checks</w:t>
      </w:r>
    </w:p>
    <w:p>
      <w:pPr>
        <w:pStyle w:val="Heading1"/>
      </w:pPr>
      <w:r>
        <w:t>3. What Leicester were</w:t>
      </w:r>
    </w:p>
    <w:p>
      <w:r>
        <w:t>The style analysis uses the full season, not a highlight reel. Leicester had 42.6% possession against a league average of 50.0%, completed 68.0% of passes against 75.4%, and played 23.4% of passes long against 19.8%. They created 1.74 xG per match against a league average of 1.28 and conceded 1.21 against 1.28. Counterattacks produced 9.2% of their xG against 5.7% for the league, and set pieces produced 15.1% against 7.1%. This was a low-possession, direct, set-piece-heavy and counterattacking team.</w:t>
      </w:r>
    </w:p>
    <w:p>
      <w:r>
        <w:drawing>
          <wp:inline xmlns:a="http://schemas.openxmlformats.org/drawingml/2006/main" xmlns:pic="http://schemas.openxmlformats.org/drawingml/2006/picture">
            <wp:extent cx="5940000" cy="3212697"/>
            <wp:docPr id="1" name="Picture 1"/>
            <wp:cNvGraphicFramePr>
              <a:graphicFrameLocks noChangeAspect="1"/>
            </wp:cNvGraphicFramePr>
            <a:graphic>
              <a:graphicData uri="http://schemas.openxmlformats.org/drawingml/2006/picture">
                <pic:pic>
                  <pic:nvPicPr>
                    <pic:cNvPr id="0" name="leicester_style.png"/>
                    <pic:cNvPicPr/>
                  </pic:nvPicPr>
                  <pic:blipFill>
                    <a:blip r:embed="rId11"/>
                    <a:stretch>
                      <a:fillRect/>
                    </a:stretch>
                  </pic:blipFill>
                  <pic:spPr>
                    <a:xfrm>
                      <a:off x="0" y="0"/>
                      <a:ext cx="5940000" cy="3212697"/>
                    </a:xfrm>
                    <a:prstGeom prst="rect"/>
                  </pic:spPr>
                </pic:pic>
              </a:graphicData>
            </a:graphic>
          </wp:inline>
        </w:drawing>
      </w:r>
    </w:p>
    <w:p>
      <w:r>
        <w:rPr>
          <w:i w:val="0"/>
          <w:color w:val="555555"/>
          <w:sz w:val="16"/>
        </w:rPr>
        <w:t>Figure 1: Leicester 2015/16 style fingerprint, in standard deviations from the league average. Raw values are shown next to each label.</w:t>
      </w:r>
    </w:p>
    <w:p>
      <w:r>
        <w:t>The style matters for the replacement. A possession midfielder who needs the ball at his feet would change the team's shape. Leicester needed someone who could cover ground without the ball, win it back and carry it into space. The event data makes that requirement measurable.</w:t>
      </w:r>
    </w:p>
    <w:p>
      <w:r>
        <w:drawing>
          <wp:inline xmlns:a="http://schemas.openxmlformats.org/drawingml/2006/main" xmlns:pic="http://schemas.openxmlformats.org/drawingml/2006/picture">
            <wp:extent cx="5940000" cy="2204121"/>
            <wp:docPr id="2" name="Picture 2"/>
            <wp:cNvGraphicFramePr>
              <a:graphicFrameLocks noChangeAspect="1"/>
            </wp:cNvGraphicFramePr>
            <a:graphic>
              <a:graphicData uri="http://schemas.openxmlformats.org/drawingml/2006/picture">
                <pic:pic>
                  <pic:nvPicPr>
                    <pic:cNvPr id="0" name="kante_actions.png"/>
                    <pic:cNvPicPr/>
                  </pic:nvPicPr>
                  <pic:blipFill>
                    <a:blip r:embed="rId12"/>
                    <a:stretch>
                      <a:fillRect/>
                    </a:stretch>
                  </pic:blipFill>
                  <pic:spPr>
                    <a:xfrm>
                      <a:off x="0" y="0"/>
                      <a:ext cx="5940000" cy="2204121"/>
                    </a:xfrm>
                    <a:prstGeom prst="rect"/>
                  </pic:spPr>
                </pic:pic>
              </a:graphicData>
            </a:graphic>
          </wp:inline>
        </w:drawing>
      </w:r>
    </w:p>
    <w:p>
      <w:r>
        <w:rPr>
          <w:i w:val="0"/>
          <w:color w:val="555555"/>
          <w:sz w:val="16"/>
        </w:rPr>
        <w:t>Figure 2: Kanté's defensive actions and progressive passes and carries across 37 matches. The left panel has 1,594 defensive actions, the right panel 545 progressive passes and carries.</w:t>
      </w:r>
    </w:p>
    <w:p>
      <w:r>
        <w:t>Kanté's percentile ranks among Premier League midfielders with at least 900 minutes are extreme: 100th for ball winning, recoveries, tackles and interceptions, 98th for pressures, 72nd for progressive carries. He is not a high-volume passer: 44 passes per 90, 34th percentile for progressive passes and 54th for pass completion. The asymmetry is the point. Leicester did not need a deep-lying playmaker. They needed a destroyer who could also carry the ball.</w:t>
      </w:r>
    </w:p>
    <w:p>
      <w:r>
        <w:drawing>
          <wp:inline xmlns:a="http://schemas.openxmlformats.org/drawingml/2006/main" xmlns:pic="http://schemas.openxmlformats.org/drawingml/2006/picture">
            <wp:extent cx="5940000" cy="3265411"/>
            <wp:docPr id="3" name="Picture 3"/>
            <wp:cNvGraphicFramePr>
              <a:graphicFrameLocks noChangeAspect="1"/>
            </wp:cNvGraphicFramePr>
            <a:graphic>
              <a:graphicData uri="http://schemas.openxmlformats.org/drawingml/2006/picture">
                <pic:pic>
                  <pic:nvPicPr>
                    <pic:cNvPr id="0" name="kante_percentiles.png"/>
                    <pic:cNvPicPr/>
                  </pic:nvPicPr>
                  <pic:blipFill>
                    <a:blip r:embed="rId13"/>
                    <a:stretch>
                      <a:fillRect/>
                    </a:stretch>
                  </pic:blipFill>
                  <pic:spPr>
                    <a:xfrm>
                      <a:off x="0" y="0"/>
                      <a:ext cx="5940000" cy="3265411"/>
                    </a:xfrm>
                    <a:prstGeom prst="rect"/>
                  </pic:spPr>
                </pic:pic>
              </a:graphicData>
            </a:graphic>
          </wp:inline>
        </w:drawing>
      </w:r>
    </w:p>
    <w:p>
      <w:r>
        <w:rPr>
          <w:i w:val="0"/>
          <w:color w:val="555555"/>
          <w:sz w:val="16"/>
        </w:rPr>
        <w:t>Figure 3: Kanté percentile ranks among Premier League midfielders with 900+ minutes.</w:t>
      </w:r>
    </w:p>
    <w:p>
      <w:r>
        <w:t>A k-means clustering of all outfield players with 900+ minutes, using ball winning, pressing, progression, shooting, box presence, clearing and passing security, produces six readable roles. Kanté sits in the ball winning and pressing cluster. The cluster map is a descriptive check, not the decision model. It shows that the candidate pool contains players with genuinely different functions, and that a formation label alone is not enough.</w:t>
      </w:r>
    </w:p>
    <w:p>
      <w:r>
        <w:drawing>
          <wp:inline xmlns:a="http://schemas.openxmlformats.org/drawingml/2006/main" xmlns:pic="http://schemas.openxmlformats.org/drawingml/2006/picture">
            <wp:extent cx="5940000" cy="3740460"/>
            <wp:docPr id="4" name="Picture 4"/>
            <wp:cNvGraphicFramePr>
              <a:graphicFrameLocks noChangeAspect="1"/>
            </wp:cNvGraphicFramePr>
            <a:graphic>
              <a:graphicData uri="http://schemas.openxmlformats.org/drawingml/2006/picture">
                <pic:pic>
                  <pic:nvPicPr>
                    <pic:cNvPr id="0" name="cluster_map.png"/>
                    <pic:cNvPicPr/>
                  </pic:nvPicPr>
                  <pic:blipFill>
                    <a:blip r:embed="rId14"/>
                    <a:stretch>
                      <a:fillRect/>
                    </a:stretch>
                  </pic:blipFill>
                  <pic:spPr>
                    <a:xfrm>
                      <a:off x="0" y="0"/>
                      <a:ext cx="5940000" cy="3740460"/>
                    </a:xfrm>
                    <a:prstGeom prst="rect"/>
                  </pic:spPr>
                </pic:pic>
              </a:graphicData>
            </a:graphic>
          </wp:inline>
        </w:drawing>
      </w:r>
    </w:p>
    <w:p>
      <w:r>
        <w:rPr>
          <w:i w:val="0"/>
          <w:color w:val="555555"/>
          <w:sz w:val="16"/>
        </w:rPr>
        <w:t>Figure 4: Role clusters from real match actions, projected on two principal components. Selected players are highlighted.</w:t>
      </w:r>
    </w:p>
    <w:p>
      <w:pPr>
        <w:pStyle w:val="Heading2"/>
      </w:pPr>
      <w:r>
        <w:t>The three needs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6E6E6"/>
          </w:tcPr>
          <w:p>
            <w:r/>
            <w:r>
              <w:rPr>
                <w:b/>
                <w:color w:val="111111"/>
                <w:sz w:val="16"/>
              </w:rPr>
              <w:t>Need</w:t>
            </w:r>
          </w:p>
        </w:tc>
        <w:tc>
          <w:tcPr>
            <w:tcW w:type="dxa" w:w="2493"/>
            <w:shd w:fill="E6E6E6"/>
          </w:tcPr>
          <w:p>
            <w:r/>
            <w:r>
              <w:rPr>
                <w:b/>
                <w:color w:val="111111"/>
                <w:sz w:val="16"/>
              </w:rPr>
              <w:t>Why</w:t>
            </w:r>
          </w:p>
        </w:tc>
        <w:tc>
          <w:tcPr>
            <w:tcW w:type="dxa" w:w="2493"/>
            <w:shd w:fill="E6E6E6"/>
          </w:tcPr>
          <w:p>
            <w:r/>
            <w:r>
              <w:rPr>
                <w:b/>
                <w:color w:val="111111"/>
                <w:sz w:val="16"/>
              </w:rPr>
              <w:t>Required profile</w:t>
            </w:r>
          </w:p>
        </w:tc>
        <w:tc>
          <w:tcPr>
            <w:tcW w:type="dxa" w:w="2493"/>
            <w:shd w:fill="E6E6E6"/>
          </w:tcPr>
          <w:p>
            <w:r/>
            <w:r>
              <w:rPr>
                <w:b/>
                <w:color w:val="111111"/>
                <w:sz w:val="16"/>
              </w:rPr>
              <w:t>Pool</w:t>
            </w:r>
          </w:p>
        </w:tc>
      </w:tr>
      <w:tr>
        <w:tc>
          <w:tcPr>
            <w:tcW w:type="dxa" w:w="2493"/>
          </w:tcPr>
          <w:p>
            <w:r/>
            <w:r>
              <w:rPr>
                <w:color w:val="111111"/>
                <w:sz w:val="16"/>
              </w:rPr>
              <w:t>Central midfield</w:t>
            </w:r>
          </w:p>
        </w:tc>
        <w:tc>
          <w:tcPr>
            <w:tcW w:type="dxa" w:w="2493"/>
          </w:tcPr>
          <w:p>
            <w:r/>
            <w:r>
              <w:rPr>
                <w:color w:val="111111"/>
                <w:sz w:val="16"/>
              </w:rPr>
              <w:t>Kanté leaves after 3,019 minutes</w:t>
            </w:r>
          </w:p>
        </w:tc>
        <w:tc>
          <w:tcPr>
            <w:tcW w:type="dxa" w:w="2493"/>
          </w:tcPr>
          <w:p>
            <w:r/>
            <w:r>
              <w:rPr>
                <w:color w:val="111111"/>
                <w:sz w:val="16"/>
              </w:rPr>
              <w:t>Elite ball winning, pressing, carries, Premier League readiness</w:t>
            </w:r>
          </w:p>
        </w:tc>
        <w:tc>
          <w:tcPr>
            <w:tcW w:type="dxa" w:w="2493"/>
          </w:tcPr>
          <w:p>
            <w:r/>
            <w:r>
              <w:rPr>
                <w:color w:val="111111"/>
                <w:sz w:val="16"/>
              </w:rPr>
              <w:t>19 players</w:t>
            </w:r>
          </w:p>
        </w:tc>
      </w:tr>
      <w:tr>
        <w:tc>
          <w:tcPr>
            <w:tcW w:type="dxa" w:w="2493"/>
          </w:tcPr>
          <w:p>
            <w:r/>
            <w:r>
              <w:rPr>
                <w:color w:val="111111"/>
                <w:sz w:val="16"/>
              </w:rPr>
              <w:t>Centre back</w:t>
            </w:r>
          </w:p>
        </w:tc>
        <w:tc>
          <w:tcPr>
            <w:tcW w:type="dxa" w:w="2493"/>
          </w:tcPr>
          <w:p>
            <w:r/>
            <w:r>
              <w:rPr>
                <w:color w:val="111111"/>
                <w:sz w:val="16"/>
              </w:rPr>
              <w:t>Huth is 32 and Morgan is 32</w:t>
            </w:r>
          </w:p>
        </w:tc>
        <w:tc>
          <w:tcPr>
            <w:tcW w:type="dxa" w:w="2493"/>
          </w:tcPr>
          <w:p>
            <w:r/>
            <w:r>
              <w:rPr>
                <w:color w:val="111111"/>
                <w:sz w:val="16"/>
              </w:rPr>
              <w:t>Clearances, blocks, aerial duels, enough passing to escape the block</w:t>
            </w:r>
          </w:p>
        </w:tc>
        <w:tc>
          <w:tcPr>
            <w:tcW w:type="dxa" w:w="2493"/>
          </w:tcPr>
          <w:p>
            <w:r/>
            <w:r>
              <w:rPr>
                <w:color w:val="111111"/>
                <w:sz w:val="16"/>
              </w:rPr>
              <w:t>13 players</w:t>
            </w:r>
          </w:p>
        </w:tc>
      </w:tr>
      <w:tr>
        <w:tc>
          <w:tcPr>
            <w:tcW w:type="dxa" w:w="2493"/>
          </w:tcPr>
          <w:p>
            <w:r/>
            <w:r>
              <w:rPr>
                <w:color w:val="111111"/>
                <w:sz w:val="16"/>
              </w:rPr>
              <w:t>Centre forward</w:t>
            </w:r>
          </w:p>
        </w:tc>
        <w:tc>
          <w:tcPr>
            <w:tcW w:type="dxa" w:w="2493"/>
          </w:tcPr>
          <w:p>
            <w:r/>
            <w:r>
              <w:rPr>
                <w:color w:val="111111"/>
                <w:sz w:val="16"/>
              </w:rPr>
              <w:t>Vardy is 29 and Okazaki is 30</w:t>
            </w:r>
          </w:p>
        </w:tc>
        <w:tc>
          <w:tcPr>
            <w:tcW w:type="dxa" w:w="2493"/>
          </w:tcPr>
          <w:p>
            <w:r/>
            <w:r>
              <w:rPr>
                <w:color w:val="111111"/>
                <w:sz w:val="16"/>
              </w:rPr>
              <w:t>Box threat, shots, xG, pressing, affordable fee</w:t>
            </w:r>
          </w:p>
        </w:tc>
        <w:tc>
          <w:tcPr>
            <w:tcW w:type="dxa" w:w="2493"/>
          </w:tcPr>
          <w:p>
            <w:r/>
            <w:r>
              <w:rPr>
                <w:color w:val="111111"/>
                <w:sz w:val="16"/>
              </w:rPr>
              <w:t>8 players</w:t>
            </w:r>
          </w:p>
        </w:tc>
      </w:tr>
    </w:tbl>
    <w:p>
      <w:r>
        <w:rPr>
          <w:i w:val="0"/>
          <w:color w:val="555555"/>
          <w:sz w:val="16"/>
        </w:rPr>
        <w:t>Table 3: The three squad needs and the candidate pool</w:t>
      </w:r>
    </w:p>
    <w:p>
      <w:r>
        <w:br w:type="page"/>
      </w:r>
    </w:p>
    <w:p>
      <w:pPr>
        <w:pStyle w:val="Heading1"/>
      </w:pPr>
      <w:r>
        <w:t>4. Replacing Kanté</w:t>
      </w:r>
    </w:p>
    <w:p>
      <w:r>
        <w:t>The midfield fit score is built in two steps. First, ten per-90 metrics for each midfielder are standardized within the candidate pool: ball winning, pressures, progressive passes, progressive carries, pass completion, recoveries, tackles, interceptions, xG and shots. The cosine similarity between a candidate and Kanté is computed on that vector. Second, the similarity is combined with minutes and pass completion: 75% similarity, 15% minutes and 10% pass completion. The weights are explicit and can be changed in the app.</w:t>
      </w:r>
    </w:p>
    <w:p>
      <w:r>
        <w:t>Gueye is the closest match at 0.93 cosine. Jan Kirchhoff is second at 0.75, Victor Wanyama third at 0.70 and Francis Coquelin fourth at 0.68. Aaron Ramsey, listed by the data as a left defensive midfielder, has a similarity of about zero. That is a useful warning: formation labels are not roles. Ramsey is a box-to-box and attacking midfielder, not a Kanté replacement, and the similarity score captures it.</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fill="E6E6E6"/>
          </w:tcPr>
          <w:p>
            <w:r/>
            <w:r>
              <w:rPr>
                <w:b/>
                <w:color w:val="111111"/>
                <w:sz w:val="16"/>
              </w:rPr>
              <w:t>Need</w:t>
            </w:r>
          </w:p>
        </w:tc>
        <w:tc>
          <w:tcPr>
            <w:tcW w:type="dxa" w:w="997"/>
            <w:shd w:fill="E6E6E6"/>
          </w:tcPr>
          <w:p>
            <w:r/>
            <w:r>
              <w:rPr>
                <w:b/>
                <w:color w:val="111111"/>
                <w:sz w:val="16"/>
              </w:rPr>
              <w:t>Player</w:t>
            </w:r>
          </w:p>
        </w:tc>
        <w:tc>
          <w:tcPr>
            <w:tcW w:type="dxa" w:w="997"/>
            <w:shd w:fill="E6E6E6"/>
          </w:tcPr>
          <w:p>
            <w:r/>
            <w:r>
              <w:rPr>
                <w:b/>
                <w:color w:val="111111"/>
                <w:sz w:val="16"/>
              </w:rPr>
              <w:t>Club</w:t>
            </w:r>
          </w:p>
        </w:tc>
        <w:tc>
          <w:tcPr>
            <w:tcW w:type="dxa" w:w="997"/>
            <w:shd w:fill="E6E6E6"/>
          </w:tcPr>
          <w:p>
            <w:r/>
            <w:r>
              <w:rPr>
                <w:b/>
                <w:color w:val="111111"/>
                <w:sz w:val="16"/>
              </w:rPr>
              <w:t>Age</w:t>
            </w:r>
          </w:p>
        </w:tc>
        <w:tc>
          <w:tcPr>
            <w:tcW w:type="dxa" w:w="997"/>
            <w:shd w:fill="E6E6E6"/>
          </w:tcPr>
          <w:p>
            <w:r/>
            <w:r>
              <w:rPr>
                <w:b/>
                <w:color w:val="111111"/>
                <w:sz w:val="16"/>
              </w:rPr>
              <w:t>Fee</w:t>
            </w:r>
          </w:p>
        </w:tc>
        <w:tc>
          <w:tcPr>
            <w:tcW w:type="dxa" w:w="997"/>
            <w:shd w:fill="E6E6E6"/>
          </w:tcPr>
          <w:p>
            <w:r/>
            <w:r>
              <w:rPr>
                <w:b/>
                <w:color w:val="111111"/>
                <w:sz w:val="16"/>
              </w:rPr>
              <w:t>Fit</w:t>
            </w:r>
          </w:p>
        </w:tc>
        <w:tc>
          <w:tcPr>
            <w:tcW w:type="dxa" w:w="997"/>
            <w:shd w:fill="E6E6E6"/>
          </w:tcPr>
          <w:p>
            <w:r/>
            <w:r>
              <w:rPr>
                <w:b/>
                <w:color w:val="111111"/>
                <w:sz w:val="16"/>
              </w:rPr>
              <w:t>Value</w:t>
            </w:r>
          </w:p>
        </w:tc>
        <w:tc>
          <w:tcPr>
            <w:tcW w:type="dxa" w:w="997"/>
            <w:shd w:fill="E6E6E6"/>
          </w:tcPr>
          <w:p>
            <w:r/>
            <w:r>
              <w:rPr>
                <w:b/>
                <w:color w:val="111111"/>
                <w:sz w:val="16"/>
              </w:rPr>
              <w:t>Safety</w:t>
            </w:r>
          </w:p>
        </w:tc>
        <w:tc>
          <w:tcPr>
            <w:tcW w:type="dxa" w:w="997"/>
            <w:shd w:fill="E6E6E6"/>
          </w:tcPr>
          <w:p>
            <w:r/>
            <w:r>
              <w:rPr>
                <w:b/>
                <w:color w:val="111111"/>
                <w:sz w:val="16"/>
              </w:rPr>
              <w:t>Score</w:t>
            </w:r>
          </w:p>
        </w:tc>
        <w:tc>
          <w:tcPr>
            <w:tcW w:type="dxa" w:w="997"/>
            <w:shd w:fill="E6E6E6"/>
          </w:tcPr>
          <w:p>
            <w:r/>
            <w:r>
              <w:rPr>
                <w:b/>
                <w:color w:val="111111"/>
                <w:sz w:val="16"/>
              </w:rPr>
              <w:t>Role cluster</w:t>
            </w:r>
          </w:p>
        </w:tc>
      </w:tr>
      <w:tr>
        <w:tc>
          <w:tcPr>
            <w:tcW w:type="dxa" w:w="997"/>
          </w:tcPr>
          <w:p>
            <w:r/>
            <w:r>
              <w:rPr>
                <w:color w:val="111111"/>
                <w:sz w:val="16"/>
              </w:rPr>
              <w:t>CM</w:t>
            </w:r>
          </w:p>
        </w:tc>
        <w:tc>
          <w:tcPr>
            <w:tcW w:type="dxa" w:w="997"/>
          </w:tcPr>
          <w:p>
            <w:r/>
            <w:r>
              <w:rPr>
                <w:color w:val="111111"/>
                <w:sz w:val="16"/>
              </w:rPr>
              <w:t>Francis Coquelin</w:t>
            </w:r>
          </w:p>
        </w:tc>
        <w:tc>
          <w:tcPr>
            <w:tcW w:type="dxa" w:w="997"/>
          </w:tcPr>
          <w:p>
            <w:r/>
            <w:r>
              <w:rPr>
                <w:color w:val="111111"/>
                <w:sz w:val="16"/>
              </w:rPr>
              <w:t>Arsenal FC</w:t>
            </w:r>
          </w:p>
        </w:tc>
        <w:tc>
          <w:tcPr>
            <w:tcW w:type="dxa" w:w="997"/>
          </w:tcPr>
          <w:p>
            <w:r/>
            <w:r>
              <w:rPr>
                <w:color w:val="111111"/>
                <w:sz w:val="16"/>
              </w:rPr>
              <w:t>25.1</w:t>
            </w:r>
          </w:p>
        </w:tc>
        <w:tc>
          <w:tcPr>
            <w:tcW w:type="dxa" w:w="997"/>
          </w:tcPr>
          <w:p>
            <w:r/>
            <w:r>
              <w:rPr>
                <w:color w:val="111111"/>
                <w:sz w:val="16"/>
              </w:rPr>
              <w:t>EUR 12.0m</w:t>
            </w:r>
          </w:p>
        </w:tc>
        <w:tc>
          <w:tcPr>
            <w:tcW w:type="dxa" w:w="997"/>
          </w:tcPr>
          <w:p>
            <w:r/>
            <w:r>
              <w:rPr>
                <w:color w:val="111111"/>
                <w:sz w:val="16"/>
              </w:rPr>
              <w:t>81</w:t>
            </w:r>
          </w:p>
        </w:tc>
        <w:tc>
          <w:tcPr>
            <w:tcW w:type="dxa" w:w="997"/>
          </w:tcPr>
          <w:p>
            <w:r/>
            <w:r>
              <w:rPr>
                <w:color w:val="111111"/>
                <w:sz w:val="16"/>
              </w:rPr>
              <w:t>82</w:t>
            </w:r>
          </w:p>
        </w:tc>
        <w:tc>
          <w:tcPr>
            <w:tcW w:type="dxa" w:w="997"/>
          </w:tcPr>
          <w:p>
            <w:r/>
            <w:r>
              <w:rPr>
                <w:color w:val="111111"/>
                <w:sz w:val="16"/>
              </w:rPr>
              <w:t>74</w:t>
            </w:r>
          </w:p>
        </w:tc>
        <w:tc>
          <w:tcPr>
            <w:tcW w:type="dxa" w:w="997"/>
          </w:tcPr>
          <w:p>
            <w:r/>
            <w:r>
              <w:rPr>
                <w:color w:val="111111"/>
                <w:sz w:val="16"/>
              </w:rPr>
              <w:t>80</w:t>
            </w:r>
          </w:p>
        </w:tc>
        <w:tc>
          <w:tcPr>
            <w:tcW w:type="dxa" w:w="997"/>
          </w:tcPr>
          <w:p>
            <w:r/>
            <w:r>
              <w:rPr>
                <w:color w:val="111111"/>
                <w:sz w:val="16"/>
              </w:rPr>
              <w:t>Ball winning + Pressing</w:t>
            </w:r>
          </w:p>
        </w:tc>
      </w:tr>
      <w:tr>
        <w:tc>
          <w:tcPr>
            <w:tcW w:type="dxa" w:w="997"/>
          </w:tcPr>
          <w:p>
            <w:r/>
            <w:r>
              <w:rPr>
                <w:color w:val="111111"/>
                <w:sz w:val="16"/>
              </w:rPr>
              <w:t>CM</w:t>
            </w:r>
          </w:p>
        </w:tc>
        <w:tc>
          <w:tcPr>
            <w:tcW w:type="dxa" w:w="997"/>
          </w:tcPr>
          <w:p>
            <w:r/>
            <w:r>
              <w:rPr>
                <w:color w:val="111111"/>
                <w:sz w:val="16"/>
              </w:rPr>
              <w:t>Idrissa Gueye</w:t>
            </w:r>
          </w:p>
        </w:tc>
        <w:tc>
          <w:tcPr>
            <w:tcW w:type="dxa" w:w="997"/>
          </w:tcPr>
          <w:p>
            <w:r/>
            <w:r>
              <w:rPr>
                <w:color w:val="111111"/>
                <w:sz w:val="16"/>
              </w:rPr>
              <w:t>Aston Villa</w:t>
            </w:r>
          </w:p>
        </w:tc>
        <w:tc>
          <w:tcPr>
            <w:tcW w:type="dxa" w:w="997"/>
          </w:tcPr>
          <w:p>
            <w:r/>
            <w:r>
              <w:rPr>
                <w:color w:val="111111"/>
                <w:sz w:val="16"/>
              </w:rPr>
              <w:t>26.8</w:t>
            </w:r>
          </w:p>
        </w:tc>
        <w:tc>
          <w:tcPr>
            <w:tcW w:type="dxa" w:w="997"/>
          </w:tcPr>
          <w:p>
            <w:r/>
            <w:r>
              <w:rPr>
                <w:color w:val="111111"/>
                <w:sz w:val="16"/>
              </w:rPr>
              <w:t>EUR 9.0m</w:t>
            </w:r>
          </w:p>
        </w:tc>
        <w:tc>
          <w:tcPr>
            <w:tcW w:type="dxa" w:w="997"/>
          </w:tcPr>
          <w:p>
            <w:r/>
            <w:r>
              <w:rPr>
                <w:color w:val="111111"/>
                <w:sz w:val="16"/>
              </w:rPr>
              <w:t>95</w:t>
            </w:r>
          </w:p>
        </w:tc>
        <w:tc>
          <w:tcPr>
            <w:tcW w:type="dxa" w:w="997"/>
          </w:tcPr>
          <w:p>
            <w:r/>
            <w:r>
              <w:rPr>
                <w:color w:val="111111"/>
                <w:sz w:val="16"/>
              </w:rPr>
              <w:t>22</w:t>
            </w:r>
          </w:p>
        </w:tc>
        <w:tc>
          <w:tcPr>
            <w:tcW w:type="dxa" w:w="997"/>
          </w:tcPr>
          <w:p>
            <w:r/>
            <w:r>
              <w:rPr>
                <w:color w:val="111111"/>
                <w:sz w:val="16"/>
              </w:rPr>
              <w:t>91</w:t>
            </w:r>
          </w:p>
        </w:tc>
        <w:tc>
          <w:tcPr>
            <w:tcW w:type="dxa" w:w="997"/>
          </w:tcPr>
          <w:p>
            <w:r/>
            <w:r>
              <w:rPr>
                <w:color w:val="111111"/>
                <w:sz w:val="16"/>
              </w:rPr>
              <w:t>76</w:t>
            </w:r>
          </w:p>
        </w:tc>
        <w:tc>
          <w:tcPr>
            <w:tcW w:type="dxa" w:w="997"/>
          </w:tcPr>
          <w:p>
            <w:r/>
            <w:r>
              <w:rPr>
                <w:color w:val="111111"/>
                <w:sz w:val="16"/>
              </w:rPr>
              <w:t>Ball winning + Pressing</w:t>
            </w:r>
          </w:p>
        </w:tc>
      </w:tr>
      <w:tr>
        <w:tc>
          <w:tcPr>
            <w:tcW w:type="dxa" w:w="997"/>
          </w:tcPr>
          <w:p>
            <w:r/>
            <w:r>
              <w:rPr>
                <w:color w:val="111111"/>
                <w:sz w:val="16"/>
              </w:rPr>
              <w:t>CM</w:t>
            </w:r>
          </w:p>
        </w:tc>
        <w:tc>
          <w:tcPr>
            <w:tcW w:type="dxa" w:w="997"/>
          </w:tcPr>
          <w:p>
            <w:r/>
            <w:r>
              <w:rPr>
                <w:color w:val="111111"/>
                <w:sz w:val="16"/>
              </w:rPr>
              <w:t>Victor Wanyama</w:t>
            </w:r>
          </w:p>
        </w:tc>
        <w:tc>
          <w:tcPr>
            <w:tcW w:type="dxa" w:w="997"/>
          </w:tcPr>
          <w:p>
            <w:r/>
            <w:r>
              <w:rPr>
                <w:color w:val="111111"/>
                <w:sz w:val="16"/>
              </w:rPr>
              <w:t>Southampton FC</w:t>
            </w:r>
          </w:p>
        </w:tc>
        <w:tc>
          <w:tcPr>
            <w:tcW w:type="dxa" w:w="997"/>
          </w:tcPr>
          <w:p>
            <w:r/>
            <w:r>
              <w:rPr>
                <w:color w:val="111111"/>
                <w:sz w:val="16"/>
              </w:rPr>
              <w:t>25.0</w:t>
            </w:r>
          </w:p>
        </w:tc>
        <w:tc>
          <w:tcPr>
            <w:tcW w:type="dxa" w:w="997"/>
          </w:tcPr>
          <w:p>
            <w:r/>
            <w:r>
              <w:rPr>
                <w:color w:val="111111"/>
                <w:sz w:val="16"/>
              </w:rPr>
              <w:t>EUR 15.0m</w:t>
            </w:r>
          </w:p>
        </w:tc>
        <w:tc>
          <w:tcPr>
            <w:tcW w:type="dxa" w:w="997"/>
          </w:tcPr>
          <w:p>
            <w:r/>
            <w:r>
              <w:rPr>
                <w:color w:val="111111"/>
                <w:sz w:val="16"/>
              </w:rPr>
              <w:t>87</w:t>
            </w:r>
          </w:p>
        </w:tc>
        <w:tc>
          <w:tcPr>
            <w:tcW w:type="dxa" w:w="997"/>
          </w:tcPr>
          <w:p>
            <w:r/>
            <w:r>
              <w:rPr>
                <w:color w:val="111111"/>
                <w:sz w:val="16"/>
              </w:rPr>
              <w:t>45</w:t>
            </w:r>
          </w:p>
        </w:tc>
        <w:tc>
          <w:tcPr>
            <w:tcW w:type="dxa" w:w="997"/>
          </w:tcPr>
          <w:p>
            <w:r/>
            <w:r>
              <w:rPr>
                <w:color w:val="111111"/>
                <w:sz w:val="16"/>
              </w:rPr>
              <w:t>84</w:t>
            </w:r>
          </w:p>
        </w:tc>
        <w:tc>
          <w:tcPr>
            <w:tcW w:type="dxa" w:w="997"/>
          </w:tcPr>
          <w:p>
            <w:r/>
            <w:r>
              <w:rPr>
                <w:color w:val="111111"/>
                <w:sz w:val="16"/>
              </w:rPr>
              <w:t>76</w:t>
            </w:r>
          </w:p>
        </w:tc>
        <w:tc>
          <w:tcPr>
            <w:tcW w:type="dxa" w:w="997"/>
          </w:tcPr>
          <w:p>
            <w:r/>
            <w:r>
              <w:rPr>
                <w:color w:val="111111"/>
                <w:sz w:val="16"/>
              </w:rPr>
              <w:t>Ball winning + Pressing</w:t>
            </w:r>
          </w:p>
        </w:tc>
      </w:tr>
      <w:tr>
        <w:tc>
          <w:tcPr>
            <w:tcW w:type="dxa" w:w="997"/>
          </w:tcPr>
          <w:p>
            <w:r/>
            <w:r>
              <w:rPr>
                <w:color w:val="111111"/>
                <w:sz w:val="16"/>
              </w:rPr>
              <w:t>CM</w:t>
            </w:r>
          </w:p>
        </w:tc>
        <w:tc>
          <w:tcPr>
            <w:tcW w:type="dxa" w:w="997"/>
          </w:tcPr>
          <w:p>
            <w:r/>
            <w:r>
              <w:rPr>
                <w:color w:val="111111"/>
                <w:sz w:val="16"/>
              </w:rPr>
              <w:t>Oriol Romeu Vidal</w:t>
            </w:r>
          </w:p>
        </w:tc>
        <w:tc>
          <w:tcPr>
            <w:tcW w:type="dxa" w:w="997"/>
          </w:tcPr>
          <w:p>
            <w:r/>
            <w:r>
              <w:rPr>
                <w:color w:val="111111"/>
                <w:sz w:val="16"/>
              </w:rPr>
              <w:t>Southampton FC</w:t>
            </w:r>
          </w:p>
        </w:tc>
        <w:tc>
          <w:tcPr>
            <w:tcW w:type="dxa" w:w="997"/>
          </w:tcPr>
          <w:p>
            <w:r/>
            <w:r>
              <w:rPr>
                <w:color w:val="111111"/>
                <w:sz w:val="16"/>
              </w:rPr>
              <w:t>24.8</w:t>
            </w:r>
          </w:p>
        </w:tc>
        <w:tc>
          <w:tcPr>
            <w:tcW w:type="dxa" w:w="997"/>
          </w:tcPr>
          <w:p>
            <w:r/>
            <w:r>
              <w:rPr>
                <w:color w:val="111111"/>
                <w:sz w:val="16"/>
              </w:rPr>
              <w:t>EUR 5.0m</w:t>
            </w:r>
          </w:p>
        </w:tc>
        <w:tc>
          <w:tcPr>
            <w:tcW w:type="dxa" w:w="997"/>
          </w:tcPr>
          <w:p>
            <w:r/>
            <w:r>
              <w:rPr>
                <w:color w:val="111111"/>
                <w:sz w:val="16"/>
              </w:rPr>
              <w:t>58</w:t>
            </w:r>
          </w:p>
        </w:tc>
        <w:tc>
          <w:tcPr>
            <w:tcW w:type="dxa" w:w="997"/>
          </w:tcPr>
          <w:p>
            <w:r/>
            <w:r>
              <w:rPr>
                <w:color w:val="111111"/>
                <w:sz w:val="16"/>
              </w:rPr>
              <w:t>89</w:t>
            </w:r>
          </w:p>
        </w:tc>
        <w:tc>
          <w:tcPr>
            <w:tcW w:type="dxa" w:w="997"/>
          </w:tcPr>
          <w:p>
            <w:r/>
            <w:r>
              <w:rPr>
                <w:color w:val="111111"/>
                <w:sz w:val="16"/>
              </w:rPr>
              <w:t>71</w:t>
            </w:r>
          </w:p>
        </w:tc>
        <w:tc>
          <w:tcPr>
            <w:tcW w:type="dxa" w:w="997"/>
          </w:tcPr>
          <w:p>
            <w:r/>
            <w:r>
              <w:rPr>
                <w:color w:val="111111"/>
                <w:sz w:val="16"/>
              </w:rPr>
              <w:t>68</w:t>
            </w:r>
          </w:p>
        </w:tc>
        <w:tc>
          <w:tcPr>
            <w:tcW w:type="dxa" w:w="997"/>
          </w:tcPr>
          <w:p>
            <w:r/>
            <w:r>
              <w:rPr>
                <w:color w:val="111111"/>
                <w:sz w:val="16"/>
              </w:rPr>
              <w:t>Ball winning + Pressing</w:t>
            </w:r>
          </w:p>
        </w:tc>
      </w:tr>
      <w:tr>
        <w:tc>
          <w:tcPr>
            <w:tcW w:type="dxa" w:w="997"/>
          </w:tcPr>
          <w:p>
            <w:r/>
            <w:r>
              <w:rPr>
                <w:color w:val="111111"/>
                <w:sz w:val="16"/>
              </w:rPr>
              <w:t>CM</w:t>
            </w:r>
          </w:p>
        </w:tc>
        <w:tc>
          <w:tcPr>
            <w:tcW w:type="dxa" w:w="997"/>
          </w:tcPr>
          <w:p>
            <w:r/>
            <w:r>
              <w:rPr>
                <w:color w:val="111111"/>
                <w:sz w:val="16"/>
              </w:rPr>
              <w:t>Aaron Ramsey</w:t>
            </w:r>
          </w:p>
        </w:tc>
        <w:tc>
          <w:tcPr>
            <w:tcW w:type="dxa" w:w="997"/>
          </w:tcPr>
          <w:p>
            <w:r/>
            <w:r>
              <w:rPr>
                <w:color w:val="111111"/>
                <w:sz w:val="16"/>
              </w:rPr>
              <w:t>Arsenal FC</w:t>
            </w:r>
          </w:p>
        </w:tc>
        <w:tc>
          <w:tcPr>
            <w:tcW w:type="dxa" w:w="997"/>
          </w:tcPr>
          <w:p>
            <w:r/>
            <w:r>
              <w:rPr>
                <w:color w:val="111111"/>
                <w:sz w:val="16"/>
              </w:rPr>
              <w:t>25.5</w:t>
            </w:r>
          </w:p>
        </w:tc>
        <w:tc>
          <w:tcPr>
            <w:tcW w:type="dxa" w:w="997"/>
          </w:tcPr>
          <w:p>
            <w:r/>
            <w:r>
              <w:rPr>
                <w:color w:val="111111"/>
                <w:sz w:val="16"/>
              </w:rPr>
              <w:t>EUR 30.0m</w:t>
            </w:r>
          </w:p>
        </w:tc>
        <w:tc>
          <w:tcPr>
            <w:tcW w:type="dxa" w:w="997"/>
          </w:tcPr>
          <w:p>
            <w:r/>
            <w:r>
              <w:rPr>
                <w:color w:val="111111"/>
                <w:sz w:val="16"/>
              </w:rPr>
              <w:t>62</w:t>
            </w:r>
          </w:p>
        </w:tc>
        <w:tc>
          <w:tcPr>
            <w:tcW w:type="dxa" w:w="997"/>
          </w:tcPr>
          <w:p>
            <w:r/>
            <w:r>
              <w:rPr>
                <w:color w:val="111111"/>
                <w:sz w:val="16"/>
              </w:rPr>
              <w:t>63</w:t>
            </w:r>
          </w:p>
        </w:tc>
        <w:tc>
          <w:tcPr>
            <w:tcW w:type="dxa" w:w="997"/>
          </w:tcPr>
          <w:p>
            <w:r/>
            <w:r>
              <w:rPr>
                <w:color w:val="111111"/>
                <w:sz w:val="16"/>
              </w:rPr>
              <w:t>89</w:t>
            </w:r>
          </w:p>
        </w:tc>
        <w:tc>
          <w:tcPr>
            <w:tcW w:type="dxa" w:w="997"/>
          </w:tcPr>
          <w:p>
            <w:r/>
            <w:r>
              <w:rPr>
                <w:color w:val="111111"/>
                <w:sz w:val="16"/>
              </w:rPr>
              <w:t>68</w:t>
            </w:r>
          </w:p>
        </w:tc>
        <w:tc>
          <w:tcPr>
            <w:tcW w:type="dxa" w:w="997"/>
          </w:tcPr>
          <w:p>
            <w:r/>
            <w:r>
              <w:rPr>
                <w:color w:val="111111"/>
                <w:sz w:val="16"/>
              </w:rPr>
              <w:t>Ball winning + Pressing</w:t>
            </w:r>
          </w:p>
        </w:tc>
      </w:tr>
      <w:tr>
        <w:tc>
          <w:tcPr>
            <w:tcW w:type="dxa" w:w="997"/>
          </w:tcPr>
          <w:p>
            <w:r/>
            <w:r>
              <w:rPr>
                <w:color w:val="111111"/>
                <w:sz w:val="16"/>
              </w:rPr>
              <w:t>CB</w:t>
            </w:r>
          </w:p>
        </w:tc>
        <w:tc>
          <w:tcPr>
            <w:tcW w:type="dxa" w:w="997"/>
          </w:tcPr>
          <w:p>
            <w:r/>
            <w:r>
              <w:rPr>
                <w:color w:val="111111"/>
                <w:sz w:val="16"/>
              </w:rPr>
              <w:t>Steve Cook</w:t>
            </w:r>
          </w:p>
        </w:tc>
        <w:tc>
          <w:tcPr>
            <w:tcW w:type="dxa" w:w="997"/>
          </w:tcPr>
          <w:p>
            <w:r/>
            <w:r>
              <w:rPr>
                <w:color w:val="111111"/>
                <w:sz w:val="16"/>
              </w:rPr>
              <w:t>AFC Bournemouth</w:t>
            </w:r>
          </w:p>
        </w:tc>
        <w:tc>
          <w:tcPr>
            <w:tcW w:type="dxa" w:w="997"/>
          </w:tcPr>
          <w:p>
            <w:r/>
            <w:r>
              <w:rPr>
                <w:color w:val="111111"/>
                <w:sz w:val="16"/>
              </w:rPr>
              <w:t>25.2</w:t>
            </w:r>
          </w:p>
        </w:tc>
        <w:tc>
          <w:tcPr>
            <w:tcW w:type="dxa" w:w="997"/>
          </w:tcPr>
          <w:p>
            <w:r/>
            <w:r>
              <w:rPr>
                <w:color w:val="111111"/>
                <w:sz w:val="16"/>
              </w:rPr>
              <w:t>EUR 3.0m</w:t>
            </w:r>
          </w:p>
        </w:tc>
        <w:tc>
          <w:tcPr>
            <w:tcW w:type="dxa" w:w="997"/>
          </w:tcPr>
          <w:p>
            <w:r/>
            <w:r>
              <w:rPr>
                <w:color w:val="111111"/>
                <w:sz w:val="16"/>
              </w:rPr>
              <w:t>57</w:t>
            </w:r>
          </w:p>
        </w:tc>
        <w:tc>
          <w:tcPr>
            <w:tcW w:type="dxa" w:w="997"/>
          </w:tcPr>
          <w:p>
            <w:r/>
            <w:r>
              <w:rPr>
                <w:color w:val="111111"/>
                <w:sz w:val="16"/>
              </w:rPr>
              <w:t>100</w:t>
            </w:r>
          </w:p>
        </w:tc>
        <w:tc>
          <w:tcPr>
            <w:tcW w:type="dxa" w:w="997"/>
          </w:tcPr>
          <w:p>
            <w:r/>
            <w:r>
              <w:rPr>
                <w:color w:val="111111"/>
                <w:sz w:val="16"/>
              </w:rPr>
              <w:t>96</w:t>
            </w:r>
          </w:p>
        </w:tc>
        <w:tc>
          <w:tcPr>
            <w:tcW w:type="dxa" w:w="997"/>
          </w:tcPr>
          <w:p>
            <w:r/>
            <w:r>
              <w:rPr>
                <w:color w:val="111111"/>
                <w:sz w:val="16"/>
              </w:rPr>
              <w:t>76</w:t>
            </w:r>
          </w:p>
        </w:tc>
        <w:tc>
          <w:tcPr>
            <w:tcW w:type="dxa" w:w="997"/>
          </w:tcPr>
          <w:p>
            <w:r/>
            <w:r>
              <w:rPr>
                <w:color w:val="111111"/>
                <w:sz w:val="16"/>
              </w:rPr>
              <w:t>Clearing + Passing security</w:t>
            </w:r>
          </w:p>
        </w:tc>
      </w:tr>
      <w:tr>
        <w:tc>
          <w:tcPr>
            <w:tcW w:type="dxa" w:w="997"/>
          </w:tcPr>
          <w:p>
            <w:r/>
            <w:r>
              <w:rPr>
                <w:color w:val="111111"/>
                <w:sz w:val="16"/>
              </w:rPr>
              <w:t>CB</w:t>
            </w:r>
          </w:p>
        </w:tc>
        <w:tc>
          <w:tcPr>
            <w:tcW w:type="dxa" w:w="997"/>
          </w:tcPr>
          <w:p>
            <w:r/>
            <w:r>
              <w:rPr>
                <w:color w:val="111111"/>
                <w:sz w:val="16"/>
              </w:rPr>
              <w:t>Virgil van Dijk</w:t>
            </w:r>
          </w:p>
        </w:tc>
        <w:tc>
          <w:tcPr>
            <w:tcW w:type="dxa" w:w="997"/>
          </w:tcPr>
          <w:p>
            <w:r/>
            <w:r>
              <w:rPr>
                <w:color w:val="111111"/>
                <w:sz w:val="16"/>
              </w:rPr>
              <w:t>Southampton FC</w:t>
            </w:r>
          </w:p>
        </w:tc>
        <w:tc>
          <w:tcPr>
            <w:tcW w:type="dxa" w:w="997"/>
          </w:tcPr>
          <w:p>
            <w:r/>
            <w:r>
              <w:rPr>
                <w:color w:val="111111"/>
                <w:sz w:val="16"/>
              </w:rPr>
              <w:t>25.0</w:t>
            </w:r>
          </w:p>
        </w:tc>
        <w:tc>
          <w:tcPr>
            <w:tcW w:type="dxa" w:w="997"/>
          </w:tcPr>
          <w:p>
            <w:r/>
            <w:r>
              <w:rPr>
                <w:color w:val="111111"/>
                <w:sz w:val="16"/>
              </w:rPr>
              <w:t>EUR 12.0m</w:t>
            </w:r>
          </w:p>
        </w:tc>
        <w:tc>
          <w:tcPr>
            <w:tcW w:type="dxa" w:w="997"/>
          </w:tcPr>
          <w:p>
            <w:r/>
            <w:r>
              <w:rPr>
                <w:color w:val="111111"/>
                <w:sz w:val="16"/>
              </w:rPr>
              <w:t>57</w:t>
            </w:r>
          </w:p>
        </w:tc>
        <w:tc>
          <w:tcPr>
            <w:tcW w:type="dxa" w:w="997"/>
          </w:tcPr>
          <w:p>
            <w:r/>
            <w:r>
              <w:rPr>
                <w:color w:val="111111"/>
                <w:sz w:val="16"/>
              </w:rPr>
              <w:t>83</w:t>
            </w:r>
          </w:p>
        </w:tc>
        <w:tc>
          <w:tcPr>
            <w:tcW w:type="dxa" w:w="997"/>
          </w:tcPr>
          <w:p>
            <w:r/>
            <w:r>
              <w:rPr>
                <w:color w:val="111111"/>
                <w:sz w:val="16"/>
              </w:rPr>
              <w:t>95</w:t>
            </w:r>
          </w:p>
        </w:tc>
        <w:tc>
          <w:tcPr>
            <w:tcW w:type="dxa" w:w="997"/>
          </w:tcPr>
          <w:p>
            <w:r/>
            <w:r>
              <w:rPr>
                <w:color w:val="111111"/>
                <w:sz w:val="16"/>
              </w:rPr>
              <w:t>71</w:t>
            </w:r>
          </w:p>
        </w:tc>
        <w:tc>
          <w:tcPr>
            <w:tcW w:type="dxa" w:w="997"/>
          </w:tcPr>
          <w:p>
            <w:r/>
            <w:r>
              <w:rPr>
                <w:color w:val="111111"/>
                <w:sz w:val="16"/>
              </w:rPr>
              <w:t>Clearing + Passing security</w:t>
            </w:r>
          </w:p>
        </w:tc>
      </w:tr>
      <w:tr>
        <w:tc>
          <w:tcPr>
            <w:tcW w:type="dxa" w:w="997"/>
          </w:tcPr>
          <w:p>
            <w:r/>
            <w:r>
              <w:rPr>
                <w:color w:val="111111"/>
                <w:sz w:val="16"/>
              </w:rPr>
              <w:t>CB</w:t>
            </w:r>
          </w:p>
        </w:tc>
        <w:tc>
          <w:tcPr>
            <w:tcW w:type="dxa" w:w="997"/>
          </w:tcPr>
          <w:p>
            <w:r/>
            <w:r>
              <w:rPr>
                <w:color w:val="111111"/>
                <w:sz w:val="16"/>
              </w:rPr>
              <w:t>Ramiro Funes Mori</w:t>
            </w:r>
          </w:p>
        </w:tc>
        <w:tc>
          <w:tcPr>
            <w:tcW w:type="dxa" w:w="997"/>
          </w:tcPr>
          <w:p>
            <w:r/>
            <w:r>
              <w:rPr>
                <w:color w:val="111111"/>
                <w:sz w:val="16"/>
              </w:rPr>
              <w:t>Everton FC</w:t>
            </w:r>
          </w:p>
        </w:tc>
        <w:tc>
          <w:tcPr>
            <w:tcW w:type="dxa" w:w="997"/>
          </w:tcPr>
          <w:p>
            <w:r/>
            <w:r>
              <w:rPr>
                <w:color w:val="111111"/>
                <w:sz w:val="16"/>
              </w:rPr>
              <w:t>25.3</w:t>
            </w:r>
          </w:p>
        </w:tc>
        <w:tc>
          <w:tcPr>
            <w:tcW w:type="dxa" w:w="997"/>
          </w:tcPr>
          <w:p>
            <w:r/>
            <w:r>
              <w:rPr>
                <w:color w:val="111111"/>
                <w:sz w:val="16"/>
              </w:rPr>
              <w:t>EUR 10.0m</w:t>
            </w:r>
          </w:p>
        </w:tc>
        <w:tc>
          <w:tcPr>
            <w:tcW w:type="dxa" w:w="997"/>
          </w:tcPr>
          <w:p>
            <w:r/>
            <w:r>
              <w:rPr>
                <w:color w:val="111111"/>
                <w:sz w:val="16"/>
              </w:rPr>
              <w:t>68</w:t>
            </w:r>
          </w:p>
        </w:tc>
        <w:tc>
          <w:tcPr>
            <w:tcW w:type="dxa" w:w="997"/>
          </w:tcPr>
          <w:p>
            <w:r/>
            <w:r>
              <w:rPr>
                <w:color w:val="111111"/>
                <w:sz w:val="16"/>
              </w:rPr>
              <w:t>60</w:t>
            </w:r>
          </w:p>
        </w:tc>
        <w:tc>
          <w:tcPr>
            <w:tcW w:type="dxa" w:w="997"/>
          </w:tcPr>
          <w:p>
            <w:r/>
            <w:r>
              <w:rPr>
                <w:color w:val="111111"/>
                <w:sz w:val="16"/>
              </w:rPr>
              <w:t>82</w:t>
            </w:r>
          </w:p>
        </w:tc>
        <w:tc>
          <w:tcPr>
            <w:tcW w:type="dxa" w:w="997"/>
          </w:tcPr>
          <w:p>
            <w:r/>
            <w:r>
              <w:rPr>
                <w:color w:val="111111"/>
                <w:sz w:val="16"/>
              </w:rPr>
              <w:t>69</w:t>
            </w:r>
          </w:p>
        </w:tc>
        <w:tc>
          <w:tcPr>
            <w:tcW w:type="dxa" w:w="997"/>
          </w:tcPr>
          <w:p>
            <w:r/>
            <w:r>
              <w:rPr>
                <w:color w:val="111111"/>
                <w:sz w:val="16"/>
              </w:rPr>
              <w:t>Clearing + Passing security</w:t>
            </w:r>
          </w:p>
        </w:tc>
      </w:tr>
      <w:tr>
        <w:tc>
          <w:tcPr>
            <w:tcW w:type="dxa" w:w="997"/>
          </w:tcPr>
          <w:p>
            <w:r/>
            <w:r>
              <w:rPr>
                <w:color w:val="111111"/>
                <w:sz w:val="16"/>
              </w:rPr>
              <w:t>CB</w:t>
            </w:r>
          </w:p>
        </w:tc>
        <w:tc>
          <w:tcPr>
            <w:tcW w:type="dxa" w:w="997"/>
          </w:tcPr>
          <w:p>
            <w:r/>
            <w:r>
              <w:rPr>
                <w:color w:val="111111"/>
                <w:sz w:val="16"/>
              </w:rPr>
              <w:t>Gabriel Armando de Abreu</w:t>
            </w:r>
          </w:p>
        </w:tc>
        <w:tc>
          <w:tcPr>
            <w:tcW w:type="dxa" w:w="997"/>
          </w:tcPr>
          <w:p>
            <w:r/>
            <w:r>
              <w:rPr>
                <w:color w:val="111111"/>
                <w:sz w:val="16"/>
              </w:rPr>
              <w:t>Arsenal FC</w:t>
            </w:r>
          </w:p>
        </w:tc>
        <w:tc>
          <w:tcPr>
            <w:tcW w:type="dxa" w:w="997"/>
          </w:tcPr>
          <w:p>
            <w:r/>
            <w:r>
              <w:rPr>
                <w:color w:val="111111"/>
                <w:sz w:val="16"/>
              </w:rPr>
              <w:t>25.6</w:t>
            </w:r>
          </w:p>
        </w:tc>
        <w:tc>
          <w:tcPr>
            <w:tcW w:type="dxa" w:w="997"/>
          </w:tcPr>
          <w:p>
            <w:r/>
            <w:r>
              <w:rPr>
                <w:color w:val="111111"/>
                <w:sz w:val="16"/>
              </w:rPr>
              <w:t>EUR 12.0m</w:t>
            </w:r>
          </w:p>
        </w:tc>
        <w:tc>
          <w:tcPr>
            <w:tcW w:type="dxa" w:w="997"/>
          </w:tcPr>
          <w:p>
            <w:r/>
            <w:r>
              <w:rPr>
                <w:color w:val="111111"/>
                <w:sz w:val="16"/>
              </w:rPr>
              <w:t>55</w:t>
            </w:r>
          </w:p>
        </w:tc>
        <w:tc>
          <w:tcPr>
            <w:tcW w:type="dxa" w:w="997"/>
          </w:tcPr>
          <w:p>
            <w:r/>
            <w:r>
              <w:rPr>
                <w:color w:val="111111"/>
                <w:sz w:val="16"/>
              </w:rPr>
              <w:t>85</w:t>
            </w:r>
          </w:p>
        </w:tc>
        <w:tc>
          <w:tcPr>
            <w:tcW w:type="dxa" w:w="997"/>
          </w:tcPr>
          <w:p>
            <w:r/>
            <w:r>
              <w:rPr>
                <w:color w:val="111111"/>
                <w:sz w:val="16"/>
              </w:rPr>
              <w:t>78</w:t>
            </w:r>
          </w:p>
        </w:tc>
        <w:tc>
          <w:tcPr>
            <w:tcW w:type="dxa" w:w="997"/>
          </w:tcPr>
          <w:p>
            <w:r/>
            <w:r>
              <w:rPr>
                <w:color w:val="111111"/>
                <w:sz w:val="16"/>
              </w:rPr>
              <w:t>67</w:t>
            </w:r>
          </w:p>
        </w:tc>
        <w:tc>
          <w:tcPr>
            <w:tcW w:type="dxa" w:w="997"/>
          </w:tcPr>
          <w:p>
            <w:r/>
            <w:r>
              <w:rPr>
                <w:color w:val="111111"/>
                <w:sz w:val="16"/>
              </w:rPr>
              <w:t>Clearing + Passing security</w:t>
            </w:r>
          </w:p>
        </w:tc>
      </w:tr>
      <w:tr>
        <w:tc>
          <w:tcPr>
            <w:tcW w:type="dxa" w:w="997"/>
          </w:tcPr>
          <w:p>
            <w:r/>
            <w:r>
              <w:rPr>
                <w:color w:val="111111"/>
                <w:sz w:val="16"/>
              </w:rPr>
              <w:t>CB</w:t>
            </w:r>
          </w:p>
        </w:tc>
        <w:tc>
          <w:tcPr>
            <w:tcW w:type="dxa" w:w="997"/>
          </w:tcPr>
          <w:p>
            <w:r/>
            <w:r>
              <w:rPr>
                <w:color w:val="111111"/>
                <w:sz w:val="16"/>
              </w:rPr>
              <w:t>Daley Blind</w:t>
            </w:r>
          </w:p>
        </w:tc>
        <w:tc>
          <w:tcPr>
            <w:tcW w:type="dxa" w:w="997"/>
          </w:tcPr>
          <w:p>
            <w:r/>
            <w:r>
              <w:rPr>
                <w:color w:val="111111"/>
                <w:sz w:val="16"/>
              </w:rPr>
              <w:t>Manchester United</w:t>
            </w:r>
          </w:p>
        </w:tc>
        <w:tc>
          <w:tcPr>
            <w:tcW w:type="dxa" w:w="997"/>
          </w:tcPr>
          <w:p>
            <w:r/>
            <w:r>
              <w:rPr>
                <w:color w:val="111111"/>
                <w:sz w:val="16"/>
              </w:rPr>
              <w:t>26.3</w:t>
            </w:r>
          </w:p>
        </w:tc>
        <w:tc>
          <w:tcPr>
            <w:tcW w:type="dxa" w:w="997"/>
          </w:tcPr>
          <w:p>
            <w:r/>
            <w:r>
              <w:rPr>
                <w:color w:val="111111"/>
                <w:sz w:val="16"/>
              </w:rPr>
              <w:t>EUR 19.0m</w:t>
            </w:r>
          </w:p>
        </w:tc>
        <w:tc>
          <w:tcPr>
            <w:tcW w:type="dxa" w:w="997"/>
          </w:tcPr>
          <w:p>
            <w:r/>
            <w:r>
              <w:rPr>
                <w:color w:val="111111"/>
                <w:sz w:val="16"/>
              </w:rPr>
              <w:t>58</w:t>
            </w:r>
          </w:p>
        </w:tc>
        <w:tc>
          <w:tcPr>
            <w:tcW w:type="dxa" w:w="997"/>
          </w:tcPr>
          <w:p>
            <w:r/>
            <w:r>
              <w:rPr>
                <w:color w:val="111111"/>
                <w:sz w:val="16"/>
              </w:rPr>
              <w:t>52</w:t>
            </w:r>
          </w:p>
        </w:tc>
        <w:tc>
          <w:tcPr>
            <w:tcW w:type="dxa" w:w="997"/>
          </w:tcPr>
          <w:p>
            <w:r/>
            <w:r>
              <w:rPr>
                <w:color w:val="111111"/>
                <w:sz w:val="16"/>
              </w:rPr>
              <w:t>95</w:t>
            </w:r>
          </w:p>
        </w:tc>
        <w:tc>
          <w:tcPr>
            <w:tcW w:type="dxa" w:w="997"/>
          </w:tcPr>
          <w:p>
            <w:r/>
            <w:r>
              <w:rPr>
                <w:color w:val="111111"/>
                <w:sz w:val="16"/>
              </w:rPr>
              <w:t>64</w:t>
            </w:r>
          </w:p>
        </w:tc>
        <w:tc>
          <w:tcPr>
            <w:tcW w:type="dxa" w:w="997"/>
          </w:tcPr>
          <w:p>
            <w:r/>
            <w:r>
              <w:rPr>
                <w:color w:val="111111"/>
                <w:sz w:val="16"/>
              </w:rPr>
              <w:t>Progressive passing + Clearing</w:t>
            </w:r>
          </w:p>
        </w:tc>
      </w:tr>
      <w:tr>
        <w:tc>
          <w:tcPr>
            <w:tcW w:type="dxa" w:w="997"/>
          </w:tcPr>
          <w:p>
            <w:r/>
            <w:r>
              <w:rPr>
                <w:color w:val="111111"/>
                <w:sz w:val="16"/>
              </w:rPr>
              <w:t>ST</w:t>
            </w:r>
          </w:p>
        </w:tc>
        <w:tc>
          <w:tcPr>
            <w:tcW w:type="dxa" w:w="997"/>
          </w:tcPr>
          <w:p>
            <w:r/>
            <w:r>
              <w:rPr>
                <w:color w:val="111111"/>
                <w:sz w:val="16"/>
              </w:rPr>
              <w:t>Odion Ighalo</w:t>
            </w:r>
          </w:p>
        </w:tc>
        <w:tc>
          <w:tcPr>
            <w:tcW w:type="dxa" w:w="997"/>
          </w:tcPr>
          <w:p>
            <w:r/>
            <w:r>
              <w:rPr>
                <w:color w:val="111111"/>
                <w:sz w:val="16"/>
              </w:rPr>
              <w:t>Watford FC</w:t>
            </w:r>
          </w:p>
        </w:tc>
        <w:tc>
          <w:tcPr>
            <w:tcW w:type="dxa" w:w="997"/>
          </w:tcPr>
          <w:p>
            <w:r/>
            <w:r>
              <w:rPr>
                <w:color w:val="111111"/>
                <w:sz w:val="16"/>
              </w:rPr>
              <w:t>27.0</w:t>
            </w:r>
          </w:p>
        </w:tc>
        <w:tc>
          <w:tcPr>
            <w:tcW w:type="dxa" w:w="997"/>
          </w:tcPr>
          <w:p>
            <w:r/>
            <w:r>
              <w:rPr>
                <w:color w:val="111111"/>
                <w:sz w:val="16"/>
              </w:rPr>
              <w:t>EUR 12.0m</w:t>
            </w:r>
          </w:p>
        </w:tc>
        <w:tc>
          <w:tcPr>
            <w:tcW w:type="dxa" w:w="997"/>
          </w:tcPr>
          <w:p>
            <w:r/>
            <w:r>
              <w:rPr>
                <w:color w:val="111111"/>
                <w:sz w:val="16"/>
              </w:rPr>
              <w:t>79</w:t>
            </w:r>
          </w:p>
        </w:tc>
        <w:tc>
          <w:tcPr>
            <w:tcW w:type="dxa" w:w="997"/>
          </w:tcPr>
          <w:p>
            <w:r/>
            <w:r>
              <w:rPr>
                <w:color w:val="111111"/>
                <w:sz w:val="16"/>
              </w:rPr>
              <w:t>82</w:t>
            </w:r>
          </w:p>
        </w:tc>
        <w:tc>
          <w:tcPr>
            <w:tcW w:type="dxa" w:w="997"/>
          </w:tcPr>
          <w:p>
            <w:r/>
            <w:r>
              <w:rPr>
                <w:color w:val="111111"/>
                <w:sz w:val="16"/>
              </w:rPr>
              <w:t>96</w:t>
            </w:r>
          </w:p>
        </w:tc>
        <w:tc>
          <w:tcPr>
            <w:tcW w:type="dxa" w:w="997"/>
          </w:tcPr>
          <w:p>
            <w:r/>
            <w:r>
              <w:rPr>
                <w:color w:val="111111"/>
                <w:sz w:val="16"/>
              </w:rPr>
              <w:t>83</w:t>
            </w:r>
          </w:p>
        </w:tc>
        <w:tc>
          <w:tcPr>
            <w:tcW w:type="dxa" w:w="997"/>
          </w:tcPr>
          <w:p>
            <w:r/>
            <w:r>
              <w:rPr>
                <w:color w:val="111111"/>
                <w:sz w:val="16"/>
              </w:rPr>
              <w:t>Aerial duels + Box presence</w:t>
            </w:r>
          </w:p>
        </w:tc>
      </w:tr>
      <w:tr>
        <w:tc>
          <w:tcPr>
            <w:tcW w:type="dxa" w:w="997"/>
          </w:tcPr>
          <w:p>
            <w:r/>
            <w:r>
              <w:rPr>
                <w:color w:val="111111"/>
                <w:sz w:val="16"/>
              </w:rPr>
              <w:t>ST</w:t>
            </w:r>
          </w:p>
        </w:tc>
        <w:tc>
          <w:tcPr>
            <w:tcW w:type="dxa" w:w="997"/>
          </w:tcPr>
          <w:p>
            <w:r/>
            <w:r>
              <w:rPr>
                <w:color w:val="111111"/>
                <w:sz w:val="16"/>
              </w:rPr>
              <w:t>Troy Deeney</w:t>
            </w:r>
          </w:p>
        </w:tc>
        <w:tc>
          <w:tcPr>
            <w:tcW w:type="dxa" w:w="997"/>
          </w:tcPr>
          <w:p>
            <w:r/>
            <w:r>
              <w:rPr>
                <w:color w:val="111111"/>
                <w:sz w:val="16"/>
              </w:rPr>
              <w:t>Watford FC</w:t>
            </w:r>
          </w:p>
        </w:tc>
        <w:tc>
          <w:tcPr>
            <w:tcW w:type="dxa" w:w="997"/>
          </w:tcPr>
          <w:p>
            <w:r/>
            <w:r>
              <w:rPr>
                <w:color w:val="111111"/>
                <w:sz w:val="16"/>
              </w:rPr>
              <w:t>28.0</w:t>
            </w:r>
          </w:p>
        </w:tc>
        <w:tc>
          <w:tcPr>
            <w:tcW w:type="dxa" w:w="997"/>
          </w:tcPr>
          <w:p>
            <w:r/>
            <w:r>
              <w:rPr>
                <w:color w:val="111111"/>
                <w:sz w:val="16"/>
              </w:rPr>
              <w:t>EUR 9.0m</w:t>
            </w:r>
          </w:p>
        </w:tc>
        <w:tc>
          <w:tcPr>
            <w:tcW w:type="dxa" w:w="997"/>
          </w:tcPr>
          <w:p>
            <w:r/>
            <w:r>
              <w:rPr>
                <w:color w:val="111111"/>
                <w:sz w:val="16"/>
              </w:rPr>
              <w:t>55</w:t>
            </w:r>
          </w:p>
        </w:tc>
        <w:tc>
          <w:tcPr>
            <w:tcW w:type="dxa" w:w="997"/>
          </w:tcPr>
          <w:p>
            <w:r/>
            <w:r>
              <w:rPr>
                <w:color w:val="111111"/>
                <w:sz w:val="16"/>
              </w:rPr>
              <w:t>80</w:t>
            </w:r>
          </w:p>
        </w:tc>
        <w:tc>
          <w:tcPr>
            <w:tcW w:type="dxa" w:w="997"/>
          </w:tcPr>
          <w:p>
            <w:r/>
            <w:r>
              <w:rPr>
                <w:color w:val="111111"/>
                <w:sz w:val="16"/>
              </w:rPr>
              <w:t>95</w:t>
            </w:r>
          </w:p>
        </w:tc>
        <w:tc>
          <w:tcPr>
            <w:tcW w:type="dxa" w:w="997"/>
          </w:tcPr>
          <w:p>
            <w:r/>
            <w:r>
              <w:rPr>
                <w:color w:val="111111"/>
                <w:sz w:val="16"/>
              </w:rPr>
              <w:t>69</w:t>
            </w:r>
          </w:p>
        </w:tc>
        <w:tc>
          <w:tcPr>
            <w:tcW w:type="dxa" w:w="997"/>
          </w:tcPr>
          <w:p>
            <w:r/>
            <w:r>
              <w:rPr>
                <w:color w:val="111111"/>
                <w:sz w:val="16"/>
              </w:rPr>
              <w:t>Aerial duels + Box presence</w:t>
            </w:r>
          </w:p>
        </w:tc>
      </w:tr>
      <w:tr>
        <w:tc>
          <w:tcPr>
            <w:tcW w:type="dxa" w:w="997"/>
          </w:tcPr>
          <w:p>
            <w:r/>
            <w:r>
              <w:rPr>
                <w:color w:val="111111"/>
                <w:sz w:val="16"/>
              </w:rPr>
              <w:t>ST</w:t>
            </w:r>
          </w:p>
        </w:tc>
        <w:tc>
          <w:tcPr>
            <w:tcW w:type="dxa" w:w="997"/>
          </w:tcPr>
          <w:p>
            <w:r/>
            <w:r>
              <w:rPr>
                <w:color w:val="111111"/>
                <w:sz w:val="16"/>
              </w:rPr>
              <w:t>Joshua King</w:t>
            </w:r>
          </w:p>
        </w:tc>
        <w:tc>
          <w:tcPr>
            <w:tcW w:type="dxa" w:w="997"/>
          </w:tcPr>
          <w:p>
            <w:r/>
            <w:r>
              <w:rPr>
                <w:color w:val="111111"/>
                <w:sz w:val="16"/>
              </w:rPr>
              <w:t>AFC Bournemouth</w:t>
            </w:r>
          </w:p>
        </w:tc>
        <w:tc>
          <w:tcPr>
            <w:tcW w:type="dxa" w:w="997"/>
          </w:tcPr>
          <w:p>
            <w:r/>
            <w:r>
              <w:rPr>
                <w:color w:val="111111"/>
                <w:sz w:val="16"/>
              </w:rPr>
              <w:t>24.5</w:t>
            </w:r>
          </w:p>
        </w:tc>
        <w:tc>
          <w:tcPr>
            <w:tcW w:type="dxa" w:w="997"/>
          </w:tcPr>
          <w:p>
            <w:r/>
            <w:r>
              <w:rPr>
                <w:color w:val="111111"/>
                <w:sz w:val="16"/>
              </w:rPr>
              <w:t>EUR 2.0m</w:t>
            </w:r>
          </w:p>
        </w:tc>
        <w:tc>
          <w:tcPr>
            <w:tcW w:type="dxa" w:w="997"/>
          </w:tcPr>
          <w:p>
            <w:r/>
            <w:r>
              <w:rPr>
                <w:color w:val="111111"/>
                <w:sz w:val="16"/>
              </w:rPr>
              <w:t>51</w:t>
            </w:r>
          </w:p>
        </w:tc>
        <w:tc>
          <w:tcPr>
            <w:tcW w:type="dxa" w:w="997"/>
          </w:tcPr>
          <w:p>
            <w:r/>
            <w:r>
              <w:rPr>
                <w:color w:val="111111"/>
                <w:sz w:val="16"/>
              </w:rPr>
              <w:t>100</w:t>
            </w:r>
          </w:p>
        </w:tc>
        <w:tc>
          <w:tcPr>
            <w:tcW w:type="dxa" w:w="997"/>
          </w:tcPr>
          <w:p>
            <w:r/>
            <w:r>
              <w:rPr>
                <w:color w:val="111111"/>
                <w:sz w:val="16"/>
              </w:rPr>
              <w:t>81</w:t>
            </w:r>
          </w:p>
        </w:tc>
        <w:tc>
          <w:tcPr>
            <w:tcW w:type="dxa" w:w="997"/>
          </w:tcPr>
          <w:p>
            <w:r/>
            <w:r>
              <w:rPr>
                <w:color w:val="111111"/>
                <w:sz w:val="16"/>
              </w:rPr>
              <w:t>69</w:t>
            </w:r>
          </w:p>
        </w:tc>
        <w:tc>
          <w:tcPr>
            <w:tcW w:type="dxa" w:w="997"/>
          </w:tcPr>
          <w:p>
            <w:r/>
            <w:r>
              <w:rPr>
                <w:color w:val="111111"/>
                <w:sz w:val="16"/>
              </w:rPr>
              <w:t>Shooting + Box presence</w:t>
            </w:r>
          </w:p>
        </w:tc>
      </w:tr>
      <w:tr>
        <w:tc>
          <w:tcPr>
            <w:tcW w:type="dxa" w:w="997"/>
          </w:tcPr>
          <w:p>
            <w:r/>
            <w:r>
              <w:rPr>
                <w:color w:val="111111"/>
                <w:sz w:val="16"/>
              </w:rPr>
              <w:t>ST</w:t>
            </w:r>
          </w:p>
        </w:tc>
        <w:tc>
          <w:tcPr>
            <w:tcW w:type="dxa" w:w="997"/>
          </w:tcPr>
          <w:p>
            <w:r/>
            <w:r>
              <w:rPr>
                <w:color w:val="111111"/>
                <w:sz w:val="16"/>
              </w:rPr>
              <w:t>Aleksandar Mitrović</w:t>
            </w:r>
          </w:p>
        </w:tc>
        <w:tc>
          <w:tcPr>
            <w:tcW w:type="dxa" w:w="997"/>
          </w:tcPr>
          <w:p>
            <w:r/>
            <w:r>
              <w:rPr>
                <w:color w:val="111111"/>
                <w:sz w:val="16"/>
              </w:rPr>
              <w:t>Newcastle United</w:t>
            </w:r>
          </w:p>
        </w:tc>
        <w:tc>
          <w:tcPr>
            <w:tcW w:type="dxa" w:w="997"/>
          </w:tcPr>
          <w:p>
            <w:r/>
            <w:r>
              <w:rPr>
                <w:color w:val="111111"/>
                <w:sz w:val="16"/>
              </w:rPr>
              <w:t>21.8</w:t>
            </w:r>
          </w:p>
        </w:tc>
        <w:tc>
          <w:tcPr>
            <w:tcW w:type="dxa" w:w="997"/>
          </w:tcPr>
          <w:p>
            <w:r/>
            <w:r>
              <w:rPr>
                <w:color w:val="111111"/>
                <w:sz w:val="16"/>
              </w:rPr>
              <w:t>EUR 14.0m</w:t>
            </w:r>
          </w:p>
        </w:tc>
        <w:tc>
          <w:tcPr>
            <w:tcW w:type="dxa" w:w="997"/>
          </w:tcPr>
          <w:p>
            <w:r/>
            <w:r>
              <w:rPr>
                <w:color w:val="111111"/>
                <w:sz w:val="16"/>
              </w:rPr>
              <w:t>64</w:t>
            </w:r>
          </w:p>
        </w:tc>
        <w:tc>
          <w:tcPr>
            <w:tcW w:type="dxa" w:w="997"/>
          </w:tcPr>
          <w:p>
            <w:r/>
            <w:r>
              <w:rPr>
                <w:color w:val="111111"/>
                <w:sz w:val="16"/>
              </w:rPr>
              <w:t>62</w:t>
            </w:r>
          </w:p>
        </w:tc>
        <w:tc>
          <w:tcPr>
            <w:tcW w:type="dxa" w:w="997"/>
          </w:tcPr>
          <w:p>
            <w:r/>
            <w:r>
              <w:rPr>
                <w:color w:val="111111"/>
                <w:sz w:val="16"/>
              </w:rPr>
              <w:t>80</w:t>
            </w:r>
          </w:p>
        </w:tc>
        <w:tc>
          <w:tcPr>
            <w:tcW w:type="dxa" w:w="997"/>
          </w:tcPr>
          <w:p>
            <w:r/>
            <w:r>
              <w:rPr>
                <w:color w:val="111111"/>
                <w:sz w:val="16"/>
              </w:rPr>
              <w:t>67</w:t>
            </w:r>
          </w:p>
        </w:tc>
        <w:tc>
          <w:tcPr>
            <w:tcW w:type="dxa" w:w="997"/>
          </w:tcPr>
          <w:p>
            <w:r/>
            <w:r>
              <w:rPr>
                <w:color w:val="111111"/>
                <w:sz w:val="16"/>
              </w:rPr>
              <w:t>Aerial duels + Box presence</w:t>
            </w:r>
          </w:p>
        </w:tc>
      </w:tr>
      <w:tr>
        <w:tc>
          <w:tcPr>
            <w:tcW w:type="dxa" w:w="997"/>
          </w:tcPr>
          <w:p>
            <w:r/>
            <w:r>
              <w:rPr>
                <w:color w:val="111111"/>
                <w:sz w:val="16"/>
              </w:rPr>
              <w:t>ST</w:t>
            </w:r>
          </w:p>
        </w:tc>
        <w:tc>
          <w:tcPr>
            <w:tcW w:type="dxa" w:w="997"/>
          </w:tcPr>
          <w:p>
            <w:r/>
            <w:r>
              <w:rPr>
                <w:color w:val="111111"/>
                <w:sz w:val="16"/>
              </w:rPr>
              <w:t>Christian Benteke</w:t>
            </w:r>
          </w:p>
        </w:tc>
        <w:tc>
          <w:tcPr>
            <w:tcW w:type="dxa" w:w="997"/>
          </w:tcPr>
          <w:p>
            <w:r/>
            <w:r>
              <w:rPr>
                <w:color w:val="111111"/>
                <w:sz w:val="16"/>
              </w:rPr>
              <w:t>Liverpool FC</w:t>
            </w:r>
          </w:p>
        </w:tc>
        <w:tc>
          <w:tcPr>
            <w:tcW w:type="dxa" w:w="997"/>
          </w:tcPr>
          <w:p>
            <w:r/>
            <w:r>
              <w:rPr>
                <w:color w:val="111111"/>
                <w:sz w:val="16"/>
              </w:rPr>
              <w:t>25.6</w:t>
            </w:r>
          </w:p>
        </w:tc>
        <w:tc>
          <w:tcPr>
            <w:tcW w:type="dxa" w:w="997"/>
          </w:tcPr>
          <w:p>
            <w:r/>
            <w:r>
              <w:rPr>
                <w:color w:val="111111"/>
                <w:sz w:val="16"/>
              </w:rPr>
              <w:t>EUR 27.0m</w:t>
            </w:r>
          </w:p>
        </w:tc>
        <w:tc>
          <w:tcPr>
            <w:tcW w:type="dxa" w:w="997"/>
          </w:tcPr>
          <w:p>
            <w:r/>
            <w:r>
              <w:rPr>
                <w:color w:val="111111"/>
                <w:sz w:val="16"/>
              </w:rPr>
              <w:t>72</w:t>
            </w:r>
          </w:p>
        </w:tc>
        <w:tc>
          <w:tcPr>
            <w:tcW w:type="dxa" w:w="997"/>
          </w:tcPr>
          <w:p>
            <w:r/>
            <w:r>
              <w:rPr>
                <w:color w:val="111111"/>
                <w:sz w:val="16"/>
              </w:rPr>
              <w:t>40</w:t>
            </w:r>
          </w:p>
        </w:tc>
        <w:tc>
          <w:tcPr>
            <w:tcW w:type="dxa" w:w="997"/>
          </w:tcPr>
          <w:p>
            <w:r/>
            <w:r>
              <w:rPr>
                <w:color w:val="111111"/>
                <w:sz w:val="16"/>
              </w:rPr>
              <w:t>55</w:t>
            </w:r>
          </w:p>
        </w:tc>
        <w:tc>
          <w:tcPr>
            <w:tcW w:type="dxa" w:w="997"/>
          </w:tcPr>
          <w:p>
            <w:r/>
            <w:r>
              <w:rPr>
                <w:color w:val="111111"/>
                <w:sz w:val="16"/>
              </w:rPr>
              <w:t>61</w:t>
            </w:r>
          </w:p>
        </w:tc>
        <w:tc>
          <w:tcPr>
            <w:tcW w:type="dxa" w:w="997"/>
          </w:tcPr>
          <w:p>
            <w:r/>
            <w:r>
              <w:rPr>
                <w:color w:val="111111"/>
                <w:sz w:val="16"/>
              </w:rPr>
              <w:t>Aerial duels + Box presence</w:t>
            </w:r>
          </w:p>
        </w:tc>
      </w:tr>
    </w:tbl>
    <w:p>
      <w:r>
        <w:rPr>
          <w:i w:val="0"/>
          <w:color w:val="555555"/>
          <w:sz w:val="16"/>
        </w:rPr>
        <w:t>Table 4: Top five candidates per need after the filters. Fit, value and safety are 0 to 100 percentiles. Score uses the balanced weights 0.55 fit, 0.25 value and 0.20 safety.</w:t>
      </w:r>
    </w:p>
    <w:p>
      <w:r>
        <w:t>The differences inside the midfield group are instructive. Coquelin has the best balanced score (79.9) because his market gap is large and his profile is still close to Kanté. Gueye has the best fit (95.3) but the weakest value score (22.1), because the market already prices his defensive output. Wanyama sits between them. The final choice depends on what the club is trying to buy: a bargain, a tactical facsimile or a robust portfolio.</w:t>
      </w:r>
    </w:p>
    <w:p>
      <w:pPr>
        <w:pStyle w:val="Heading1"/>
      </w:pPr>
      <w:r>
        <w:t>5. Market value models</w:t>
      </w:r>
    </w:p>
    <w:p>
      <w:pPr>
        <w:pStyle w:val="Heading2"/>
      </w:pPr>
      <w:r>
        <w:t>Global model</w:t>
      </w:r>
    </w:p>
    <w:p>
      <w:r>
        <w:t>The global model predicts log market value relative to the league-season median. The target removes inflation and league level: a player is priced against peers in the same league and season. Features are age, appearances, starts, substitute appearances, goals and assists per appearance, non-penalty goals, cards, injury days, height, club rank, league, position group, role and foot. Market value itself is never a feature. The model is trained on seasons up to 2020/21 and tested on 2021/22 to 2024/25, giving 9,015 held-out player-seasons.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6E6E6"/>
          </w:tcPr>
          <w:p>
            <w:r/>
            <w:r>
              <w:rPr>
                <w:b/>
                <w:color w:val="111111"/>
                <w:sz w:val="16"/>
              </w:rPr>
              <w:t>Model</w:t>
            </w:r>
          </w:p>
        </w:tc>
        <w:tc>
          <w:tcPr>
            <w:tcW w:type="dxa" w:w="1994"/>
            <w:shd w:fill="E6E6E6"/>
          </w:tcPr>
          <w:p>
            <w:r/>
            <w:r>
              <w:rPr>
                <w:b/>
                <w:color w:val="111111"/>
                <w:sz w:val="16"/>
              </w:rPr>
              <w:t>MAE, log</w:t>
            </w:r>
          </w:p>
        </w:tc>
        <w:tc>
          <w:tcPr>
            <w:tcW w:type="dxa" w:w="1994"/>
            <w:shd w:fill="E6E6E6"/>
          </w:tcPr>
          <w:p>
            <w:r/>
            <w:r>
              <w:rPr>
                <w:b/>
                <w:color w:val="111111"/>
                <w:sz w:val="16"/>
              </w:rPr>
              <w:t>RMSE, log</w:t>
            </w:r>
          </w:p>
        </w:tc>
        <w:tc>
          <w:tcPr>
            <w:tcW w:type="dxa" w:w="1994"/>
            <w:shd w:fill="E6E6E6"/>
          </w:tcPr>
          <w:p>
            <w:r/>
            <w:r>
              <w:rPr>
                <w:b/>
                <w:color w:val="111111"/>
                <w:sz w:val="16"/>
              </w:rPr>
              <w:t>R2</w:t>
            </w:r>
          </w:p>
        </w:tc>
        <w:tc>
          <w:tcPr>
            <w:tcW w:type="dxa" w:w="1994"/>
            <w:shd w:fill="E6E6E6"/>
          </w:tcPr>
          <w:p>
            <w:r/>
            <w:r>
              <w:rPr>
                <w:b/>
                <w:color w:val="111111"/>
                <w:sz w:val="16"/>
              </w:rPr>
              <w:t>Spearman</w:t>
            </w:r>
          </w:p>
        </w:tc>
      </w:tr>
      <w:tr>
        <w:tc>
          <w:tcPr>
            <w:tcW w:type="dxa" w:w="1994"/>
          </w:tcPr>
          <w:p>
            <w:r/>
            <w:r>
              <w:rPr>
                <w:color w:val="111111"/>
                <w:sz w:val="16"/>
              </w:rPr>
              <w:t>Role median baseline</w:t>
            </w:r>
          </w:p>
        </w:tc>
        <w:tc>
          <w:tcPr>
            <w:tcW w:type="dxa" w:w="1994"/>
          </w:tcPr>
          <w:p>
            <w:r/>
            <w:r>
              <w:rPr>
                <w:color w:val="111111"/>
                <w:sz w:val="16"/>
              </w:rPr>
              <w:t>0.961</w:t>
            </w:r>
          </w:p>
        </w:tc>
        <w:tc>
          <w:tcPr>
            <w:tcW w:type="dxa" w:w="1994"/>
          </w:tcPr>
          <w:p>
            <w:r/>
            <w:r>
              <w:rPr>
                <w:color w:val="111111"/>
                <w:sz w:val="16"/>
              </w:rPr>
              <w:t>1.204</w:t>
            </w:r>
          </w:p>
        </w:tc>
        <w:tc>
          <w:tcPr>
            <w:tcW w:type="dxa" w:w="1994"/>
          </w:tcPr>
          <w:p>
            <w:r/>
            <w:r>
              <w:rPr>
                <w:color w:val="111111"/>
                <w:sz w:val="16"/>
              </w:rPr>
              <w:t>0.007</w:t>
            </w:r>
          </w:p>
        </w:tc>
        <w:tc>
          <w:tcPr>
            <w:tcW w:type="dxa" w:w="1994"/>
          </w:tcPr>
          <w:p>
            <w:r/>
            <w:r>
              <w:rPr>
                <w:color w:val="111111"/>
                <w:sz w:val="16"/>
              </w:rPr>
              <w:t>0.084</w:t>
            </w:r>
          </w:p>
        </w:tc>
      </w:tr>
      <w:tr>
        <w:tc>
          <w:tcPr>
            <w:tcW w:type="dxa" w:w="1994"/>
          </w:tcPr>
          <w:p>
            <w:r/>
            <w:r>
              <w:rPr>
                <w:color w:val="111111"/>
                <w:sz w:val="16"/>
              </w:rPr>
              <w:t>Ridge regression</w:t>
            </w:r>
          </w:p>
        </w:tc>
        <w:tc>
          <w:tcPr>
            <w:tcW w:type="dxa" w:w="1994"/>
          </w:tcPr>
          <w:p>
            <w:r/>
            <w:r>
              <w:rPr>
                <w:color w:val="111111"/>
                <w:sz w:val="16"/>
              </w:rPr>
              <w:t>0.542</w:t>
            </w:r>
          </w:p>
        </w:tc>
        <w:tc>
          <w:tcPr>
            <w:tcW w:type="dxa" w:w="1994"/>
          </w:tcPr>
          <w:p>
            <w:r/>
            <w:r>
              <w:rPr>
                <w:color w:val="111111"/>
                <w:sz w:val="16"/>
              </w:rPr>
              <w:t>0.696</w:t>
            </w:r>
          </w:p>
        </w:tc>
        <w:tc>
          <w:tcPr>
            <w:tcW w:type="dxa" w:w="1994"/>
          </w:tcPr>
          <w:p>
            <w:r/>
            <w:r>
              <w:rPr>
                <w:color w:val="111111"/>
                <w:sz w:val="16"/>
              </w:rPr>
              <w:t>0.668</w:t>
            </w:r>
          </w:p>
        </w:tc>
        <w:tc>
          <w:tcPr>
            <w:tcW w:type="dxa" w:w="1994"/>
          </w:tcPr>
          <w:p>
            <w:r/>
            <w:r>
              <w:rPr>
                <w:color w:val="111111"/>
                <w:sz w:val="16"/>
              </w:rPr>
              <w:t>0.824</w:t>
            </w:r>
          </w:p>
        </w:tc>
      </w:tr>
      <w:tr>
        <w:tc>
          <w:tcPr>
            <w:tcW w:type="dxa" w:w="1994"/>
          </w:tcPr>
          <w:p>
            <w:r/>
            <w:r>
              <w:rPr>
                <w:color w:val="111111"/>
                <w:sz w:val="16"/>
              </w:rPr>
              <w:t>LightGBM</w:t>
            </w:r>
          </w:p>
        </w:tc>
        <w:tc>
          <w:tcPr>
            <w:tcW w:type="dxa" w:w="1994"/>
          </w:tcPr>
          <w:p>
            <w:r/>
            <w:r>
              <w:rPr>
                <w:color w:val="111111"/>
                <w:sz w:val="16"/>
              </w:rPr>
              <w:t>0.488</w:t>
            </w:r>
          </w:p>
        </w:tc>
        <w:tc>
          <w:tcPr>
            <w:tcW w:type="dxa" w:w="1994"/>
          </w:tcPr>
          <w:p>
            <w:r/>
            <w:r>
              <w:rPr>
                <w:color w:val="111111"/>
                <w:sz w:val="16"/>
              </w:rPr>
              <w:t>0.623</w:t>
            </w:r>
          </w:p>
        </w:tc>
        <w:tc>
          <w:tcPr>
            <w:tcW w:type="dxa" w:w="1994"/>
          </w:tcPr>
          <w:p>
            <w:r/>
            <w:r>
              <w:rPr>
                <w:color w:val="111111"/>
                <w:sz w:val="16"/>
              </w:rPr>
              <w:t>0.734</w:t>
            </w:r>
          </w:p>
        </w:tc>
        <w:tc>
          <w:tcPr>
            <w:tcW w:type="dxa" w:w="1994"/>
          </w:tcPr>
          <w:p>
            <w:r/>
            <w:r>
              <w:rPr>
                <w:color w:val="111111"/>
                <w:sz w:val="16"/>
              </w:rPr>
              <w:t>0.855</w:t>
            </w:r>
          </w:p>
        </w:tc>
      </w:tr>
    </w:tbl>
    <w:p>
      <w:r>
        <w:rPr>
          <w:i w:val="0"/>
          <w:color w:val="555555"/>
          <w:sz w:val="16"/>
        </w:rPr>
        <w:t>Table 5: Global market value model, holdout seasons 2021/22 to 2024/25</w:t>
      </w:r>
    </w:p>
    <w:p>
      <w:r>
        <w:t>The LightGBM model reduces the log error from 0.961 to 0.488 and raises R2 from 0.007 to 0.734. The rank correlation is 0.855. The largest gains come from club rank, age, appearances, starts and goals per appearance. The model is strong but not surprising: club reputation and playing time dominate market value. That is exactly why the residual is interesting only when a player's profile is unusual.</w:t>
      </w:r>
    </w:p>
    <w:p>
      <w:r>
        <w:drawing>
          <wp:inline xmlns:a="http://schemas.openxmlformats.org/drawingml/2006/main" xmlns:pic="http://schemas.openxmlformats.org/drawingml/2006/picture">
            <wp:extent cx="5940000" cy="2422112"/>
            <wp:docPr id="5" name="Picture 5"/>
            <wp:cNvGraphicFramePr>
              <a:graphicFrameLocks noChangeAspect="1"/>
            </wp:cNvGraphicFramePr>
            <a:graphic>
              <a:graphicData uri="http://schemas.openxmlformats.org/drawingml/2006/picture">
                <pic:pic>
                  <pic:nvPicPr>
                    <pic:cNvPr id="0" name="value_parity.png"/>
                    <pic:cNvPicPr/>
                  </pic:nvPicPr>
                  <pic:blipFill>
                    <a:blip r:embed="rId15"/>
                    <a:stretch>
                      <a:fillRect/>
                    </a:stretch>
                  </pic:blipFill>
                  <pic:spPr>
                    <a:xfrm>
                      <a:off x="0" y="0"/>
                      <a:ext cx="5940000" cy="2422112"/>
                    </a:xfrm>
                    <a:prstGeom prst="rect"/>
                  </pic:spPr>
                </pic:pic>
              </a:graphicData>
            </a:graphic>
          </wp:inline>
        </w:drawing>
      </w:r>
    </w:p>
    <w:p>
      <w:r>
        <w:rPr>
          <w:i w:val="0"/>
          <w:color w:val="555555"/>
          <w:sz w:val="16"/>
        </w:rPr>
        <w:t>Figure 5: Actual and predicted log value relative to the league median. Left: global model on future seasons. Right: local model on 2015/16 with out-of-fold predictions.</w:t>
      </w:r>
    </w:p>
    <w:p>
      <w:pPr>
        <w:pStyle w:val="Heading2"/>
      </w:pPr>
      <w:r>
        <w:t>Local model</w:t>
      </w:r>
    </w:p>
    <w:p>
      <w:r>
        <w:t>The local model uses the 2015/16 Premier League cross-section and real match actions. It predicts the same relative log value from 31 event features, age, minutes, starts and club rank. The model is a ridge regression with standardized features and five-fold out-of-fold predictions. The baseline uses only age, minutes, starts, role and club rank. The full model adds passes, completion, progression, carries, xG, xA, box touches, pressures, tackles, interceptions, blocks, clearances, recoveries, aerial losses, dribbles, turnovers, fouls and line height.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6E6E6"/>
          </w:tcPr>
          <w:p>
            <w:r/>
            <w:r>
              <w:rPr>
                <w:b/>
                <w:color w:val="111111"/>
                <w:sz w:val="16"/>
              </w:rPr>
              <w:t>Local model</w:t>
            </w:r>
          </w:p>
        </w:tc>
        <w:tc>
          <w:tcPr>
            <w:tcW w:type="dxa" w:w="1994"/>
            <w:shd w:fill="E6E6E6"/>
          </w:tcPr>
          <w:p>
            <w:r/>
            <w:r>
              <w:rPr>
                <w:b/>
                <w:color w:val="111111"/>
                <w:sz w:val="16"/>
              </w:rPr>
              <w:t>MAE, log</w:t>
            </w:r>
          </w:p>
        </w:tc>
        <w:tc>
          <w:tcPr>
            <w:tcW w:type="dxa" w:w="1994"/>
            <w:shd w:fill="E6E6E6"/>
          </w:tcPr>
          <w:p>
            <w:r/>
            <w:r>
              <w:rPr>
                <w:b/>
                <w:color w:val="111111"/>
                <w:sz w:val="16"/>
              </w:rPr>
              <w:t>R2</w:t>
            </w:r>
          </w:p>
        </w:tc>
        <w:tc>
          <w:tcPr>
            <w:tcW w:type="dxa" w:w="1994"/>
            <w:shd w:fill="E6E6E6"/>
          </w:tcPr>
          <w:p>
            <w:r/>
            <w:r>
              <w:rPr>
                <w:b/>
                <w:color w:val="111111"/>
                <w:sz w:val="16"/>
              </w:rPr>
              <w:t>Spearman</w:t>
            </w:r>
          </w:p>
        </w:tc>
        <w:tc>
          <w:tcPr>
            <w:tcW w:type="dxa" w:w="1994"/>
            <w:shd w:fill="E6E6E6"/>
          </w:tcPr>
          <w:p>
            <w:r/>
            <w:r>
              <w:rPr>
                <w:b/>
                <w:color w:val="111111"/>
                <w:sz w:val="16"/>
              </w:rPr>
              <w:t>n</w:t>
            </w:r>
          </w:p>
        </w:tc>
      </w:tr>
      <w:tr>
        <w:tc>
          <w:tcPr>
            <w:tcW w:type="dxa" w:w="1994"/>
          </w:tcPr>
          <w:p>
            <w:r/>
            <w:r>
              <w:rPr>
                <w:color w:val="111111"/>
                <w:sz w:val="16"/>
              </w:rPr>
              <w:t>Baseline</w:t>
            </w:r>
          </w:p>
        </w:tc>
        <w:tc>
          <w:tcPr>
            <w:tcW w:type="dxa" w:w="1994"/>
          </w:tcPr>
          <w:p>
            <w:r/>
            <w:r>
              <w:rPr>
                <w:color w:val="111111"/>
                <w:sz w:val="16"/>
              </w:rPr>
              <w:t>0.529</w:t>
            </w:r>
          </w:p>
        </w:tc>
        <w:tc>
          <w:tcPr>
            <w:tcW w:type="dxa" w:w="1994"/>
          </w:tcPr>
          <w:p>
            <w:r/>
            <w:r>
              <w:rPr>
                <w:color w:val="111111"/>
                <w:sz w:val="16"/>
              </w:rPr>
              <w:t>0.495</w:t>
            </w:r>
          </w:p>
        </w:tc>
        <w:tc>
          <w:tcPr>
            <w:tcW w:type="dxa" w:w="1994"/>
          </w:tcPr>
          <w:p>
            <w:r/>
            <w:r>
              <w:rPr>
                <w:color w:val="111111"/>
                <w:sz w:val="16"/>
              </w:rPr>
              <w:t>0.707</w:t>
            </w:r>
          </w:p>
        </w:tc>
        <w:tc>
          <w:tcPr>
            <w:tcW w:type="dxa" w:w="1994"/>
          </w:tcPr>
          <w:p>
            <w:r/>
            <w:r>
              <w:rPr>
                <w:color w:val="111111"/>
                <w:sz w:val="16"/>
              </w:rPr>
              <w:t>285</w:t>
            </w:r>
          </w:p>
        </w:tc>
      </w:tr>
      <w:tr>
        <w:tc>
          <w:tcPr>
            <w:tcW w:type="dxa" w:w="1994"/>
          </w:tcPr>
          <w:p>
            <w:r/>
            <w:r>
              <w:rPr>
                <w:color w:val="111111"/>
                <w:sz w:val="16"/>
              </w:rPr>
              <w:t>Full event model</w:t>
            </w:r>
          </w:p>
        </w:tc>
        <w:tc>
          <w:tcPr>
            <w:tcW w:type="dxa" w:w="1994"/>
          </w:tcPr>
          <w:p>
            <w:r/>
            <w:r>
              <w:rPr>
                <w:color w:val="111111"/>
                <w:sz w:val="16"/>
              </w:rPr>
              <w:t>0.446</w:t>
            </w:r>
          </w:p>
        </w:tc>
        <w:tc>
          <w:tcPr>
            <w:tcW w:type="dxa" w:w="1994"/>
          </w:tcPr>
          <w:p>
            <w:r/>
            <w:r>
              <w:rPr>
                <w:color w:val="111111"/>
                <w:sz w:val="16"/>
              </w:rPr>
              <w:t>0.614</w:t>
            </w:r>
          </w:p>
        </w:tc>
        <w:tc>
          <w:tcPr>
            <w:tcW w:type="dxa" w:w="1994"/>
          </w:tcPr>
          <w:p>
            <w:r/>
            <w:r>
              <w:rPr>
                <w:color w:val="111111"/>
                <w:sz w:val="16"/>
              </w:rPr>
              <w:t>0.785</w:t>
            </w:r>
          </w:p>
        </w:tc>
        <w:tc>
          <w:tcPr>
            <w:tcW w:type="dxa" w:w="1994"/>
          </w:tcPr>
          <w:p>
            <w:r/>
            <w:r>
              <w:rPr>
                <w:color w:val="111111"/>
                <w:sz w:val="16"/>
              </w:rPr>
              <w:t>285</w:t>
            </w:r>
          </w:p>
        </w:tc>
      </w:tr>
    </w:tbl>
    <w:p>
      <w:r>
        <w:rPr>
          <w:i w:val="0"/>
          <w:color w:val="555555"/>
          <w:sz w:val="16"/>
        </w:rPr>
        <w:t>Table 6: Local 2015/16 market value model, five-fold out-of-fold predictions</w:t>
      </w:r>
    </w:p>
    <w:p>
      <w:r>
        <w:t>The event model improves R2 from 0.495 to 0.614 and reduces the log error from 0.529 to 0.446. Pass volume and pass completion have the largest positive coefficients. Pressures and recoveries have negative coefficients once position, minutes and club rank are controlled. In other words, the market pays for passing and attacking output more than for defensive actions. That is a market bias, not a football verdict, and it explains why Gueye can be the best tactical fit and still receive a negative value gap.</w:t>
      </w:r>
    </w:p>
    <w:p>
      <w:r>
        <w:t>Leakage controls are explicit. The target is the market value at the end of the 2015/16 season. All features are known during the season. No future value, transfer fee, contract outcome or 2016 to 2018 information enters the model. The global model is tested on future seasons. The case model is trained on seasons up to 2014/15 when it scores 2015/16. The local model uses out-of-fold predictions, so no player's own value is used to predict himself.</w:t>
      </w:r>
    </w:p>
    <w:p>
      <w:r>
        <w:br w:type="page"/>
      </w:r>
    </w:p>
    <w:p>
      <w:pPr>
        <w:pStyle w:val="Heading1"/>
      </w:pPr>
      <w:r>
        <w:t>6. Is the undervalued signal real</w:t>
      </w:r>
    </w:p>
    <w:p>
      <w:r>
        <w:t>The value gap is the difference between the log market value and the model prediction. A player with a positive gap is cheaper than similar players. The local backtest flags the bottom 20% of residuals within each position group as undervalued and follows their market value for one, two and three years. Only players with a positive future value are included, and the attrition is reported.</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E6E6E6"/>
          </w:tcPr>
          <w:p>
            <w:r/>
            <w:r>
              <w:rPr>
                <w:b/>
                <w:color w:val="111111"/>
                <w:sz w:val="16"/>
              </w:rPr>
              <w:t>Horizon</w:t>
            </w:r>
          </w:p>
        </w:tc>
        <w:tc>
          <w:tcPr>
            <w:tcW w:type="dxa" w:w="1425"/>
            <w:shd w:fill="E6E6E6"/>
          </w:tcPr>
          <w:p>
            <w:r/>
            <w:r>
              <w:rPr>
                <w:b/>
                <w:color w:val="111111"/>
                <w:sz w:val="16"/>
              </w:rPr>
              <w:t>n</w:t>
            </w:r>
          </w:p>
        </w:tc>
        <w:tc>
          <w:tcPr>
            <w:tcW w:type="dxa" w:w="1425"/>
            <w:shd w:fill="E6E6E6"/>
          </w:tcPr>
          <w:p>
            <w:r/>
            <w:r>
              <w:rPr>
                <w:b/>
                <w:color w:val="111111"/>
                <w:sz w:val="16"/>
              </w:rPr>
              <w:t>Undervalued</w:t>
            </w:r>
          </w:p>
        </w:tc>
        <w:tc>
          <w:tcPr>
            <w:tcW w:type="dxa" w:w="1425"/>
            <w:shd w:fill="E6E6E6"/>
          </w:tcPr>
          <w:p>
            <w:r/>
            <w:r>
              <w:rPr>
                <w:b/>
                <w:color w:val="111111"/>
                <w:sz w:val="16"/>
              </w:rPr>
              <w:t>Median growth, undervalued</w:t>
            </w:r>
          </w:p>
        </w:tc>
        <w:tc>
          <w:tcPr>
            <w:tcW w:type="dxa" w:w="1425"/>
            <w:shd w:fill="E6E6E6"/>
          </w:tcPr>
          <w:p>
            <w:r/>
            <w:r>
              <w:rPr>
                <w:b/>
                <w:color w:val="111111"/>
                <w:sz w:val="16"/>
              </w:rPr>
              <w:t>Median growth, rest</w:t>
            </w:r>
          </w:p>
        </w:tc>
        <w:tc>
          <w:tcPr>
            <w:tcW w:type="dxa" w:w="1425"/>
            <w:shd w:fill="E6E6E6"/>
          </w:tcPr>
          <w:p>
            <w:r/>
            <w:r>
              <w:rPr>
                <w:b/>
                <w:color w:val="111111"/>
                <w:sz w:val="16"/>
              </w:rPr>
              <w:t>Hit rate, undervalued</w:t>
            </w:r>
          </w:p>
        </w:tc>
        <w:tc>
          <w:tcPr>
            <w:tcW w:type="dxa" w:w="1425"/>
            <w:shd w:fill="E6E6E6"/>
          </w:tcPr>
          <w:p>
            <w:r/>
            <w:r>
              <w:rPr>
                <w:b/>
                <w:color w:val="111111"/>
                <w:sz w:val="16"/>
              </w:rPr>
              <w:t>Hit rate, rest</w:t>
            </w:r>
          </w:p>
        </w:tc>
      </w:tr>
      <w:tr>
        <w:tc>
          <w:tcPr>
            <w:tcW w:type="dxa" w:w="1425"/>
          </w:tcPr>
          <w:p>
            <w:r/>
            <w:r>
              <w:rPr>
                <w:color w:val="111111"/>
                <w:sz w:val="16"/>
              </w:rPr>
              <w:t>1 year</w:t>
            </w:r>
          </w:p>
        </w:tc>
        <w:tc>
          <w:tcPr>
            <w:tcW w:type="dxa" w:w="1425"/>
          </w:tcPr>
          <w:p>
            <w:r/>
            <w:r>
              <w:rPr>
                <w:color w:val="111111"/>
                <w:sz w:val="16"/>
              </w:rPr>
              <w:t>283</w:t>
            </w:r>
          </w:p>
        </w:tc>
        <w:tc>
          <w:tcPr>
            <w:tcW w:type="dxa" w:w="1425"/>
          </w:tcPr>
          <w:p>
            <w:r/>
            <w:r>
              <w:rPr>
                <w:color w:val="111111"/>
                <w:sz w:val="16"/>
              </w:rPr>
              <w:t>54</w:t>
            </w:r>
          </w:p>
        </w:tc>
        <w:tc>
          <w:tcPr>
            <w:tcW w:type="dxa" w:w="1425"/>
          </w:tcPr>
          <w:p>
            <w:r/>
            <w:r>
              <w:rPr>
                <w:color w:val="111111"/>
                <w:sz w:val="16"/>
              </w:rPr>
              <w:t>+0.0%</w:t>
            </w:r>
          </w:p>
        </w:tc>
        <w:tc>
          <w:tcPr>
            <w:tcW w:type="dxa" w:w="1425"/>
          </w:tcPr>
          <w:p>
            <w:r/>
            <w:r>
              <w:rPr>
                <w:color w:val="111111"/>
                <w:sz w:val="16"/>
              </w:rPr>
              <w:t>+0.0%</w:t>
            </w:r>
          </w:p>
        </w:tc>
        <w:tc>
          <w:tcPr>
            <w:tcW w:type="dxa" w:w="1425"/>
          </w:tcPr>
          <w:p>
            <w:r/>
            <w:r>
              <w:rPr>
                <w:color w:val="111111"/>
                <w:sz w:val="16"/>
              </w:rPr>
              <w:t>48.1%</w:t>
            </w:r>
          </w:p>
        </w:tc>
        <w:tc>
          <w:tcPr>
            <w:tcW w:type="dxa" w:w="1425"/>
          </w:tcPr>
          <w:p>
            <w:r/>
            <w:r>
              <w:rPr>
                <w:color w:val="111111"/>
                <w:sz w:val="16"/>
              </w:rPr>
              <w:t>36.7%</w:t>
            </w:r>
          </w:p>
        </w:tc>
      </w:tr>
      <w:tr>
        <w:tc>
          <w:tcPr>
            <w:tcW w:type="dxa" w:w="1425"/>
          </w:tcPr>
          <w:p>
            <w:r/>
            <w:r>
              <w:rPr>
                <w:color w:val="111111"/>
                <w:sz w:val="16"/>
              </w:rPr>
              <w:t>2 years</w:t>
            </w:r>
          </w:p>
        </w:tc>
        <w:tc>
          <w:tcPr>
            <w:tcW w:type="dxa" w:w="1425"/>
          </w:tcPr>
          <w:p>
            <w:r/>
            <w:r>
              <w:rPr>
                <w:color w:val="111111"/>
                <w:sz w:val="16"/>
              </w:rPr>
              <w:t>279</w:t>
            </w:r>
          </w:p>
        </w:tc>
        <w:tc>
          <w:tcPr>
            <w:tcW w:type="dxa" w:w="1425"/>
          </w:tcPr>
          <w:p>
            <w:r/>
            <w:r>
              <w:rPr>
                <w:color w:val="111111"/>
                <w:sz w:val="16"/>
              </w:rPr>
              <w:t>53</w:t>
            </w:r>
          </w:p>
        </w:tc>
        <w:tc>
          <w:tcPr>
            <w:tcW w:type="dxa" w:w="1425"/>
          </w:tcPr>
          <w:p>
            <w:r/>
            <w:r>
              <w:rPr>
                <w:color w:val="111111"/>
                <w:sz w:val="16"/>
              </w:rPr>
              <w:t>+11.8%</w:t>
            </w:r>
          </w:p>
        </w:tc>
        <w:tc>
          <w:tcPr>
            <w:tcW w:type="dxa" w:w="1425"/>
          </w:tcPr>
          <w:p>
            <w:r/>
            <w:r>
              <w:rPr>
                <w:color w:val="111111"/>
                <w:sz w:val="16"/>
              </w:rPr>
              <w:t>-10.9%</w:t>
            </w:r>
          </w:p>
        </w:tc>
        <w:tc>
          <w:tcPr>
            <w:tcW w:type="dxa" w:w="1425"/>
          </w:tcPr>
          <w:p>
            <w:r/>
            <w:r>
              <w:rPr>
                <w:color w:val="111111"/>
                <w:sz w:val="16"/>
              </w:rPr>
              <w:t>52.8%</w:t>
            </w:r>
          </w:p>
        </w:tc>
        <w:tc>
          <w:tcPr>
            <w:tcW w:type="dxa" w:w="1425"/>
          </w:tcPr>
          <w:p>
            <w:r/>
            <w:r>
              <w:rPr>
                <w:color w:val="111111"/>
                <w:sz w:val="16"/>
              </w:rPr>
              <w:t>35.8%</w:t>
            </w:r>
          </w:p>
        </w:tc>
      </w:tr>
      <w:tr>
        <w:tc>
          <w:tcPr>
            <w:tcW w:type="dxa" w:w="1425"/>
          </w:tcPr>
          <w:p>
            <w:r/>
            <w:r>
              <w:rPr>
                <w:color w:val="111111"/>
                <w:sz w:val="16"/>
              </w:rPr>
              <w:t>3 years</w:t>
            </w:r>
          </w:p>
        </w:tc>
        <w:tc>
          <w:tcPr>
            <w:tcW w:type="dxa" w:w="1425"/>
          </w:tcPr>
          <w:p>
            <w:r/>
            <w:r>
              <w:rPr>
                <w:color w:val="111111"/>
                <w:sz w:val="16"/>
              </w:rPr>
              <w:t>267</w:t>
            </w:r>
          </w:p>
        </w:tc>
        <w:tc>
          <w:tcPr>
            <w:tcW w:type="dxa" w:w="1425"/>
          </w:tcPr>
          <w:p>
            <w:r/>
            <w:r>
              <w:rPr>
                <w:color w:val="111111"/>
                <w:sz w:val="16"/>
              </w:rPr>
              <w:t>51</w:t>
            </w:r>
          </w:p>
        </w:tc>
        <w:tc>
          <w:tcPr>
            <w:tcW w:type="dxa" w:w="1425"/>
          </w:tcPr>
          <w:p>
            <w:r/>
            <w:r>
              <w:rPr>
                <w:color w:val="111111"/>
                <w:sz w:val="16"/>
              </w:rPr>
              <w:t>+10.5%</w:t>
            </w:r>
          </w:p>
        </w:tc>
        <w:tc>
          <w:tcPr>
            <w:tcW w:type="dxa" w:w="1425"/>
          </w:tcPr>
          <w:p>
            <w:r/>
            <w:r>
              <w:rPr>
                <w:color w:val="111111"/>
                <w:sz w:val="16"/>
              </w:rPr>
              <w:t>-26.9%</w:t>
            </w:r>
          </w:p>
        </w:tc>
        <w:tc>
          <w:tcPr>
            <w:tcW w:type="dxa" w:w="1425"/>
          </w:tcPr>
          <w:p>
            <w:r/>
            <w:r>
              <w:rPr>
                <w:color w:val="111111"/>
                <w:sz w:val="16"/>
              </w:rPr>
              <w:t>51.0%</w:t>
            </w:r>
          </w:p>
        </w:tc>
        <w:tc>
          <w:tcPr>
            <w:tcW w:type="dxa" w:w="1425"/>
          </w:tcPr>
          <w:p>
            <w:r/>
            <w:r>
              <w:rPr>
                <w:color w:val="111111"/>
                <w:sz w:val="16"/>
              </w:rPr>
              <w:t>35.2%</w:t>
            </w:r>
          </w:p>
        </w:tc>
      </w:tr>
    </w:tbl>
    <w:p>
      <w:r>
        <w:rPr>
          <w:i w:val="0"/>
          <w:color w:val="555555"/>
          <w:sz w:val="16"/>
        </w:rPr>
        <w:t>Table 7: Local undervaluation backtest, 2015/16 Premier League cohort</w:t>
      </w:r>
    </w:p>
    <w:p>
      <w:r>
        <w:t>At two years the undervalued group gained 11.8% in median market value, while the rest lost 10.9%. The hit rate was 52.8% against 35.8%. At three years the gap widened: +10.5% against -26.9%. At one year both medians were flat, which is consistent with a slow-moving market. The signal is not a guarantee. It is a modest edge in a noisy market.</w:t>
      </w:r>
    </w:p>
    <w:p>
      <w:r>
        <w:t>The global model provides a second test across seasons. For each evaluation season, the model is trained on all earlier seasons and the bottom 20% of residuals within each position group are followed for two years. The undervalued group beat the rest in all 10 evaluation seasons on a relative basis. Absolute market values fell in several seasons, especially after 2018/19, so the correct claim is relative: the flagged players lost less value, and in some seasons gained more.</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E6E6E6"/>
          </w:tcPr>
          <w:p>
            <w:r/>
            <w:r>
              <w:rPr>
                <w:b/>
                <w:color w:val="111111"/>
                <w:sz w:val="16"/>
              </w:rPr>
              <w:t>Season</w:t>
            </w:r>
          </w:p>
        </w:tc>
        <w:tc>
          <w:tcPr>
            <w:tcW w:type="dxa" w:w="1246"/>
            <w:shd w:fill="E6E6E6"/>
          </w:tcPr>
          <w:p>
            <w:r/>
            <w:r>
              <w:rPr>
                <w:b/>
                <w:color w:val="111111"/>
                <w:sz w:val="16"/>
              </w:rPr>
              <w:t>n</w:t>
            </w:r>
          </w:p>
        </w:tc>
        <w:tc>
          <w:tcPr>
            <w:tcW w:type="dxa" w:w="1246"/>
            <w:shd w:fill="E6E6E6"/>
          </w:tcPr>
          <w:p>
            <w:r/>
            <w:r>
              <w:rPr>
                <w:b/>
                <w:color w:val="111111"/>
                <w:sz w:val="16"/>
              </w:rPr>
              <w:t>Undervalued</w:t>
            </w:r>
          </w:p>
        </w:tc>
        <w:tc>
          <w:tcPr>
            <w:tcW w:type="dxa" w:w="1246"/>
            <w:shd w:fill="E6E6E6"/>
          </w:tcPr>
          <w:p>
            <w:r/>
            <w:r>
              <w:rPr>
                <w:b/>
                <w:color w:val="111111"/>
                <w:sz w:val="16"/>
              </w:rPr>
              <w:t>Growth, undervalued</w:t>
            </w:r>
          </w:p>
        </w:tc>
        <w:tc>
          <w:tcPr>
            <w:tcW w:type="dxa" w:w="1246"/>
            <w:shd w:fill="E6E6E6"/>
          </w:tcPr>
          <w:p>
            <w:r/>
            <w:r>
              <w:rPr>
                <w:b/>
                <w:color w:val="111111"/>
                <w:sz w:val="16"/>
              </w:rPr>
              <w:t>Growth, rest</w:t>
            </w:r>
          </w:p>
        </w:tc>
        <w:tc>
          <w:tcPr>
            <w:tcW w:type="dxa" w:w="1246"/>
            <w:shd w:fill="E6E6E6"/>
          </w:tcPr>
          <w:p>
            <w:r/>
            <w:r>
              <w:rPr>
                <w:b/>
                <w:color w:val="111111"/>
                <w:sz w:val="16"/>
              </w:rPr>
              <w:t>Gap</w:t>
            </w:r>
          </w:p>
        </w:tc>
        <w:tc>
          <w:tcPr>
            <w:tcW w:type="dxa" w:w="1246"/>
            <w:shd w:fill="E6E6E6"/>
          </w:tcPr>
          <w:p>
            <w:r/>
            <w:r>
              <w:rPr>
                <w:b/>
                <w:color w:val="111111"/>
                <w:sz w:val="16"/>
              </w:rPr>
              <w:t>Hit rate, undervalued</w:t>
            </w:r>
          </w:p>
        </w:tc>
        <w:tc>
          <w:tcPr>
            <w:tcW w:type="dxa" w:w="1246"/>
            <w:shd w:fill="E6E6E6"/>
          </w:tcPr>
          <w:p>
            <w:r/>
            <w:r>
              <w:rPr>
                <w:b/>
                <w:color w:val="111111"/>
                <w:sz w:val="16"/>
              </w:rPr>
              <w:t>Hit rate, rest</w:t>
            </w:r>
          </w:p>
        </w:tc>
      </w:tr>
      <w:tr>
        <w:tc>
          <w:tcPr>
            <w:tcW w:type="dxa" w:w="1246"/>
          </w:tcPr>
          <w:p>
            <w:r/>
            <w:r>
              <w:rPr>
                <w:color w:val="111111"/>
                <w:sz w:val="16"/>
              </w:rPr>
              <w:t>2013/14</w:t>
            </w:r>
          </w:p>
        </w:tc>
        <w:tc>
          <w:tcPr>
            <w:tcW w:type="dxa" w:w="1246"/>
          </w:tcPr>
          <w:p>
            <w:r/>
            <w:r>
              <w:rPr>
                <w:color w:val="111111"/>
                <w:sz w:val="16"/>
              </w:rPr>
              <w:t>1783</w:t>
            </w:r>
          </w:p>
        </w:tc>
        <w:tc>
          <w:tcPr>
            <w:tcW w:type="dxa" w:w="1246"/>
          </w:tcPr>
          <w:p>
            <w:r/>
            <w:r>
              <w:rPr>
                <w:color w:val="111111"/>
                <w:sz w:val="16"/>
              </w:rPr>
              <w:t>355</w:t>
            </w:r>
          </w:p>
        </w:tc>
        <w:tc>
          <w:tcPr>
            <w:tcW w:type="dxa" w:w="1246"/>
          </w:tcPr>
          <w:p>
            <w:r/>
            <w:r>
              <w:rPr>
                <w:color w:val="111111"/>
                <w:sz w:val="16"/>
              </w:rPr>
              <w:t>+15.4%</w:t>
            </w:r>
          </w:p>
        </w:tc>
        <w:tc>
          <w:tcPr>
            <w:tcW w:type="dxa" w:w="1246"/>
          </w:tcPr>
          <w:p>
            <w:r/>
            <w:r>
              <w:rPr>
                <w:color w:val="111111"/>
                <w:sz w:val="16"/>
              </w:rPr>
              <w:t>-28.8%</w:t>
            </w:r>
          </w:p>
        </w:tc>
        <w:tc>
          <w:tcPr>
            <w:tcW w:type="dxa" w:w="1246"/>
          </w:tcPr>
          <w:p>
            <w:r/>
            <w:r>
              <w:rPr>
                <w:color w:val="111111"/>
                <w:sz w:val="16"/>
              </w:rPr>
              <w:t>+44.2%</w:t>
            </w:r>
          </w:p>
        </w:tc>
        <w:tc>
          <w:tcPr>
            <w:tcW w:type="dxa" w:w="1246"/>
          </w:tcPr>
          <w:p>
            <w:r/>
            <w:r>
              <w:rPr>
                <w:color w:val="111111"/>
                <w:sz w:val="16"/>
              </w:rPr>
              <w:t>53.0%</w:t>
            </w:r>
          </w:p>
        </w:tc>
        <w:tc>
          <w:tcPr>
            <w:tcW w:type="dxa" w:w="1246"/>
          </w:tcPr>
          <w:p>
            <w:r/>
            <w:r>
              <w:rPr>
                <w:color w:val="111111"/>
                <w:sz w:val="16"/>
              </w:rPr>
              <w:t>30.1%</w:t>
            </w:r>
          </w:p>
        </w:tc>
      </w:tr>
      <w:tr>
        <w:tc>
          <w:tcPr>
            <w:tcW w:type="dxa" w:w="1246"/>
          </w:tcPr>
          <w:p>
            <w:r/>
            <w:r>
              <w:rPr>
                <w:color w:val="111111"/>
                <w:sz w:val="16"/>
              </w:rPr>
              <w:t>2014/15</w:t>
            </w:r>
          </w:p>
        </w:tc>
        <w:tc>
          <w:tcPr>
            <w:tcW w:type="dxa" w:w="1246"/>
          </w:tcPr>
          <w:p>
            <w:r/>
            <w:r>
              <w:rPr>
                <w:color w:val="111111"/>
                <w:sz w:val="16"/>
              </w:rPr>
              <w:t>1866</w:t>
            </w:r>
          </w:p>
        </w:tc>
        <w:tc>
          <w:tcPr>
            <w:tcW w:type="dxa" w:w="1246"/>
          </w:tcPr>
          <w:p>
            <w:r/>
            <w:r>
              <w:rPr>
                <w:color w:val="111111"/>
                <w:sz w:val="16"/>
              </w:rPr>
              <w:t>371</w:t>
            </w:r>
          </w:p>
        </w:tc>
        <w:tc>
          <w:tcPr>
            <w:tcW w:type="dxa" w:w="1246"/>
          </w:tcPr>
          <w:p>
            <w:r/>
            <w:r>
              <w:rPr>
                <w:color w:val="111111"/>
                <w:sz w:val="16"/>
              </w:rPr>
              <w:t>+0.0%</w:t>
            </w:r>
          </w:p>
        </w:tc>
        <w:tc>
          <w:tcPr>
            <w:tcW w:type="dxa" w:w="1246"/>
          </w:tcPr>
          <w:p>
            <w:r/>
            <w:r>
              <w:rPr>
                <w:color w:val="111111"/>
                <w:sz w:val="16"/>
              </w:rPr>
              <w:t>-18.2%</w:t>
            </w:r>
          </w:p>
        </w:tc>
        <w:tc>
          <w:tcPr>
            <w:tcW w:type="dxa" w:w="1246"/>
          </w:tcPr>
          <w:p>
            <w:r/>
            <w:r>
              <w:rPr>
                <w:color w:val="111111"/>
                <w:sz w:val="16"/>
              </w:rPr>
              <w:t>+18.2%</w:t>
            </w:r>
          </w:p>
        </w:tc>
        <w:tc>
          <w:tcPr>
            <w:tcW w:type="dxa" w:w="1246"/>
          </w:tcPr>
          <w:p>
            <w:r/>
            <w:r>
              <w:rPr>
                <w:color w:val="111111"/>
                <w:sz w:val="16"/>
              </w:rPr>
              <w:t>38.0%</w:t>
            </w:r>
          </w:p>
        </w:tc>
        <w:tc>
          <w:tcPr>
            <w:tcW w:type="dxa" w:w="1246"/>
          </w:tcPr>
          <w:p>
            <w:r/>
            <w:r>
              <w:rPr>
                <w:color w:val="111111"/>
                <w:sz w:val="16"/>
              </w:rPr>
              <w:t>34.8%</w:t>
            </w:r>
          </w:p>
        </w:tc>
      </w:tr>
      <w:tr>
        <w:tc>
          <w:tcPr>
            <w:tcW w:type="dxa" w:w="1246"/>
          </w:tcPr>
          <w:p>
            <w:r/>
            <w:r>
              <w:rPr>
                <w:color w:val="111111"/>
                <w:sz w:val="16"/>
              </w:rPr>
              <w:t>2015/16</w:t>
            </w:r>
          </w:p>
        </w:tc>
        <w:tc>
          <w:tcPr>
            <w:tcW w:type="dxa" w:w="1246"/>
          </w:tcPr>
          <w:p>
            <w:r/>
            <w:r>
              <w:rPr>
                <w:color w:val="111111"/>
                <w:sz w:val="16"/>
              </w:rPr>
              <w:t>1946</w:t>
            </w:r>
          </w:p>
        </w:tc>
        <w:tc>
          <w:tcPr>
            <w:tcW w:type="dxa" w:w="1246"/>
          </w:tcPr>
          <w:p>
            <w:r/>
            <w:r>
              <w:rPr>
                <w:color w:val="111111"/>
                <w:sz w:val="16"/>
              </w:rPr>
              <w:t>387</w:t>
            </w:r>
          </w:p>
        </w:tc>
        <w:tc>
          <w:tcPr>
            <w:tcW w:type="dxa" w:w="1246"/>
          </w:tcPr>
          <w:p>
            <w:r/>
            <w:r>
              <w:rPr>
                <w:color w:val="111111"/>
                <w:sz w:val="16"/>
              </w:rPr>
              <w:t>+18.2%</w:t>
            </w:r>
          </w:p>
        </w:tc>
        <w:tc>
          <w:tcPr>
            <w:tcW w:type="dxa" w:w="1246"/>
          </w:tcPr>
          <w:p>
            <w:r/>
            <w:r>
              <w:rPr>
                <w:color w:val="111111"/>
                <w:sz w:val="16"/>
              </w:rPr>
              <w:t>-22.3%</w:t>
            </w:r>
          </w:p>
        </w:tc>
        <w:tc>
          <w:tcPr>
            <w:tcW w:type="dxa" w:w="1246"/>
          </w:tcPr>
          <w:p>
            <w:r/>
            <w:r>
              <w:rPr>
                <w:color w:val="111111"/>
                <w:sz w:val="16"/>
              </w:rPr>
              <w:t>+40.5%</w:t>
            </w:r>
          </w:p>
        </w:tc>
        <w:tc>
          <w:tcPr>
            <w:tcW w:type="dxa" w:w="1246"/>
          </w:tcPr>
          <w:p>
            <w:r/>
            <w:r>
              <w:rPr>
                <w:color w:val="111111"/>
                <w:sz w:val="16"/>
              </w:rPr>
              <w:t>55.6%</w:t>
            </w:r>
          </w:p>
        </w:tc>
        <w:tc>
          <w:tcPr>
            <w:tcW w:type="dxa" w:w="1246"/>
          </w:tcPr>
          <w:p>
            <w:r/>
            <w:r>
              <w:rPr>
                <w:color w:val="111111"/>
                <w:sz w:val="16"/>
              </w:rPr>
              <w:t>35.7%</w:t>
            </w:r>
          </w:p>
        </w:tc>
      </w:tr>
      <w:tr>
        <w:tc>
          <w:tcPr>
            <w:tcW w:type="dxa" w:w="1246"/>
          </w:tcPr>
          <w:p>
            <w:r/>
            <w:r>
              <w:rPr>
                <w:color w:val="111111"/>
                <w:sz w:val="16"/>
              </w:rPr>
              <w:t>2016/17</w:t>
            </w:r>
          </w:p>
        </w:tc>
        <w:tc>
          <w:tcPr>
            <w:tcW w:type="dxa" w:w="1246"/>
          </w:tcPr>
          <w:p>
            <w:r/>
            <w:r>
              <w:rPr>
                <w:color w:val="111111"/>
                <w:sz w:val="16"/>
              </w:rPr>
              <w:t>1982</w:t>
            </w:r>
          </w:p>
        </w:tc>
        <w:tc>
          <w:tcPr>
            <w:tcW w:type="dxa" w:w="1246"/>
          </w:tcPr>
          <w:p>
            <w:r/>
            <w:r>
              <w:rPr>
                <w:color w:val="111111"/>
                <w:sz w:val="16"/>
              </w:rPr>
              <w:t>394</w:t>
            </w:r>
          </w:p>
        </w:tc>
        <w:tc>
          <w:tcPr>
            <w:tcW w:type="dxa" w:w="1246"/>
          </w:tcPr>
          <w:p>
            <w:r/>
            <w:r>
              <w:rPr>
                <w:color w:val="111111"/>
                <w:sz w:val="16"/>
              </w:rPr>
              <w:t>+0.0%</w:t>
            </w:r>
          </w:p>
        </w:tc>
        <w:tc>
          <w:tcPr>
            <w:tcW w:type="dxa" w:w="1246"/>
          </w:tcPr>
          <w:p>
            <w:r/>
            <w:r>
              <w:rPr>
                <w:color w:val="111111"/>
                <w:sz w:val="16"/>
              </w:rPr>
              <w:t>-13.4%</w:t>
            </w:r>
          </w:p>
        </w:tc>
        <w:tc>
          <w:tcPr>
            <w:tcW w:type="dxa" w:w="1246"/>
          </w:tcPr>
          <w:p>
            <w:r/>
            <w:r>
              <w:rPr>
                <w:color w:val="111111"/>
                <w:sz w:val="16"/>
              </w:rPr>
              <w:t>+13.4%</w:t>
            </w:r>
          </w:p>
        </w:tc>
        <w:tc>
          <w:tcPr>
            <w:tcW w:type="dxa" w:w="1246"/>
          </w:tcPr>
          <w:p>
            <w:r/>
            <w:r>
              <w:rPr>
                <w:color w:val="111111"/>
                <w:sz w:val="16"/>
              </w:rPr>
              <w:t>46.2%</w:t>
            </w:r>
          </w:p>
        </w:tc>
        <w:tc>
          <w:tcPr>
            <w:tcW w:type="dxa" w:w="1246"/>
          </w:tcPr>
          <w:p>
            <w:r/>
            <w:r>
              <w:rPr>
                <w:color w:val="111111"/>
                <w:sz w:val="16"/>
              </w:rPr>
              <w:t>39.7%</w:t>
            </w:r>
          </w:p>
        </w:tc>
      </w:tr>
      <w:tr>
        <w:tc>
          <w:tcPr>
            <w:tcW w:type="dxa" w:w="1246"/>
          </w:tcPr>
          <w:p>
            <w:r/>
            <w:r>
              <w:rPr>
                <w:color w:val="111111"/>
                <w:sz w:val="16"/>
              </w:rPr>
              <w:t>2017/18</w:t>
            </w:r>
          </w:p>
        </w:tc>
        <w:tc>
          <w:tcPr>
            <w:tcW w:type="dxa" w:w="1246"/>
          </w:tcPr>
          <w:p>
            <w:r/>
            <w:r>
              <w:rPr>
                <w:color w:val="111111"/>
                <w:sz w:val="16"/>
              </w:rPr>
              <w:t>1994</w:t>
            </w:r>
          </w:p>
        </w:tc>
        <w:tc>
          <w:tcPr>
            <w:tcW w:type="dxa" w:w="1246"/>
          </w:tcPr>
          <w:p>
            <w:r/>
            <w:r>
              <w:rPr>
                <w:color w:val="111111"/>
                <w:sz w:val="16"/>
              </w:rPr>
              <w:t>397</w:t>
            </w:r>
          </w:p>
        </w:tc>
        <w:tc>
          <w:tcPr>
            <w:tcW w:type="dxa" w:w="1246"/>
          </w:tcPr>
          <w:p>
            <w:r/>
            <w:r>
              <w:rPr>
                <w:color w:val="111111"/>
                <w:sz w:val="16"/>
              </w:rPr>
              <w:t>-22.3%</w:t>
            </w:r>
          </w:p>
        </w:tc>
        <w:tc>
          <w:tcPr>
            <w:tcW w:type="dxa" w:w="1246"/>
          </w:tcPr>
          <w:p>
            <w:r/>
            <w:r>
              <w:rPr>
                <w:color w:val="111111"/>
                <w:sz w:val="16"/>
              </w:rPr>
              <w:t>-37.7%</w:t>
            </w:r>
          </w:p>
        </w:tc>
        <w:tc>
          <w:tcPr>
            <w:tcW w:type="dxa" w:w="1246"/>
          </w:tcPr>
          <w:p>
            <w:r/>
            <w:r>
              <w:rPr>
                <w:color w:val="111111"/>
                <w:sz w:val="16"/>
              </w:rPr>
              <w:t>+15.4%</w:t>
            </w:r>
          </w:p>
        </w:tc>
        <w:tc>
          <w:tcPr>
            <w:tcW w:type="dxa" w:w="1246"/>
          </w:tcPr>
          <w:p>
            <w:r/>
            <w:r>
              <w:rPr>
                <w:color w:val="111111"/>
                <w:sz w:val="16"/>
              </w:rPr>
              <w:t>36.0%</w:t>
            </w:r>
          </w:p>
        </w:tc>
        <w:tc>
          <w:tcPr>
            <w:tcW w:type="dxa" w:w="1246"/>
          </w:tcPr>
          <w:p>
            <w:r/>
            <w:r>
              <w:rPr>
                <w:color w:val="111111"/>
                <w:sz w:val="16"/>
              </w:rPr>
              <w:t>27.5%</w:t>
            </w:r>
          </w:p>
        </w:tc>
      </w:tr>
      <w:tr>
        <w:tc>
          <w:tcPr>
            <w:tcW w:type="dxa" w:w="1246"/>
          </w:tcPr>
          <w:p>
            <w:r/>
            <w:r>
              <w:rPr>
                <w:color w:val="111111"/>
                <w:sz w:val="16"/>
              </w:rPr>
              <w:t>2018/19</w:t>
            </w:r>
          </w:p>
        </w:tc>
        <w:tc>
          <w:tcPr>
            <w:tcW w:type="dxa" w:w="1246"/>
          </w:tcPr>
          <w:p>
            <w:r/>
            <w:r>
              <w:rPr>
                <w:color w:val="111111"/>
                <w:sz w:val="16"/>
              </w:rPr>
              <w:t>1987</w:t>
            </w:r>
          </w:p>
        </w:tc>
        <w:tc>
          <w:tcPr>
            <w:tcW w:type="dxa" w:w="1246"/>
          </w:tcPr>
          <w:p>
            <w:r/>
            <w:r>
              <w:rPr>
                <w:color w:val="111111"/>
                <w:sz w:val="16"/>
              </w:rPr>
              <w:t>395</w:t>
            </w:r>
          </w:p>
        </w:tc>
        <w:tc>
          <w:tcPr>
            <w:tcW w:type="dxa" w:w="1246"/>
          </w:tcPr>
          <w:p>
            <w:r/>
            <w:r>
              <w:rPr>
                <w:color w:val="111111"/>
                <w:sz w:val="16"/>
              </w:rPr>
              <w:t>-51.1%</w:t>
            </w:r>
          </w:p>
        </w:tc>
        <w:tc>
          <w:tcPr>
            <w:tcW w:type="dxa" w:w="1246"/>
          </w:tcPr>
          <w:p>
            <w:r/>
            <w:r>
              <w:rPr>
                <w:color w:val="111111"/>
                <w:sz w:val="16"/>
              </w:rPr>
              <w:t>-56.0%</w:t>
            </w:r>
          </w:p>
        </w:tc>
        <w:tc>
          <w:tcPr>
            <w:tcW w:type="dxa" w:w="1246"/>
          </w:tcPr>
          <w:p>
            <w:r/>
            <w:r>
              <w:rPr>
                <w:color w:val="111111"/>
                <w:sz w:val="16"/>
              </w:rPr>
              <w:t>+4.9%</w:t>
            </w:r>
          </w:p>
        </w:tc>
        <w:tc>
          <w:tcPr>
            <w:tcW w:type="dxa" w:w="1246"/>
          </w:tcPr>
          <w:p>
            <w:r/>
            <w:r>
              <w:rPr>
                <w:color w:val="111111"/>
                <w:sz w:val="16"/>
              </w:rPr>
              <w:t>20.5%</w:t>
            </w:r>
          </w:p>
        </w:tc>
        <w:tc>
          <w:tcPr>
            <w:tcW w:type="dxa" w:w="1246"/>
          </w:tcPr>
          <w:p>
            <w:r/>
            <w:r>
              <w:rPr>
                <w:color w:val="111111"/>
                <w:sz w:val="16"/>
              </w:rPr>
              <w:t>18.8%</w:t>
            </w:r>
          </w:p>
        </w:tc>
      </w:tr>
      <w:tr>
        <w:tc>
          <w:tcPr>
            <w:tcW w:type="dxa" w:w="1246"/>
          </w:tcPr>
          <w:p>
            <w:r/>
            <w:r>
              <w:rPr>
                <w:color w:val="111111"/>
                <w:sz w:val="16"/>
              </w:rPr>
              <w:t>2019/20</w:t>
            </w:r>
          </w:p>
        </w:tc>
        <w:tc>
          <w:tcPr>
            <w:tcW w:type="dxa" w:w="1246"/>
          </w:tcPr>
          <w:p>
            <w:r/>
            <w:r>
              <w:rPr>
                <w:color w:val="111111"/>
                <w:sz w:val="16"/>
              </w:rPr>
              <w:t>2046</w:t>
            </w:r>
          </w:p>
        </w:tc>
        <w:tc>
          <w:tcPr>
            <w:tcW w:type="dxa" w:w="1246"/>
          </w:tcPr>
          <w:p>
            <w:r/>
            <w:r>
              <w:rPr>
                <w:color w:val="111111"/>
                <w:sz w:val="16"/>
              </w:rPr>
              <w:t>407</w:t>
            </w:r>
          </w:p>
        </w:tc>
        <w:tc>
          <w:tcPr>
            <w:tcW w:type="dxa" w:w="1246"/>
          </w:tcPr>
          <w:p>
            <w:r/>
            <w:r>
              <w:rPr>
                <w:color w:val="111111"/>
                <w:sz w:val="16"/>
              </w:rPr>
              <w:t>-6.5%</w:t>
            </w:r>
          </w:p>
        </w:tc>
        <w:tc>
          <w:tcPr>
            <w:tcW w:type="dxa" w:w="1246"/>
          </w:tcPr>
          <w:p>
            <w:r/>
            <w:r>
              <w:rPr>
                <w:color w:val="111111"/>
                <w:sz w:val="16"/>
              </w:rPr>
              <w:t>-47.0%</w:t>
            </w:r>
          </w:p>
        </w:tc>
        <w:tc>
          <w:tcPr>
            <w:tcW w:type="dxa" w:w="1246"/>
          </w:tcPr>
          <w:p>
            <w:r/>
            <w:r>
              <w:rPr>
                <w:color w:val="111111"/>
                <w:sz w:val="16"/>
              </w:rPr>
              <w:t>+40.5%</w:t>
            </w:r>
          </w:p>
        </w:tc>
        <w:tc>
          <w:tcPr>
            <w:tcW w:type="dxa" w:w="1246"/>
          </w:tcPr>
          <w:p>
            <w:r/>
            <w:r>
              <w:rPr>
                <w:color w:val="111111"/>
                <w:sz w:val="16"/>
              </w:rPr>
              <w:t>44.5%</w:t>
            </w:r>
          </w:p>
        </w:tc>
        <w:tc>
          <w:tcPr>
            <w:tcW w:type="dxa" w:w="1246"/>
          </w:tcPr>
          <w:p>
            <w:r/>
            <w:r>
              <w:rPr>
                <w:color w:val="111111"/>
                <w:sz w:val="16"/>
              </w:rPr>
              <w:t>26.1%</w:t>
            </w:r>
          </w:p>
        </w:tc>
      </w:tr>
      <w:tr>
        <w:tc>
          <w:tcPr>
            <w:tcW w:type="dxa" w:w="1246"/>
          </w:tcPr>
          <w:p>
            <w:r/>
            <w:r>
              <w:rPr>
                <w:color w:val="111111"/>
                <w:sz w:val="16"/>
              </w:rPr>
              <w:t>2020/21</w:t>
            </w:r>
          </w:p>
        </w:tc>
        <w:tc>
          <w:tcPr>
            <w:tcW w:type="dxa" w:w="1246"/>
          </w:tcPr>
          <w:p>
            <w:r/>
            <w:r>
              <w:rPr>
                <w:color w:val="111111"/>
                <w:sz w:val="16"/>
              </w:rPr>
              <w:t>2128</w:t>
            </w:r>
          </w:p>
        </w:tc>
        <w:tc>
          <w:tcPr>
            <w:tcW w:type="dxa" w:w="1246"/>
          </w:tcPr>
          <w:p>
            <w:r/>
            <w:r>
              <w:rPr>
                <w:color w:val="111111"/>
                <w:sz w:val="16"/>
              </w:rPr>
              <w:t>423</w:t>
            </w:r>
          </w:p>
        </w:tc>
        <w:tc>
          <w:tcPr>
            <w:tcW w:type="dxa" w:w="1246"/>
          </w:tcPr>
          <w:p>
            <w:r/>
            <w:r>
              <w:rPr>
                <w:color w:val="111111"/>
                <w:sz w:val="16"/>
              </w:rPr>
              <w:t>-33.6%</w:t>
            </w:r>
          </w:p>
        </w:tc>
        <w:tc>
          <w:tcPr>
            <w:tcW w:type="dxa" w:w="1246"/>
          </w:tcPr>
          <w:p>
            <w:r/>
            <w:r>
              <w:rPr>
                <w:color w:val="111111"/>
                <w:sz w:val="16"/>
              </w:rPr>
              <w:t>-51.1%</w:t>
            </w:r>
          </w:p>
        </w:tc>
        <w:tc>
          <w:tcPr>
            <w:tcW w:type="dxa" w:w="1246"/>
          </w:tcPr>
          <w:p>
            <w:r/>
            <w:r>
              <w:rPr>
                <w:color w:val="111111"/>
                <w:sz w:val="16"/>
              </w:rPr>
              <w:t>+17.4%</w:t>
            </w:r>
          </w:p>
        </w:tc>
        <w:tc>
          <w:tcPr>
            <w:tcW w:type="dxa" w:w="1246"/>
          </w:tcPr>
          <w:p>
            <w:r/>
            <w:r>
              <w:rPr>
                <w:color w:val="111111"/>
                <w:sz w:val="16"/>
              </w:rPr>
              <w:t>31.7%</w:t>
            </w:r>
          </w:p>
        </w:tc>
        <w:tc>
          <w:tcPr>
            <w:tcW w:type="dxa" w:w="1246"/>
          </w:tcPr>
          <w:p>
            <w:r/>
            <w:r>
              <w:rPr>
                <w:color w:val="111111"/>
                <w:sz w:val="16"/>
              </w:rPr>
              <w:t>23.4%</w:t>
            </w:r>
          </w:p>
        </w:tc>
      </w:tr>
      <w:tr>
        <w:tc>
          <w:tcPr>
            <w:tcW w:type="dxa" w:w="1246"/>
          </w:tcPr>
          <w:p>
            <w:r/>
            <w:r>
              <w:rPr>
                <w:color w:val="111111"/>
                <w:sz w:val="16"/>
              </w:rPr>
              <w:t>2021/22</w:t>
            </w:r>
          </w:p>
        </w:tc>
        <w:tc>
          <w:tcPr>
            <w:tcW w:type="dxa" w:w="1246"/>
          </w:tcPr>
          <w:p>
            <w:r/>
            <w:r>
              <w:rPr>
                <w:color w:val="111111"/>
                <w:sz w:val="16"/>
              </w:rPr>
              <w:t>2170</w:t>
            </w:r>
          </w:p>
        </w:tc>
        <w:tc>
          <w:tcPr>
            <w:tcW w:type="dxa" w:w="1246"/>
          </w:tcPr>
          <w:p>
            <w:r/>
            <w:r>
              <w:rPr>
                <w:color w:val="111111"/>
                <w:sz w:val="16"/>
              </w:rPr>
              <w:t>432</w:t>
            </w:r>
          </w:p>
        </w:tc>
        <w:tc>
          <w:tcPr>
            <w:tcW w:type="dxa" w:w="1246"/>
          </w:tcPr>
          <w:p>
            <w:r/>
            <w:r>
              <w:rPr>
                <w:color w:val="111111"/>
                <w:sz w:val="16"/>
              </w:rPr>
              <w:t>-35.7%</w:t>
            </w:r>
          </w:p>
        </w:tc>
        <w:tc>
          <w:tcPr>
            <w:tcW w:type="dxa" w:w="1246"/>
          </w:tcPr>
          <w:p>
            <w:r/>
            <w:r>
              <w:rPr>
                <w:color w:val="111111"/>
                <w:sz w:val="16"/>
              </w:rPr>
              <w:t>-44.6%</w:t>
            </w:r>
          </w:p>
        </w:tc>
        <w:tc>
          <w:tcPr>
            <w:tcW w:type="dxa" w:w="1246"/>
          </w:tcPr>
          <w:p>
            <w:r/>
            <w:r>
              <w:rPr>
                <w:color w:val="111111"/>
                <w:sz w:val="16"/>
              </w:rPr>
              <w:t>+9.0%</w:t>
            </w:r>
          </w:p>
        </w:tc>
        <w:tc>
          <w:tcPr>
            <w:tcW w:type="dxa" w:w="1246"/>
          </w:tcPr>
          <w:p>
            <w:r/>
            <w:r>
              <w:rPr>
                <w:color w:val="111111"/>
                <w:sz w:val="16"/>
              </w:rPr>
              <w:t>28.5%</w:t>
            </w:r>
          </w:p>
        </w:tc>
        <w:tc>
          <w:tcPr>
            <w:tcW w:type="dxa" w:w="1246"/>
          </w:tcPr>
          <w:p>
            <w:r/>
            <w:r>
              <w:rPr>
                <w:color w:val="111111"/>
                <w:sz w:val="16"/>
              </w:rPr>
              <w:t>25.6%</w:t>
            </w:r>
          </w:p>
        </w:tc>
      </w:tr>
      <w:tr>
        <w:tc>
          <w:tcPr>
            <w:tcW w:type="dxa" w:w="1246"/>
          </w:tcPr>
          <w:p>
            <w:r/>
            <w:r>
              <w:rPr>
                <w:color w:val="111111"/>
                <w:sz w:val="16"/>
              </w:rPr>
              <w:t>2022/23</w:t>
            </w:r>
          </w:p>
        </w:tc>
        <w:tc>
          <w:tcPr>
            <w:tcW w:type="dxa" w:w="1246"/>
          </w:tcPr>
          <w:p>
            <w:r/>
            <w:r>
              <w:rPr>
                <w:color w:val="111111"/>
                <w:sz w:val="16"/>
              </w:rPr>
              <w:t>2181</w:t>
            </w:r>
          </w:p>
        </w:tc>
        <w:tc>
          <w:tcPr>
            <w:tcW w:type="dxa" w:w="1246"/>
          </w:tcPr>
          <w:p>
            <w:r/>
            <w:r>
              <w:rPr>
                <w:color w:val="111111"/>
                <w:sz w:val="16"/>
              </w:rPr>
              <w:t>434</w:t>
            </w:r>
          </w:p>
        </w:tc>
        <w:tc>
          <w:tcPr>
            <w:tcW w:type="dxa" w:w="1246"/>
          </w:tcPr>
          <w:p>
            <w:r/>
            <w:r>
              <w:rPr>
                <w:color w:val="111111"/>
                <w:sz w:val="16"/>
              </w:rPr>
              <w:t>-40.5%</w:t>
            </w:r>
          </w:p>
        </w:tc>
        <w:tc>
          <w:tcPr>
            <w:tcW w:type="dxa" w:w="1246"/>
          </w:tcPr>
          <w:p>
            <w:r/>
            <w:r>
              <w:rPr>
                <w:color w:val="111111"/>
                <w:sz w:val="16"/>
              </w:rPr>
              <w:t>-47.0%</w:t>
            </w:r>
          </w:p>
        </w:tc>
        <w:tc>
          <w:tcPr>
            <w:tcW w:type="dxa" w:w="1246"/>
          </w:tcPr>
          <w:p>
            <w:r/>
            <w:r>
              <w:rPr>
                <w:color w:val="111111"/>
                <w:sz w:val="16"/>
              </w:rPr>
              <w:t>+6.5%</w:t>
            </w:r>
          </w:p>
        </w:tc>
        <w:tc>
          <w:tcPr>
            <w:tcW w:type="dxa" w:w="1246"/>
          </w:tcPr>
          <w:p>
            <w:r/>
            <w:r>
              <w:rPr>
                <w:color w:val="111111"/>
                <w:sz w:val="16"/>
              </w:rPr>
              <w:t>28.6%</w:t>
            </w:r>
          </w:p>
        </w:tc>
        <w:tc>
          <w:tcPr>
            <w:tcW w:type="dxa" w:w="1246"/>
          </w:tcPr>
          <w:p>
            <w:r/>
            <w:r>
              <w:rPr>
                <w:color w:val="111111"/>
                <w:sz w:val="16"/>
              </w:rPr>
              <w:t>24.7%</w:t>
            </w:r>
          </w:p>
        </w:tc>
      </w:tr>
    </w:tbl>
    <w:p>
      <w:r>
        <w:rPr>
          <w:i w:val="0"/>
          <w:color w:val="555555"/>
          <w:sz w:val="16"/>
        </w:rPr>
        <w:t>Table 8: Global undervaluation backtest, two-year horizon, expanding window</w:t>
      </w:r>
    </w:p>
    <w:p>
      <w:r>
        <w:drawing>
          <wp:inline xmlns:a="http://schemas.openxmlformats.org/drawingml/2006/main" xmlns:pic="http://schemas.openxmlformats.org/drawingml/2006/picture">
            <wp:extent cx="5940000" cy="2250997"/>
            <wp:docPr id="6" name="Picture 6"/>
            <wp:cNvGraphicFramePr>
              <a:graphicFrameLocks noChangeAspect="1"/>
            </wp:cNvGraphicFramePr>
            <a:graphic>
              <a:graphicData uri="http://schemas.openxmlformats.org/drawingml/2006/picture">
                <pic:pic>
                  <pic:nvPicPr>
                    <pic:cNvPr id="0" name="backtest_uplift.png"/>
                    <pic:cNvPicPr/>
                  </pic:nvPicPr>
                  <pic:blipFill>
                    <a:blip r:embed="rId16"/>
                    <a:stretch>
                      <a:fillRect/>
                    </a:stretch>
                  </pic:blipFill>
                  <pic:spPr>
                    <a:xfrm>
                      <a:off x="0" y="0"/>
                      <a:ext cx="5940000" cy="2250997"/>
                    </a:xfrm>
                    <a:prstGeom prst="rect"/>
                  </pic:spPr>
                </pic:pic>
              </a:graphicData>
            </a:graphic>
          </wp:inline>
        </w:drawing>
      </w:r>
    </w:p>
    <w:p>
      <w:r>
        <w:rPr>
          <w:i w:val="0"/>
          <w:color w:val="555555"/>
          <w:sz w:val="16"/>
        </w:rPr>
        <w:t>Figure 6: The local two-year gap and the global season-by-season gap. The global model is positive in relative terms in all 10 evaluation seasons.</w:t>
      </w:r>
    </w:p>
    <w:p>
      <w:r>
        <w:t>The value gap is a signal, not a target. The market can be wrong about a player for reasons the model cannot see: a contract clause, a club's need, an injury that is not in the data, or a tactical role that changes after the transfer. The decision model therefore treats value as one input, not as the answer.</w:t>
      </w:r>
    </w:p>
    <w:p>
      <w:pPr>
        <w:pStyle w:val="Heading1"/>
      </w:pPr>
      <w:r>
        <w:t>7. Shortlist and scoring</w:t>
      </w:r>
    </w:p>
    <w:p>
      <w:r>
        <w:t>Every candidate receives three scores from 0 to 100. Fit measures the tactical profile. For central midfield it is the Kanté similarity. For centre backs it is a weighted percentile profile of clearances, blocks, interceptions, recoveries, aerial losses, progressive passes, pass completion and minutes. For forwards it is xG, shots, box touches, progressive carries, pressures, pass completion, minutes and conversion. Value is the average of the local and global market gap percentiles, with a 60/40 weight. Safety is the inverse of a risk score built from minutes availability, injury days, age and cards.</w:t>
      </w:r>
    </w:p>
    <w:p>
      <w:r>
        <w:t>The balanced score uses 0.55 fit, 0.25 value and 0.20 safety. The app lets the user change the weights, budget, risk limit and age limit and re-solve the optimisation. The candidate map shows the trade-off directly: Gueye is at the top of the fit axis, Cook is at the far right of the value axis, and Coquelin sits in the middle.</w:t>
      </w:r>
    </w:p>
    <w:p>
      <w:r>
        <w:drawing>
          <wp:inline xmlns:a="http://schemas.openxmlformats.org/drawingml/2006/main" xmlns:pic="http://schemas.openxmlformats.org/drawingml/2006/picture">
            <wp:extent cx="5940000" cy="2053279"/>
            <wp:docPr id="7" name="Picture 7"/>
            <wp:cNvGraphicFramePr>
              <a:graphicFrameLocks noChangeAspect="1"/>
            </wp:cNvGraphicFramePr>
            <a:graphic>
              <a:graphicData uri="http://schemas.openxmlformats.org/drawingml/2006/picture">
                <pic:pic>
                  <pic:nvPicPr>
                    <pic:cNvPr id="0" name="candidate_map.png"/>
                    <pic:cNvPicPr/>
                  </pic:nvPicPr>
                  <pic:blipFill>
                    <a:blip r:embed="rId17"/>
                    <a:stretch>
                      <a:fillRect/>
                    </a:stretch>
                  </pic:blipFill>
                  <pic:spPr>
                    <a:xfrm>
                      <a:off x="0" y="0"/>
                      <a:ext cx="5940000" cy="2053279"/>
                    </a:xfrm>
                    <a:prstGeom prst="rect"/>
                  </pic:spPr>
                </pic:pic>
              </a:graphicData>
            </a:graphic>
          </wp:inline>
        </w:drawing>
      </w:r>
    </w:p>
    <w:p>
      <w:r>
        <w:rPr>
          <w:i w:val="0"/>
          <w:color w:val="555555"/>
          <w:sz w:val="16"/>
        </w:rPr>
        <w:t>Figure 7: Candidate map. Horizontal axis: value score. Vertical axis: fit score. Point size: fee. Top three per need are outlined.</w:t>
      </w:r>
    </w:p>
    <w:p>
      <w:r>
        <w:t>The shortlist is not a single ranking. In midfield, Coquelin is the best balanced pick, Gueye is the best tactical pick and Wanyama is the middle option. In defence, Cook is the value pick and van Dijk is the higher-ceiling option at a higher fee. In attack, Ighalo is the clear first choice, with Deeney and Joshua King as cheaper alternatives. The next section turns these options into budget-feasible plans.</w:t>
      </w:r>
    </w:p>
    <w:p>
      <w:pPr>
        <w:pStyle w:val="Heading1"/>
      </w:pPr>
      <w:r>
        <w:t>8. Optimisation and scenarios</w:t>
      </w:r>
    </w:p>
    <w:p>
      <w:r>
        <w:t>The plan is a binary optimisation. Each candidate is a binary variable. The constraints require exactly one player for each of the three needs, total fees at or below the budget, risk at or below the limit and age at or below the policy. The objective maximises the weighted score. The problem is small enough to solve exactly with a MILP solver, and an independent brute-force check over the top eight candidates per need reproduces the optimum.</w:t>
      </w:r>
    </w:p>
    <w:p>
      <w:r>
        <w:t>The scenario table changes the preference weights and the constraints. The base scenario uses the balanced weights. The value-first scenario raises the value weight to 0.45. The quality-first scenario raises fit to 0.75. The safety-first scenario raises safety to 0.40. The budget is cut by 20% and 40%, the age limit falls to 24, and a risk-averse scenario caps risk at 45.</w:t>
      </w:r>
    </w:p>
    <w:p>
      <w:r>
        <w:br w:type="page"/>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E6E6E6"/>
          </w:tcPr>
          <w:p>
            <w:r/>
            <w:r>
              <w:rPr>
                <w:b/>
                <w:color w:val="111111"/>
                <w:sz w:val="16"/>
              </w:rPr>
              <w:t>Scenario</w:t>
            </w:r>
          </w:p>
        </w:tc>
        <w:tc>
          <w:tcPr>
            <w:tcW w:type="dxa" w:w="1662"/>
            <w:shd w:fill="E6E6E6"/>
          </w:tcPr>
          <w:p>
            <w:r/>
            <w:r>
              <w:rPr>
                <w:b/>
                <w:color w:val="111111"/>
                <w:sz w:val="16"/>
              </w:rPr>
              <w:t>Budget, EUR m</w:t>
            </w:r>
          </w:p>
        </w:tc>
        <w:tc>
          <w:tcPr>
            <w:tcW w:type="dxa" w:w="1662"/>
            <w:shd w:fill="E6E6E6"/>
          </w:tcPr>
          <w:p>
            <w:r/>
            <w:r>
              <w:rPr>
                <w:b/>
                <w:color w:val="111111"/>
                <w:sz w:val="16"/>
              </w:rPr>
              <w:t>Cost, EUR m</w:t>
            </w:r>
          </w:p>
        </w:tc>
        <w:tc>
          <w:tcPr>
            <w:tcW w:type="dxa" w:w="1662"/>
            <w:shd w:fill="E6E6E6"/>
          </w:tcPr>
          <w:p>
            <w:r/>
            <w:r>
              <w:rPr>
                <w:b/>
                <w:color w:val="111111"/>
                <w:sz w:val="16"/>
              </w:rPr>
              <w:t>Left, EUR m</w:t>
            </w:r>
          </w:p>
        </w:tc>
        <w:tc>
          <w:tcPr>
            <w:tcW w:type="dxa" w:w="1662"/>
            <w:shd w:fill="E6E6E6"/>
          </w:tcPr>
          <w:p>
            <w:r/>
            <w:r>
              <w:rPr>
                <w:b/>
                <w:color w:val="111111"/>
                <w:sz w:val="16"/>
              </w:rPr>
              <w:t>Score</w:t>
            </w:r>
          </w:p>
        </w:tc>
        <w:tc>
          <w:tcPr>
            <w:tcW w:type="dxa" w:w="1662"/>
            <w:shd w:fill="E6E6E6"/>
          </w:tcPr>
          <w:p>
            <w:r/>
            <w:r>
              <w:rPr>
                <w:b/>
                <w:color w:val="111111"/>
                <w:sz w:val="16"/>
              </w:rPr>
              <w:t>Selected plan</w:t>
            </w:r>
          </w:p>
        </w:tc>
      </w:tr>
      <w:tr>
        <w:tc>
          <w:tcPr>
            <w:tcW w:type="dxa" w:w="1662"/>
          </w:tcPr>
          <w:p>
            <w:r/>
            <w:r>
              <w:rPr>
                <w:color w:val="111111"/>
                <w:sz w:val="16"/>
              </w:rPr>
              <w:t>Base</w:t>
            </w:r>
          </w:p>
        </w:tc>
        <w:tc>
          <w:tcPr>
            <w:tcW w:type="dxa" w:w="1662"/>
          </w:tcPr>
          <w:p>
            <w:r/>
            <w:r>
              <w:rPr>
                <w:color w:val="111111"/>
                <w:sz w:val="16"/>
              </w:rPr>
              <w:t>50</w:t>
            </w:r>
          </w:p>
        </w:tc>
        <w:tc>
          <w:tcPr>
            <w:tcW w:type="dxa" w:w="1662"/>
          </w:tcPr>
          <w:p>
            <w:r/>
            <w:r>
              <w:rPr>
                <w:color w:val="111111"/>
                <w:sz w:val="16"/>
              </w:rPr>
              <w:t>27.0</w:t>
            </w:r>
          </w:p>
        </w:tc>
        <w:tc>
          <w:tcPr>
            <w:tcW w:type="dxa" w:w="1662"/>
          </w:tcPr>
          <w:p>
            <w:r/>
            <w:r>
              <w:rPr>
                <w:color w:val="111111"/>
                <w:sz w:val="16"/>
              </w:rPr>
              <w:t>23.0</w:t>
            </w:r>
          </w:p>
        </w:tc>
        <w:tc>
          <w:tcPr>
            <w:tcW w:type="dxa" w:w="1662"/>
          </w:tcPr>
          <w:p>
            <w:r/>
            <w:r>
              <w:rPr>
                <w:color w:val="111111"/>
                <w:sz w:val="16"/>
              </w:rPr>
              <w:t>239.0</w:t>
            </w:r>
          </w:p>
        </w:tc>
        <w:tc>
          <w:tcPr>
            <w:tcW w:type="dxa" w:w="1662"/>
          </w:tcPr>
          <w:p>
            <w:r/>
            <w:r>
              <w:rPr>
                <w:color w:val="111111"/>
                <w:sz w:val="16"/>
              </w:rPr>
              <w:t>Cook, Coquelin, Ighalo</w:t>
            </w:r>
          </w:p>
        </w:tc>
      </w:tr>
      <w:tr>
        <w:tc>
          <w:tcPr>
            <w:tcW w:type="dxa" w:w="1662"/>
          </w:tcPr>
          <w:p>
            <w:r/>
            <w:r>
              <w:rPr>
                <w:color w:val="111111"/>
                <w:sz w:val="16"/>
              </w:rPr>
              <w:t>Value first</w:t>
            </w:r>
          </w:p>
        </w:tc>
        <w:tc>
          <w:tcPr>
            <w:tcW w:type="dxa" w:w="1662"/>
          </w:tcPr>
          <w:p>
            <w:r/>
            <w:r>
              <w:rPr>
                <w:color w:val="111111"/>
                <w:sz w:val="16"/>
              </w:rPr>
              <w:t>50</w:t>
            </w:r>
          </w:p>
        </w:tc>
        <w:tc>
          <w:tcPr>
            <w:tcW w:type="dxa" w:w="1662"/>
          </w:tcPr>
          <w:p>
            <w:r/>
            <w:r>
              <w:rPr>
                <w:color w:val="111111"/>
                <w:sz w:val="16"/>
              </w:rPr>
              <w:t>27.0</w:t>
            </w:r>
          </w:p>
        </w:tc>
        <w:tc>
          <w:tcPr>
            <w:tcW w:type="dxa" w:w="1662"/>
          </w:tcPr>
          <w:p>
            <w:r/>
            <w:r>
              <w:rPr>
                <w:color w:val="111111"/>
                <w:sz w:val="16"/>
              </w:rPr>
              <w:t>23.0</w:t>
            </w:r>
          </w:p>
        </w:tc>
        <w:tc>
          <w:tcPr>
            <w:tcW w:type="dxa" w:w="1662"/>
          </w:tcPr>
          <w:p>
            <w:r/>
            <w:r>
              <w:rPr>
                <w:color w:val="111111"/>
                <w:sz w:val="16"/>
              </w:rPr>
              <w:t>248.3</w:t>
            </w:r>
          </w:p>
        </w:tc>
        <w:tc>
          <w:tcPr>
            <w:tcW w:type="dxa" w:w="1662"/>
          </w:tcPr>
          <w:p>
            <w:r/>
            <w:r>
              <w:rPr>
                <w:color w:val="111111"/>
                <w:sz w:val="16"/>
              </w:rPr>
              <w:t>Cook, Coquelin, Ighalo</w:t>
            </w:r>
          </w:p>
        </w:tc>
      </w:tr>
      <w:tr>
        <w:tc>
          <w:tcPr>
            <w:tcW w:type="dxa" w:w="1662"/>
          </w:tcPr>
          <w:p>
            <w:r/>
            <w:r>
              <w:rPr>
                <w:color w:val="111111"/>
                <w:sz w:val="16"/>
              </w:rPr>
              <w:t>Quality first</w:t>
            </w:r>
          </w:p>
        </w:tc>
        <w:tc>
          <w:tcPr>
            <w:tcW w:type="dxa" w:w="1662"/>
          </w:tcPr>
          <w:p>
            <w:r/>
            <w:r>
              <w:rPr>
                <w:color w:val="111111"/>
                <w:sz w:val="16"/>
              </w:rPr>
              <w:t>50</w:t>
            </w:r>
          </w:p>
        </w:tc>
        <w:tc>
          <w:tcPr>
            <w:tcW w:type="dxa" w:w="1662"/>
          </w:tcPr>
          <w:p>
            <w:r/>
            <w:r>
              <w:rPr>
                <w:color w:val="111111"/>
                <w:sz w:val="16"/>
              </w:rPr>
              <w:t>31.0</w:t>
            </w:r>
          </w:p>
        </w:tc>
        <w:tc>
          <w:tcPr>
            <w:tcW w:type="dxa" w:w="1662"/>
          </w:tcPr>
          <w:p>
            <w:r/>
            <w:r>
              <w:rPr>
                <w:color w:val="111111"/>
                <w:sz w:val="16"/>
              </w:rPr>
              <w:t>19.0</w:t>
            </w:r>
          </w:p>
        </w:tc>
        <w:tc>
          <w:tcPr>
            <w:tcW w:type="dxa" w:w="1662"/>
          </w:tcPr>
          <w:p>
            <w:r/>
            <w:r>
              <w:rPr>
                <w:color w:val="111111"/>
                <w:sz w:val="16"/>
              </w:rPr>
              <w:t>239.1</w:t>
            </w:r>
          </w:p>
        </w:tc>
        <w:tc>
          <w:tcPr>
            <w:tcW w:type="dxa" w:w="1662"/>
          </w:tcPr>
          <w:p>
            <w:r/>
            <w:r>
              <w:rPr>
                <w:color w:val="111111"/>
                <w:sz w:val="16"/>
              </w:rPr>
              <w:t>Mori, Gueye, Ighalo</w:t>
            </w:r>
          </w:p>
        </w:tc>
      </w:tr>
      <w:tr>
        <w:tc>
          <w:tcPr>
            <w:tcW w:type="dxa" w:w="1662"/>
          </w:tcPr>
          <w:p>
            <w:r/>
            <w:r>
              <w:rPr>
                <w:color w:val="111111"/>
                <w:sz w:val="16"/>
              </w:rPr>
              <w:t>Safety first</w:t>
            </w:r>
          </w:p>
        </w:tc>
        <w:tc>
          <w:tcPr>
            <w:tcW w:type="dxa" w:w="1662"/>
          </w:tcPr>
          <w:p>
            <w:r/>
            <w:r>
              <w:rPr>
                <w:color w:val="111111"/>
                <w:sz w:val="16"/>
              </w:rPr>
              <w:t>50</w:t>
            </w:r>
          </w:p>
        </w:tc>
        <w:tc>
          <w:tcPr>
            <w:tcW w:type="dxa" w:w="1662"/>
          </w:tcPr>
          <w:p>
            <w:r/>
            <w:r>
              <w:rPr>
                <w:color w:val="111111"/>
                <w:sz w:val="16"/>
              </w:rPr>
              <w:t>24.0</w:t>
            </w:r>
          </w:p>
        </w:tc>
        <w:tc>
          <w:tcPr>
            <w:tcW w:type="dxa" w:w="1662"/>
          </w:tcPr>
          <w:p>
            <w:r/>
            <w:r>
              <w:rPr>
                <w:color w:val="111111"/>
                <w:sz w:val="16"/>
              </w:rPr>
              <w:t>26.0</w:t>
            </w:r>
          </w:p>
        </w:tc>
        <w:tc>
          <w:tcPr>
            <w:tcW w:type="dxa" w:w="1662"/>
          </w:tcPr>
          <w:p>
            <w:r/>
            <w:r>
              <w:rPr>
                <w:color w:val="111111"/>
                <w:sz w:val="16"/>
              </w:rPr>
              <w:t>246.8</w:t>
            </w:r>
          </w:p>
        </w:tc>
        <w:tc>
          <w:tcPr>
            <w:tcW w:type="dxa" w:w="1662"/>
          </w:tcPr>
          <w:p>
            <w:r/>
            <w:r>
              <w:rPr>
                <w:color w:val="111111"/>
                <w:sz w:val="16"/>
              </w:rPr>
              <w:t>Cook, Gueye, Ighalo</w:t>
            </w:r>
          </w:p>
        </w:tc>
      </w:tr>
      <w:tr>
        <w:tc>
          <w:tcPr>
            <w:tcW w:type="dxa" w:w="1662"/>
          </w:tcPr>
          <w:p>
            <w:r/>
            <w:r>
              <w:rPr>
                <w:color w:val="111111"/>
                <w:sz w:val="16"/>
              </w:rPr>
              <w:t>Budget -20%</w:t>
            </w:r>
          </w:p>
        </w:tc>
        <w:tc>
          <w:tcPr>
            <w:tcW w:type="dxa" w:w="1662"/>
          </w:tcPr>
          <w:p>
            <w:r/>
            <w:r>
              <w:rPr>
                <w:color w:val="111111"/>
                <w:sz w:val="16"/>
              </w:rPr>
              <w:t>40</w:t>
            </w:r>
          </w:p>
        </w:tc>
        <w:tc>
          <w:tcPr>
            <w:tcW w:type="dxa" w:w="1662"/>
          </w:tcPr>
          <w:p>
            <w:r/>
            <w:r>
              <w:rPr>
                <w:color w:val="111111"/>
                <w:sz w:val="16"/>
              </w:rPr>
              <w:t>27.0</w:t>
            </w:r>
          </w:p>
        </w:tc>
        <w:tc>
          <w:tcPr>
            <w:tcW w:type="dxa" w:w="1662"/>
          </w:tcPr>
          <w:p>
            <w:r/>
            <w:r>
              <w:rPr>
                <w:color w:val="111111"/>
                <w:sz w:val="16"/>
              </w:rPr>
              <w:t>13.0</w:t>
            </w:r>
          </w:p>
        </w:tc>
        <w:tc>
          <w:tcPr>
            <w:tcW w:type="dxa" w:w="1662"/>
          </w:tcPr>
          <w:p>
            <w:r/>
            <w:r>
              <w:rPr>
                <w:color w:val="111111"/>
                <w:sz w:val="16"/>
              </w:rPr>
              <w:t>239.0</w:t>
            </w:r>
          </w:p>
        </w:tc>
        <w:tc>
          <w:tcPr>
            <w:tcW w:type="dxa" w:w="1662"/>
          </w:tcPr>
          <w:p>
            <w:r/>
            <w:r>
              <w:rPr>
                <w:color w:val="111111"/>
                <w:sz w:val="16"/>
              </w:rPr>
              <w:t>Cook, Coquelin, Ighalo</w:t>
            </w:r>
          </w:p>
        </w:tc>
      </w:tr>
      <w:tr>
        <w:tc>
          <w:tcPr>
            <w:tcW w:type="dxa" w:w="1662"/>
          </w:tcPr>
          <w:p>
            <w:r/>
            <w:r>
              <w:rPr>
                <w:color w:val="111111"/>
                <w:sz w:val="16"/>
              </w:rPr>
              <w:t>Budget -40%</w:t>
            </w:r>
          </w:p>
        </w:tc>
        <w:tc>
          <w:tcPr>
            <w:tcW w:type="dxa" w:w="1662"/>
          </w:tcPr>
          <w:p>
            <w:r/>
            <w:r>
              <w:rPr>
                <w:color w:val="111111"/>
                <w:sz w:val="16"/>
              </w:rPr>
              <w:t>30</w:t>
            </w:r>
          </w:p>
        </w:tc>
        <w:tc>
          <w:tcPr>
            <w:tcW w:type="dxa" w:w="1662"/>
          </w:tcPr>
          <w:p>
            <w:r/>
            <w:r>
              <w:rPr>
                <w:color w:val="111111"/>
                <w:sz w:val="16"/>
              </w:rPr>
              <w:t>27.0</w:t>
            </w:r>
          </w:p>
        </w:tc>
        <w:tc>
          <w:tcPr>
            <w:tcW w:type="dxa" w:w="1662"/>
          </w:tcPr>
          <w:p>
            <w:r/>
            <w:r>
              <w:rPr>
                <w:color w:val="111111"/>
                <w:sz w:val="16"/>
              </w:rPr>
              <w:t>3.0</w:t>
            </w:r>
          </w:p>
        </w:tc>
        <w:tc>
          <w:tcPr>
            <w:tcW w:type="dxa" w:w="1662"/>
          </w:tcPr>
          <w:p>
            <w:r/>
            <w:r>
              <w:rPr>
                <w:color w:val="111111"/>
                <w:sz w:val="16"/>
              </w:rPr>
              <w:t>239.0</w:t>
            </w:r>
          </w:p>
        </w:tc>
        <w:tc>
          <w:tcPr>
            <w:tcW w:type="dxa" w:w="1662"/>
          </w:tcPr>
          <w:p>
            <w:r/>
            <w:r>
              <w:rPr>
                <w:color w:val="111111"/>
                <w:sz w:val="16"/>
              </w:rPr>
              <w:t>Cook, Coquelin, Ighalo</w:t>
            </w:r>
          </w:p>
        </w:tc>
      </w:tr>
      <w:tr>
        <w:tc>
          <w:tcPr>
            <w:tcW w:type="dxa" w:w="1662"/>
          </w:tcPr>
          <w:p>
            <w:r/>
            <w:r>
              <w:rPr>
                <w:color w:val="111111"/>
                <w:sz w:val="16"/>
              </w:rPr>
              <w:t>Youth policy</w:t>
            </w:r>
          </w:p>
        </w:tc>
        <w:tc>
          <w:tcPr>
            <w:tcW w:type="dxa" w:w="1662"/>
          </w:tcPr>
          <w:p>
            <w:r/>
            <w:r>
              <w:rPr>
                <w:color w:val="111111"/>
                <w:sz w:val="16"/>
              </w:rPr>
              <w:t>50</w:t>
            </w:r>
          </w:p>
        </w:tc>
        <w:tc>
          <w:tcPr>
            <w:tcW w:type="dxa" w:w="1662"/>
          </w:tcPr>
          <w:p>
            <w:r/>
            <w:r>
              <w:rPr>
                <w:color w:val="111111"/>
                <w:sz w:val="16"/>
              </w:rPr>
              <w:t>42.0</w:t>
            </w:r>
          </w:p>
        </w:tc>
        <w:tc>
          <w:tcPr>
            <w:tcW w:type="dxa" w:w="1662"/>
          </w:tcPr>
          <w:p>
            <w:r/>
            <w:r>
              <w:rPr>
                <w:color w:val="111111"/>
                <w:sz w:val="16"/>
              </w:rPr>
              <w:t>8.0</w:t>
            </w:r>
          </w:p>
        </w:tc>
        <w:tc>
          <w:tcPr>
            <w:tcW w:type="dxa" w:w="1662"/>
          </w:tcPr>
          <w:p>
            <w:r/>
            <w:r>
              <w:rPr>
                <w:color w:val="111111"/>
                <w:sz w:val="16"/>
              </w:rPr>
              <w:t>193.7</w:t>
            </w:r>
          </w:p>
        </w:tc>
        <w:tc>
          <w:tcPr>
            <w:tcW w:type="dxa" w:w="1662"/>
          </w:tcPr>
          <w:p>
            <w:r/>
            <w:r>
              <w:rPr>
                <w:color w:val="111111"/>
                <w:sz w:val="16"/>
              </w:rPr>
              <w:t>Mbemba, Can, Mitrovic</w:t>
            </w:r>
          </w:p>
        </w:tc>
      </w:tr>
      <w:tr>
        <w:tc>
          <w:tcPr>
            <w:tcW w:type="dxa" w:w="1662"/>
          </w:tcPr>
          <w:p>
            <w:r/>
            <w:r>
              <w:rPr>
                <w:color w:val="111111"/>
                <w:sz w:val="16"/>
              </w:rPr>
              <w:t>Risk averse</w:t>
            </w:r>
          </w:p>
        </w:tc>
        <w:tc>
          <w:tcPr>
            <w:tcW w:type="dxa" w:w="1662"/>
          </w:tcPr>
          <w:p>
            <w:r/>
            <w:r>
              <w:rPr>
                <w:color w:val="111111"/>
                <w:sz w:val="16"/>
              </w:rPr>
              <w:t>50</w:t>
            </w:r>
          </w:p>
        </w:tc>
        <w:tc>
          <w:tcPr>
            <w:tcW w:type="dxa" w:w="1662"/>
          </w:tcPr>
          <w:p>
            <w:r/>
            <w:r>
              <w:rPr>
                <w:color w:val="111111"/>
                <w:sz w:val="16"/>
              </w:rPr>
              <w:t>27.0</w:t>
            </w:r>
          </w:p>
        </w:tc>
        <w:tc>
          <w:tcPr>
            <w:tcW w:type="dxa" w:w="1662"/>
          </w:tcPr>
          <w:p>
            <w:r/>
            <w:r>
              <w:rPr>
                <w:color w:val="111111"/>
                <w:sz w:val="16"/>
              </w:rPr>
              <w:t>23.0</w:t>
            </w:r>
          </w:p>
        </w:tc>
        <w:tc>
          <w:tcPr>
            <w:tcW w:type="dxa" w:w="1662"/>
          </w:tcPr>
          <w:p>
            <w:r/>
            <w:r>
              <w:rPr>
                <w:color w:val="111111"/>
                <w:sz w:val="16"/>
              </w:rPr>
              <w:t>239.0</w:t>
            </w:r>
          </w:p>
        </w:tc>
        <w:tc>
          <w:tcPr>
            <w:tcW w:type="dxa" w:w="1662"/>
          </w:tcPr>
          <w:p>
            <w:r/>
            <w:r>
              <w:rPr>
                <w:color w:val="111111"/>
                <w:sz w:val="16"/>
              </w:rPr>
              <w:t>Cook, Coquelin, Ighalo</w:t>
            </w:r>
          </w:p>
        </w:tc>
      </w:tr>
    </w:tbl>
    <w:p>
      <w:r>
        <w:rPr>
          <w:i w:val="0"/>
          <w:color w:val="555555"/>
          <w:sz w:val="16"/>
        </w:rPr>
        <w:t>Table 9: Budget and preference scenarios. All plans satisfy the budget and fill at least one need.</w:t>
      </w:r>
    </w:p>
    <w:p>
      <w:r>
        <w:t>The base plan is Coquelin, Cook and Ighalo for EUR 27m. The value-first weights select the same plan, because Coquelin's market gap is large. The quality-first weights move the midfield to Gueye and the centre back to Funes Mori, for EUR 31m. The safety-first weights select the recommended plan: Gueye, Cook and Ighalo for EUR 24m. The youth policy selects Mbemba, Emre Can and Mitrovic for EUR 42m. The budget cuts still fit the base plan at EUR 30m, which is a sign that the recommendation is not fragile to a 40% budget cut.</w:t>
      </w:r>
    </w:p>
    <w:p>
      <w:r>
        <w:t>Sensitivity to the weights is transparent. With safety fixed at 0.20 and fit rising from 0.30 to 0.80, Coquelin is selected until fit reaches 0.55, Gueye enters at 0.60, and Funes Mori replaces Cook at 0.70. Ighalo is selected in every scenario. The stable core is the striker and the value defender; the midfield is the genuine judgement call.</w:t>
      </w:r>
    </w:p>
    <w:p>
      <w:r>
        <w:br w:type="page"/>
      </w:r>
    </w:p>
    <w:p>
      <w:pPr>
        <w:pStyle w:val="Heading1"/>
      </w:pPr>
      <w:r>
        <w:t>9. Decision</w:t>
      </w:r>
    </w:p>
    <w:p>
      <w:r>
        <w:t>The recommendation is Idrissa Gueye, Steve Cook and Odion Ighalo for EUR 24m. This is the safety-first optimum: 0.40 fit, 0.20 value and 0.40 safety. It is appropriate for a club that has just lost a unique midfielder and cannot afford a failed replacement. The plan fills all three needs, leaves EUR 26m for wages, agent fees and a January buffer, and keeps the age profile young enough to retain resale value.</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E6E6E6"/>
          </w:tcPr>
          <w:p>
            <w:r/>
            <w:r>
              <w:rPr>
                <w:b/>
                <w:color w:val="111111"/>
                <w:sz w:val="16"/>
              </w:rPr>
              <w:t>Need</w:t>
            </w:r>
          </w:p>
        </w:tc>
        <w:tc>
          <w:tcPr>
            <w:tcW w:type="dxa" w:w="1108"/>
            <w:shd w:fill="E6E6E6"/>
          </w:tcPr>
          <w:p>
            <w:r/>
            <w:r>
              <w:rPr>
                <w:b/>
                <w:color w:val="111111"/>
                <w:sz w:val="16"/>
              </w:rPr>
              <w:t>Player</w:t>
            </w:r>
          </w:p>
        </w:tc>
        <w:tc>
          <w:tcPr>
            <w:tcW w:type="dxa" w:w="1108"/>
            <w:shd w:fill="E6E6E6"/>
          </w:tcPr>
          <w:p>
            <w:r/>
            <w:r>
              <w:rPr>
                <w:b/>
                <w:color w:val="111111"/>
                <w:sz w:val="16"/>
              </w:rPr>
              <w:t>Club</w:t>
            </w:r>
          </w:p>
        </w:tc>
        <w:tc>
          <w:tcPr>
            <w:tcW w:type="dxa" w:w="1108"/>
            <w:shd w:fill="E6E6E6"/>
          </w:tcPr>
          <w:p>
            <w:r/>
            <w:r>
              <w:rPr>
                <w:b/>
                <w:color w:val="111111"/>
                <w:sz w:val="16"/>
              </w:rPr>
              <w:t>Age</w:t>
            </w:r>
          </w:p>
        </w:tc>
        <w:tc>
          <w:tcPr>
            <w:tcW w:type="dxa" w:w="1108"/>
            <w:shd w:fill="E6E6E6"/>
          </w:tcPr>
          <w:p>
            <w:r/>
            <w:r>
              <w:rPr>
                <w:b/>
                <w:color w:val="111111"/>
                <w:sz w:val="16"/>
              </w:rPr>
              <w:t>Fee</w:t>
            </w:r>
          </w:p>
        </w:tc>
        <w:tc>
          <w:tcPr>
            <w:tcW w:type="dxa" w:w="1108"/>
            <w:shd w:fill="E6E6E6"/>
          </w:tcPr>
          <w:p>
            <w:r/>
            <w:r>
              <w:rPr>
                <w:b/>
                <w:color w:val="111111"/>
                <w:sz w:val="16"/>
              </w:rPr>
              <w:t>Fit</w:t>
            </w:r>
          </w:p>
        </w:tc>
        <w:tc>
          <w:tcPr>
            <w:tcW w:type="dxa" w:w="1108"/>
            <w:shd w:fill="E6E6E6"/>
          </w:tcPr>
          <w:p>
            <w:r/>
            <w:r>
              <w:rPr>
                <w:b/>
                <w:color w:val="111111"/>
                <w:sz w:val="16"/>
              </w:rPr>
              <w:t>Value</w:t>
            </w:r>
          </w:p>
        </w:tc>
        <w:tc>
          <w:tcPr>
            <w:tcW w:type="dxa" w:w="1108"/>
            <w:shd w:fill="E6E6E6"/>
          </w:tcPr>
          <w:p>
            <w:r/>
            <w:r>
              <w:rPr>
                <w:b/>
                <w:color w:val="111111"/>
                <w:sz w:val="16"/>
              </w:rPr>
              <w:t>Safety</w:t>
            </w:r>
          </w:p>
        </w:tc>
        <w:tc>
          <w:tcPr>
            <w:tcW w:type="dxa" w:w="1108"/>
            <w:shd w:fill="E6E6E6"/>
          </w:tcPr>
          <w:p>
            <w:r/>
            <w:r>
              <w:rPr>
                <w:b/>
                <w:color w:val="111111"/>
                <w:sz w:val="16"/>
              </w:rPr>
              <w:t>Weighted score</w:t>
            </w:r>
          </w:p>
        </w:tc>
      </w:tr>
      <w:tr>
        <w:tc>
          <w:tcPr>
            <w:tcW w:type="dxa" w:w="1108"/>
          </w:tcPr>
          <w:p>
            <w:r/>
            <w:r>
              <w:rPr>
                <w:color w:val="111111"/>
                <w:sz w:val="16"/>
              </w:rPr>
              <w:t>CB</w:t>
            </w:r>
          </w:p>
        </w:tc>
        <w:tc>
          <w:tcPr>
            <w:tcW w:type="dxa" w:w="1108"/>
          </w:tcPr>
          <w:p>
            <w:r/>
            <w:r>
              <w:rPr>
                <w:color w:val="111111"/>
                <w:sz w:val="16"/>
              </w:rPr>
              <w:t>Steve Cook</w:t>
            </w:r>
          </w:p>
        </w:tc>
        <w:tc>
          <w:tcPr>
            <w:tcW w:type="dxa" w:w="1108"/>
          </w:tcPr>
          <w:p>
            <w:r/>
            <w:r>
              <w:rPr>
                <w:color w:val="111111"/>
                <w:sz w:val="16"/>
              </w:rPr>
              <w:t>AFC Bournemouth</w:t>
            </w:r>
          </w:p>
        </w:tc>
        <w:tc>
          <w:tcPr>
            <w:tcW w:type="dxa" w:w="1108"/>
          </w:tcPr>
          <w:p>
            <w:r/>
            <w:r>
              <w:rPr>
                <w:color w:val="111111"/>
                <w:sz w:val="16"/>
              </w:rPr>
              <w:t>25.2</w:t>
            </w:r>
          </w:p>
        </w:tc>
        <w:tc>
          <w:tcPr>
            <w:tcW w:type="dxa" w:w="1108"/>
          </w:tcPr>
          <w:p>
            <w:r/>
            <w:r>
              <w:rPr>
                <w:color w:val="111111"/>
                <w:sz w:val="16"/>
              </w:rPr>
              <w:t>EUR 3.0m</w:t>
            </w:r>
          </w:p>
        </w:tc>
        <w:tc>
          <w:tcPr>
            <w:tcW w:type="dxa" w:w="1108"/>
          </w:tcPr>
          <w:p>
            <w:r/>
            <w:r>
              <w:rPr>
                <w:color w:val="111111"/>
                <w:sz w:val="16"/>
              </w:rPr>
              <w:t>57</w:t>
            </w:r>
          </w:p>
        </w:tc>
        <w:tc>
          <w:tcPr>
            <w:tcW w:type="dxa" w:w="1108"/>
          </w:tcPr>
          <w:p>
            <w:r/>
            <w:r>
              <w:rPr>
                <w:color w:val="111111"/>
                <w:sz w:val="16"/>
              </w:rPr>
              <w:t>100</w:t>
            </w:r>
          </w:p>
        </w:tc>
        <w:tc>
          <w:tcPr>
            <w:tcW w:type="dxa" w:w="1108"/>
          </w:tcPr>
          <w:p>
            <w:r/>
            <w:r>
              <w:rPr>
                <w:color w:val="111111"/>
                <w:sz w:val="16"/>
              </w:rPr>
              <w:t>96</w:t>
            </w:r>
          </w:p>
        </w:tc>
        <w:tc>
          <w:tcPr>
            <w:tcW w:type="dxa" w:w="1108"/>
          </w:tcPr>
          <w:p>
            <w:r/>
            <w:r>
              <w:rPr>
                <w:color w:val="111111"/>
                <w:sz w:val="16"/>
              </w:rPr>
              <w:t>81.2</w:t>
            </w:r>
          </w:p>
        </w:tc>
      </w:tr>
      <w:tr>
        <w:tc>
          <w:tcPr>
            <w:tcW w:type="dxa" w:w="1108"/>
          </w:tcPr>
          <w:p>
            <w:r/>
            <w:r>
              <w:rPr>
                <w:color w:val="111111"/>
                <w:sz w:val="16"/>
              </w:rPr>
              <w:t>CM</w:t>
            </w:r>
          </w:p>
        </w:tc>
        <w:tc>
          <w:tcPr>
            <w:tcW w:type="dxa" w:w="1108"/>
          </w:tcPr>
          <w:p>
            <w:r/>
            <w:r>
              <w:rPr>
                <w:color w:val="111111"/>
                <w:sz w:val="16"/>
              </w:rPr>
              <w:t>Idrissa Gueye</w:t>
            </w:r>
          </w:p>
        </w:tc>
        <w:tc>
          <w:tcPr>
            <w:tcW w:type="dxa" w:w="1108"/>
          </w:tcPr>
          <w:p>
            <w:r/>
            <w:r>
              <w:rPr>
                <w:color w:val="111111"/>
                <w:sz w:val="16"/>
              </w:rPr>
              <w:t>Aston Villa</w:t>
            </w:r>
          </w:p>
        </w:tc>
        <w:tc>
          <w:tcPr>
            <w:tcW w:type="dxa" w:w="1108"/>
          </w:tcPr>
          <w:p>
            <w:r/>
            <w:r>
              <w:rPr>
                <w:color w:val="111111"/>
                <w:sz w:val="16"/>
              </w:rPr>
              <w:t>26.8</w:t>
            </w:r>
          </w:p>
        </w:tc>
        <w:tc>
          <w:tcPr>
            <w:tcW w:type="dxa" w:w="1108"/>
          </w:tcPr>
          <w:p>
            <w:r/>
            <w:r>
              <w:rPr>
                <w:color w:val="111111"/>
                <w:sz w:val="16"/>
              </w:rPr>
              <w:t>EUR 9.0m</w:t>
            </w:r>
          </w:p>
        </w:tc>
        <w:tc>
          <w:tcPr>
            <w:tcW w:type="dxa" w:w="1108"/>
          </w:tcPr>
          <w:p>
            <w:r/>
            <w:r>
              <w:rPr>
                <w:color w:val="111111"/>
                <w:sz w:val="16"/>
              </w:rPr>
              <w:t>95</w:t>
            </w:r>
          </w:p>
        </w:tc>
        <w:tc>
          <w:tcPr>
            <w:tcW w:type="dxa" w:w="1108"/>
          </w:tcPr>
          <w:p>
            <w:r/>
            <w:r>
              <w:rPr>
                <w:color w:val="111111"/>
                <w:sz w:val="16"/>
              </w:rPr>
              <w:t>22</w:t>
            </w:r>
          </w:p>
        </w:tc>
        <w:tc>
          <w:tcPr>
            <w:tcW w:type="dxa" w:w="1108"/>
          </w:tcPr>
          <w:p>
            <w:r/>
            <w:r>
              <w:rPr>
                <w:color w:val="111111"/>
                <w:sz w:val="16"/>
              </w:rPr>
              <w:t>91</w:t>
            </w:r>
          </w:p>
        </w:tc>
        <w:tc>
          <w:tcPr>
            <w:tcW w:type="dxa" w:w="1108"/>
          </w:tcPr>
          <w:p>
            <w:r/>
            <w:r>
              <w:rPr>
                <w:color w:val="111111"/>
                <w:sz w:val="16"/>
              </w:rPr>
              <w:t>79.0</w:t>
            </w:r>
          </w:p>
        </w:tc>
      </w:tr>
      <w:tr>
        <w:tc>
          <w:tcPr>
            <w:tcW w:type="dxa" w:w="1108"/>
          </w:tcPr>
          <w:p>
            <w:r/>
            <w:r>
              <w:rPr>
                <w:color w:val="111111"/>
                <w:sz w:val="16"/>
              </w:rPr>
              <w:t>ST</w:t>
            </w:r>
          </w:p>
        </w:tc>
        <w:tc>
          <w:tcPr>
            <w:tcW w:type="dxa" w:w="1108"/>
          </w:tcPr>
          <w:p>
            <w:r/>
            <w:r>
              <w:rPr>
                <w:color w:val="111111"/>
                <w:sz w:val="16"/>
              </w:rPr>
              <w:t>Odion Ighalo</w:t>
            </w:r>
          </w:p>
        </w:tc>
        <w:tc>
          <w:tcPr>
            <w:tcW w:type="dxa" w:w="1108"/>
          </w:tcPr>
          <w:p>
            <w:r/>
            <w:r>
              <w:rPr>
                <w:color w:val="111111"/>
                <w:sz w:val="16"/>
              </w:rPr>
              <w:t>Watford FC</w:t>
            </w:r>
          </w:p>
        </w:tc>
        <w:tc>
          <w:tcPr>
            <w:tcW w:type="dxa" w:w="1108"/>
          </w:tcPr>
          <w:p>
            <w:r/>
            <w:r>
              <w:rPr>
                <w:color w:val="111111"/>
                <w:sz w:val="16"/>
              </w:rPr>
              <w:t>27.0</w:t>
            </w:r>
          </w:p>
        </w:tc>
        <w:tc>
          <w:tcPr>
            <w:tcW w:type="dxa" w:w="1108"/>
          </w:tcPr>
          <w:p>
            <w:r/>
            <w:r>
              <w:rPr>
                <w:color w:val="111111"/>
                <w:sz w:val="16"/>
              </w:rPr>
              <w:t>EUR 12.0m</w:t>
            </w:r>
          </w:p>
        </w:tc>
        <w:tc>
          <w:tcPr>
            <w:tcW w:type="dxa" w:w="1108"/>
          </w:tcPr>
          <w:p>
            <w:r/>
            <w:r>
              <w:rPr>
                <w:color w:val="111111"/>
                <w:sz w:val="16"/>
              </w:rPr>
              <w:t>79</w:t>
            </w:r>
          </w:p>
        </w:tc>
        <w:tc>
          <w:tcPr>
            <w:tcW w:type="dxa" w:w="1108"/>
          </w:tcPr>
          <w:p>
            <w:r/>
            <w:r>
              <w:rPr>
                <w:color w:val="111111"/>
                <w:sz w:val="16"/>
              </w:rPr>
              <w:t>82</w:t>
            </w:r>
          </w:p>
        </w:tc>
        <w:tc>
          <w:tcPr>
            <w:tcW w:type="dxa" w:w="1108"/>
          </w:tcPr>
          <w:p>
            <w:r/>
            <w:r>
              <w:rPr>
                <w:color w:val="111111"/>
                <w:sz w:val="16"/>
              </w:rPr>
              <w:t>96</w:t>
            </w:r>
          </w:p>
        </w:tc>
        <w:tc>
          <w:tcPr>
            <w:tcW w:type="dxa" w:w="1108"/>
          </w:tcPr>
          <w:p>
            <w:r/>
            <w:r>
              <w:rPr>
                <w:color w:val="111111"/>
                <w:sz w:val="16"/>
              </w:rPr>
              <w:t>86.5</w:t>
            </w:r>
          </w:p>
        </w:tc>
      </w:tr>
    </w:tbl>
    <w:p>
      <w:r>
        <w:rPr>
          <w:i w:val="0"/>
          <w:color w:val="555555"/>
          <w:sz w:val="16"/>
        </w:rPr>
        <w:t>Table 10: Recommended plan, safety-first weights</w:t>
      </w:r>
    </w:p>
    <w:p>
      <w:r>
        <w:drawing>
          <wp:inline xmlns:a="http://schemas.openxmlformats.org/drawingml/2006/main" xmlns:pic="http://schemas.openxmlformats.org/drawingml/2006/picture">
            <wp:extent cx="5940000" cy="2474009"/>
            <wp:docPr id="8" name="Picture 8"/>
            <wp:cNvGraphicFramePr>
              <a:graphicFrameLocks noChangeAspect="1"/>
            </wp:cNvGraphicFramePr>
            <a:graphic>
              <a:graphicData uri="http://schemas.openxmlformats.org/drawingml/2006/picture">
                <pic:pic>
                  <pic:nvPicPr>
                    <pic:cNvPr id="0" name="shortlist.png"/>
                    <pic:cNvPicPr/>
                  </pic:nvPicPr>
                  <pic:blipFill>
                    <a:blip r:embed="rId18"/>
                    <a:stretch>
                      <a:fillRect/>
                    </a:stretch>
                  </pic:blipFill>
                  <pic:spPr>
                    <a:xfrm>
                      <a:off x="0" y="0"/>
                      <a:ext cx="5940000" cy="2474009"/>
                    </a:xfrm>
                    <a:prstGeom prst="rect"/>
                  </pic:spPr>
                </pic:pic>
              </a:graphicData>
            </a:graphic>
          </wp:inline>
        </w:drawing>
      </w:r>
    </w:p>
    <w:p>
      <w:r>
        <w:rPr>
          <w:i w:val="0"/>
          <w:color w:val="555555"/>
          <w:sz w:val="16"/>
        </w:rPr>
        <w:t>Figure 8: The recommended plan. Fit, value and safety are percentiles. The bar labels show the score for each dimension.</w:t>
      </w:r>
    </w:p>
    <w:p>
      <w:pPr>
        <w:pStyle w:val="Heading2"/>
      </w:pPr>
      <w:r>
        <w:t>Why these three</w:t>
      </w:r>
    </w:p>
    <w:p>
      <w:pPr>
        <w:pStyle w:val="ListBullet"/>
      </w:pPr>
      <w:r>
        <w:t>Gueye is the closest available tactical replacement for Kanté. He played 3,073 minutes, won the ball 15.5 times per 90, pressed 29.3 times per 90, and carried the ball 5.4 times per 90. He is 27, Premier League proven and available for EUR 9m. He is not a bargain: both value models call him fairly or richly priced. The case for him is fit and availability.</w:t>
      </w:r>
    </w:p>
    <w:p>
      <w:pPr>
        <w:pStyle w:val="ListBullet"/>
      </w:pPr>
      <w:r>
        <w:t>Cook is the best value signal in the pool. He played 3,195 minutes for Bournemouth, won 7.1 clearances and 1.75 blocks per 90, and cost EUR 3m. The local model puts him at the 100th value percentile and the global model at +64%. The risk is a step up from a relegation-threatened side and limited progressive passing.</w:t>
      </w:r>
    </w:p>
    <w:p>
      <w:pPr>
        <w:pStyle w:val="ListBullet"/>
      </w:pPr>
      <w:r>
        <w:t>Ighalo is the best available box threat. He scored 15 league goals from 16.9 xG, took 2.6 shots per 90 and touched the box 20.7 times per 90, for EUR 12m. The risk is that 2015/16 was a career outlier and that his market value fell after the move.</w:t>
      </w:r>
    </w:p>
    <w:p>
      <w:pPr>
        <w:pStyle w:val="Heading2"/>
      </w:pPr>
      <w:r>
        <w:t>Alternatives</w:t>
      </w:r>
    </w:p>
    <w:p>
      <w:r>
        <w:t>Coquelin is the value alternative in midfield: EUR 12m, fit 81, value 82, safety 74. He is a more conservative passer than Gueye and less similar to Kanté, but the market gap is much larger. Van Dijk is the premium alternative in defence: EUR 12m, fit 57, value 83, safety 95. He offers more progressive passing and a higher ceiling than Cook, but the model does not separate them enough on fit to justify the extra EUR 9m in the recommended plan. Deeney is the cheaper forward alternative: EUR 9m, fit 55, value 80, safety 95. He is a better link player than Ighalo but less of a pure box threat.</w:t>
      </w:r>
    </w:p>
    <w:p>
      <w:r>
        <w:t>A board that wants a higher ceiling can replace Cook with van Dijk for EUR 33m in total, or replace Gueye with Coquelin for EUR 27m. A board that wants to preserve cash can keep the recommended plan at EUR 24m. The scenarios show that the striker and the value defender are stable; the midfield is the decision that changes with the weights.</w:t>
      </w:r>
    </w:p>
    <w:p>
      <w:pPr>
        <w:pStyle w:val="Heading2"/>
      </w:pPr>
      <w:r>
        <w:t>Risks and mitigations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r/>
            <w:r>
              <w:rPr>
                <w:b/>
                <w:color w:val="111111"/>
                <w:sz w:val="16"/>
              </w:rPr>
              <w:t>Risk</w:t>
            </w:r>
          </w:p>
        </w:tc>
        <w:tc>
          <w:tcPr>
            <w:tcW w:type="dxa" w:w="3324"/>
            <w:shd w:fill="E6E6E6"/>
          </w:tcPr>
          <w:p>
            <w:r/>
            <w:r>
              <w:rPr>
                <w:b/>
                <w:color w:val="111111"/>
                <w:sz w:val="16"/>
              </w:rPr>
              <w:t>Why it matters</w:t>
            </w:r>
          </w:p>
        </w:tc>
        <w:tc>
          <w:tcPr>
            <w:tcW w:type="dxa" w:w="3324"/>
            <w:shd w:fill="E6E6E6"/>
          </w:tcPr>
          <w:p>
            <w:r/>
            <w:r>
              <w:rPr>
                <w:b/>
                <w:color w:val="111111"/>
                <w:sz w:val="16"/>
              </w:rPr>
              <w:t>Mitigation</w:t>
            </w:r>
          </w:p>
        </w:tc>
      </w:tr>
      <w:tr>
        <w:tc>
          <w:tcPr>
            <w:tcW w:type="dxa" w:w="3324"/>
          </w:tcPr>
          <w:p>
            <w:r/>
            <w:r>
              <w:rPr>
                <w:color w:val="111111"/>
                <w:sz w:val="16"/>
              </w:rPr>
              <w:t>Gueye's passing</w:t>
            </w:r>
          </w:p>
        </w:tc>
        <w:tc>
          <w:tcPr>
            <w:tcW w:type="dxa" w:w="3324"/>
          </w:tcPr>
          <w:p>
            <w:r/>
            <w:r>
              <w:rPr>
                <w:color w:val="111111"/>
                <w:sz w:val="16"/>
              </w:rPr>
              <w:t>He is a safe short passer but not a creative progressor</w:t>
            </w:r>
          </w:p>
        </w:tc>
        <w:tc>
          <w:tcPr>
            <w:tcW w:type="dxa" w:w="3324"/>
          </w:tcPr>
          <w:p>
            <w:r/>
            <w:r>
              <w:rPr>
                <w:color w:val="111111"/>
                <w:sz w:val="16"/>
              </w:rPr>
              <w:t>Keep Drinkwater as the passer, use Gueye as the destroyer, train the first phase</w:t>
            </w:r>
          </w:p>
        </w:tc>
      </w:tr>
      <w:tr>
        <w:tc>
          <w:tcPr>
            <w:tcW w:type="dxa" w:w="3324"/>
          </w:tcPr>
          <w:p>
            <w:r/>
            <w:r>
              <w:rPr>
                <w:color w:val="111111"/>
                <w:sz w:val="16"/>
              </w:rPr>
              <w:t>Cook's step up</w:t>
            </w:r>
          </w:p>
        </w:tc>
        <w:tc>
          <w:tcPr>
            <w:tcW w:type="dxa" w:w="3324"/>
          </w:tcPr>
          <w:p>
            <w:r/>
            <w:r>
              <w:rPr>
                <w:color w:val="111111"/>
                <w:sz w:val="16"/>
              </w:rPr>
              <w:t>Bournemouth defended deep and conceded chances</w:t>
            </w:r>
          </w:p>
        </w:tc>
        <w:tc>
          <w:tcPr>
            <w:tcW w:type="dxa" w:w="3324"/>
          </w:tcPr>
          <w:p>
            <w:r/>
            <w:r>
              <w:rPr>
                <w:color w:val="111111"/>
                <w:sz w:val="16"/>
              </w:rPr>
              <w:t>Pair him with a progressive partner, start him as the third centre back or rotate</w:t>
            </w:r>
          </w:p>
        </w:tc>
      </w:tr>
      <w:tr>
        <w:tc>
          <w:tcPr>
            <w:tcW w:type="dxa" w:w="3324"/>
          </w:tcPr>
          <w:p>
            <w:r/>
            <w:r>
              <w:rPr>
                <w:color w:val="111111"/>
                <w:sz w:val="16"/>
              </w:rPr>
              <w:t>Ighalo's outlier</w:t>
            </w:r>
          </w:p>
        </w:tc>
        <w:tc>
          <w:tcPr>
            <w:tcW w:type="dxa" w:w="3324"/>
          </w:tcPr>
          <w:p>
            <w:r/>
            <w:r>
              <w:rPr>
                <w:color w:val="111111"/>
                <w:sz w:val="16"/>
              </w:rPr>
              <w:t>One strong season at 27, value fell after 2016</w:t>
            </w:r>
          </w:p>
        </w:tc>
        <w:tc>
          <w:tcPr>
            <w:tcW w:type="dxa" w:w="3324"/>
          </w:tcPr>
          <w:p>
            <w:r/>
            <w:r>
              <w:rPr>
                <w:color w:val="111111"/>
                <w:sz w:val="16"/>
              </w:rPr>
              <w:t>Use him as a rotation striker, avoid a long contract, include a performance clause</w:t>
            </w:r>
          </w:p>
        </w:tc>
      </w:tr>
      <w:tr>
        <w:tc>
          <w:tcPr>
            <w:tcW w:type="dxa" w:w="3324"/>
          </w:tcPr>
          <w:p>
            <w:r/>
            <w:r>
              <w:rPr>
                <w:color w:val="111111"/>
                <w:sz w:val="16"/>
              </w:rPr>
              <w:t>Adaptation</w:t>
            </w:r>
          </w:p>
        </w:tc>
        <w:tc>
          <w:tcPr>
            <w:tcW w:type="dxa" w:w="3324"/>
          </w:tcPr>
          <w:p>
            <w:r/>
            <w:r>
              <w:rPr>
                <w:color w:val="111111"/>
                <w:sz w:val="16"/>
              </w:rPr>
              <w:t>A new midfielder changes the pressing and coverage</w:t>
            </w:r>
          </w:p>
        </w:tc>
        <w:tc>
          <w:tcPr>
            <w:tcW w:type="dxa" w:w="3324"/>
          </w:tcPr>
          <w:p>
            <w:r/>
            <w:r>
              <w:rPr>
                <w:color w:val="111111"/>
                <w:sz w:val="16"/>
              </w:rPr>
              <w:t>Pre-season work on the 4-4-2 shape, video review of Kanté's pressing triggers</w:t>
            </w:r>
          </w:p>
        </w:tc>
      </w:tr>
      <w:tr>
        <w:tc>
          <w:tcPr>
            <w:tcW w:type="dxa" w:w="3324"/>
          </w:tcPr>
          <w:p>
            <w:r/>
            <w:r>
              <w:rPr>
                <w:color w:val="111111"/>
                <w:sz w:val="16"/>
              </w:rPr>
              <w:t>Injury and suspension</w:t>
            </w:r>
          </w:p>
        </w:tc>
        <w:tc>
          <w:tcPr>
            <w:tcW w:type="dxa" w:w="3324"/>
          </w:tcPr>
          <w:p>
            <w:r/>
            <w:r>
              <w:rPr>
                <w:color w:val="111111"/>
                <w:sz w:val="16"/>
              </w:rPr>
              <w:t>The plan relies on three starters</w:t>
            </w:r>
          </w:p>
        </w:tc>
        <w:tc>
          <w:tcPr>
            <w:tcW w:type="dxa" w:w="3324"/>
          </w:tcPr>
          <w:p>
            <w:r/>
            <w:r>
              <w:rPr>
                <w:color w:val="111111"/>
                <w:sz w:val="16"/>
              </w:rPr>
              <w:t>Keep the EUR 26m buffer for January</w:t>
            </w:r>
          </w:p>
        </w:tc>
      </w:tr>
    </w:tbl>
    <w:p>
      <w:r>
        <w:rPr>
          <w:i w:val="0"/>
          <w:color w:val="555555"/>
          <w:sz w:val="16"/>
        </w:rPr>
        <w:t>Table 11: Risks and mitigations for the recommended plan</w:t>
      </w:r>
    </w:p>
    <w:p>
      <w:pPr>
        <w:pStyle w:val="Heading2"/>
      </w:pPr>
      <w:r>
        <w:t>What happened next</w:t>
      </w:r>
    </w:p>
    <w:p>
      <w:r>
        <w:t>The market values after 2016 are a backtest, not a promise. Gueye rose from EUR 9m to EUR 20m, Cook from EUR 3m to EUR 7m, and Ighalo fell from EUR 12m to EUR 9.5m. The plan's total value rose from EUR 24m to EUR 36.5m, a gain of 52%. The value plan rose only 5.6%, and the fit plan rose 27.4%. Two hits and one miss is a realistic result for a three-player plan, and the report does not hide it.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6E6E6"/>
          </w:tcPr>
          <w:p>
            <w:r/>
            <w:r>
              <w:rPr>
                <w:b/>
                <w:color w:val="111111"/>
                <w:sz w:val="16"/>
              </w:rPr>
              <w:t>Player</w:t>
            </w:r>
          </w:p>
        </w:tc>
        <w:tc>
          <w:tcPr>
            <w:tcW w:type="dxa" w:w="1994"/>
            <w:shd w:fill="E6E6E6"/>
          </w:tcPr>
          <w:p>
            <w:r/>
            <w:r>
              <w:rPr>
                <w:b/>
                <w:color w:val="111111"/>
                <w:sz w:val="16"/>
              </w:rPr>
              <w:t>Value 2016</w:t>
            </w:r>
          </w:p>
        </w:tc>
        <w:tc>
          <w:tcPr>
            <w:tcW w:type="dxa" w:w="1994"/>
            <w:shd w:fill="E6E6E6"/>
          </w:tcPr>
          <w:p>
            <w:r/>
            <w:r>
              <w:rPr>
                <w:b/>
                <w:color w:val="111111"/>
                <w:sz w:val="16"/>
              </w:rPr>
              <w:t>Value 2017</w:t>
            </w:r>
          </w:p>
        </w:tc>
        <w:tc>
          <w:tcPr>
            <w:tcW w:type="dxa" w:w="1994"/>
            <w:shd w:fill="E6E6E6"/>
          </w:tcPr>
          <w:p>
            <w:r/>
            <w:r>
              <w:rPr>
                <w:b/>
                <w:color w:val="111111"/>
                <w:sz w:val="16"/>
              </w:rPr>
              <w:t>Value 2018</w:t>
            </w:r>
          </w:p>
        </w:tc>
        <w:tc>
          <w:tcPr>
            <w:tcW w:type="dxa" w:w="1994"/>
            <w:shd w:fill="E6E6E6"/>
          </w:tcPr>
          <w:p>
            <w:r/>
            <w:r>
              <w:rPr>
                <w:b/>
                <w:color w:val="111111"/>
                <w:sz w:val="16"/>
              </w:rPr>
              <w:t>Growth 2016 to 2018</w:t>
            </w:r>
          </w:p>
        </w:tc>
      </w:tr>
      <w:tr>
        <w:tc>
          <w:tcPr>
            <w:tcW w:type="dxa" w:w="1994"/>
          </w:tcPr>
          <w:p>
            <w:r/>
            <w:r>
              <w:rPr>
                <w:color w:val="111111"/>
                <w:sz w:val="16"/>
              </w:rPr>
              <w:t>Steve Cook</w:t>
            </w:r>
          </w:p>
        </w:tc>
        <w:tc>
          <w:tcPr>
            <w:tcW w:type="dxa" w:w="1994"/>
          </w:tcPr>
          <w:p>
            <w:r/>
            <w:r>
              <w:rPr>
                <w:color w:val="111111"/>
                <w:sz w:val="16"/>
              </w:rPr>
              <w:t>EUR 3.0m</w:t>
            </w:r>
          </w:p>
        </w:tc>
        <w:tc>
          <w:tcPr>
            <w:tcW w:type="dxa" w:w="1994"/>
          </w:tcPr>
          <w:p>
            <w:r/>
            <w:r>
              <w:rPr>
                <w:color w:val="111111"/>
                <w:sz w:val="16"/>
              </w:rPr>
              <w:t>EUR 5.0m</w:t>
            </w:r>
          </w:p>
        </w:tc>
        <w:tc>
          <w:tcPr>
            <w:tcW w:type="dxa" w:w="1994"/>
          </w:tcPr>
          <w:p>
            <w:r/>
            <w:r>
              <w:rPr>
                <w:color w:val="111111"/>
                <w:sz w:val="16"/>
              </w:rPr>
              <w:t>EUR 7.0m</w:t>
            </w:r>
          </w:p>
        </w:tc>
        <w:tc>
          <w:tcPr>
            <w:tcW w:type="dxa" w:w="1994"/>
          </w:tcPr>
          <w:p>
            <w:r/>
            <w:r>
              <w:rPr>
                <w:color w:val="111111"/>
                <w:sz w:val="16"/>
              </w:rPr>
              <w:t>+84.7%</w:t>
            </w:r>
          </w:p>
        </w:tc>
      </w:tr>
      <w:tr>
        <w:tc>
          <w:tcPr>
            <w:tcW w:type="dxa" w:w="1994"/>
          </w:tcPr>
          <w:p>
            <w:r/>
            <w:r>
              <w:rPr>
                <w:color w:val="111111"/>
                <w:sz w:val="16"/>
              </w:rPr>
              <w:t>Idrissa Gueye</w:t>
            </w:r>
          </w:p>
        </w:tc>
        <w:tc>
          <w:tcPr>
            <w:tcW w:type="dxa" w:w="1994"/>
          </w:tcPr>
          <w:p>
            <w:r/>
            <w:r>
              <w:rPr>
                <w:color w:val="111111"/>
                <w:sz w:val="16"/>
              </w:rPr>
              <w:t>EUR 9.0m</w:t>
            </w:r>
          </w:p>
        </w:tc>
        <w:tc>
          <w:tcPr>
            <w:tcW w:type="dxa" w:w="1994"/>
          </w:tcPr>
          <w:p>
            <w:r/>
            <w:r>
              <w:rPr>
                <w:color w:val="111111"/>
                <w:sz w:val="16"/>
              </w:rPr>
              <w:t>EUR 18.0m</w:t>
            </w:r>
          </w:p>
        </w:tc>
        <w:tc>
          <w:tcPr>
            <w:tcW w:type="dxa" w:w="1994"/>
          </w:tcPr>
          <w:p>
            <w:r/>
            <w:r>
              <w:rPr>
                <w:color w:val="111111"/>
                <w:sz w:val="16"/>
              </w:rPr>
              <w:t>EUR 20.0m</w:t>
            </w:r>
          </w:p>
        </w:tc>
        <w:tc>
          <w:tcPr>
            <w:tcW w:type="dxa" w:w="1994"/>
          </w:tcPr>
          <w:p>
            <w:r/>
            <w:r>
              <w:rPr>
                <w:color w:val="111111"/>
                <w:sz w:val="16"/>
              </w:rPr>
              <w:t>+79.9%</w:t>
            </w:r>
          </w:p>
        </w:tc>
      </w:tr>
      <w:tr>
        <w:tc>
          <w:tcPr>
            <w:tcW w:type="dxa" w:w="1994"/>
          </w:tcPr>
          <w:p>
            <w:r/>
            <w:r>
              <w:rPr>
                <w:color w:val="111111"/>
                <w:sz w:val="16"/>
              </w:rPr>
              <w:t>Odion Ighalo</w:t>
            </w:r>
          </w:p>
        </w:tc>
        <w:tc>
          <w:tcPr>
            <w:tcW w:type="dxa" w:w="1994"/>
          </w:tcPr>
          <w:p>
            <w:r/>
            <w:r>
              <w:rPr>
                <w:color w:val="111111"/>
                <w:sz w:val="16"/>
              </w:rPr>
              <w:t>EUR 12.0m</w:t>
            </w:r>
          </w:p>
        </w:tc>
        <w:tc>
          <w:tcPr>
            <w:tcW w:type="dxa" w:w="1994"/>
          </w:tcPr>
          <w:p>
            <w:r/>
            <w:r>
              <w:rPr>
                <w:color w:val="111111"/>
                <w:sz w:val="16"/>
              </w:rPr>
              <w:t>EUR 7.0m</w:t>
            </w:r>
          </w:p>
        </w:tc>
        <w:tc>
          <w:tcPr>
            <w:tcW w:type="dxa" w:w="1994"/>
          </w:tcPr>
          <w:p>
            <w:r/>
            <w:r>
              <w:rPr>
                <w:color w:val="111111"/>
                <w:sz w:val="16"/>
              </w:rPr>
              <w:t>EUR 9.5m</w:t>
            </w:r>
          </w:p>
        </w:tc>
        <w:tc>
          <w:tcPr>
            <w:tcW w:type="dxa" w:w="1994"/>
          </w:tcPr>
          <w:p>
            <w:r/>
            <w:r>
              <w:rPr>
                <w:color w:val="111111"/>
                <w:sz w:val="16"/>
              </w:rPr>
              <w:t>-23.4%</w:t>
            </w:r>
          </w:p>
        </w:tc>
      </w:tr>
    </w:tbl>
    <w:p>
      <w:r>
        <w:rPr>
          <w:i w:val="0"/>
          <w:color w:val="555555"/>
          <w:sz w:val="16"/>
        </w:rPr>
        <w:t>Table 12: What happened next for the recommended plan, used as a validation only</w:t>
      </w:r>
    </w:p>
    <w:p>
      <w:r>
        <w:t>The outcome supports the method but does not prove it. Gueye's rise validates the fit-first view of the midfield. Cook's rise validates the value signal. Ighalo's fall validates the risk warning. A different three-player plan would have produced a different story, which is why the report shows the alternatives and the scenario table.</w:t>
      </w:r>
    </w:p>
    <w:p>
      <w:r>
        <w:br w:type="page"/>
      </w:r>
    </w:p>
    <w:p>
      <w:pPr>
        <w:pStyle w:val="Heading1"/>
      </w:pPr>
      <w:r>
        <w:t>10. Quality control and limitations</w:t>
      </w:r>
    </w:p>
    <w:p>
      <w:r>
        <w:t>The assignment asks for at least two potential errors or limitations. This project treats ten as part of the method, not as a disclaimer at the end. Each one changed a modelling or interpretation choice.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r/>
            <w:r>
              <w:rPr>
                <w:b/>
                <w:color w:val="111111"/>
                <w:sz w:val="16"/>
              </w:rPr>
              <w:t>Pitfall</w:t>
            </w:r>
          </w:p>
        </w:tc>
        <w:tc>
          <w:tcPr>
            <w:tcW w:type="dxa" w:w="3324"/>
            <w:shd w:fill="E6E6E6"/>
          </w:tcPr>
          <w:p>
            <w:r/>
            <w:r>
              <w:rPr>
                <w:b/>
                <w:color w:val="111111"/>
                <w:sz w:val="16"/>
              </w:rPr>
              <w:t>What happened in this project</w:t>
            </w:r>
          </w:p>
        </w:tc>
        <w:tc>
          <w:tcPr>
            <w:tcW w:type="dxa" w:w="3324"/>
            <w:shd w:fill="E6E6E6"/>
          </w:tcPr>
          <w:p>
            <w:r/>
            <w:r>
              <w:rPr>
                <w:b/>
                <w:color w:val="111111"/>
                <w:sz w:val="16"/>
              </w:rPr>
              <w:t>Effect on the method</w:t>
            </w:r>
          </w:p>
        </w:tc>
      </w:tr>
      <w:tr>
        <w:tc>
          <w:tcPr>
            <w:tcW w:type="dxa" w:w="3324"/>
          </w:tcPr>
          <w:p>
            <w:r/>
            <w:r>
              <w:rPr>
                <w:color w:val="111111"/>
                <w:sz w:val="16"/>
              </w:rPr>
              <w:t>Data leakage</w:t>
            </w:r>
          </w:p>
        </w:tc>
        <w:tc>
          <w:tcPr>
            <w:tcW w:type="dxa" w:w="3324"/>
          </w:tcPr>
          <w:p>
            <w:r/>
            <w:r>
              <w:rPr>
                <w:color w:val="111111"/>
                <w:sz w:val="16"/>
              </w:rPr>
              <w:t>Future market values and transfer fees could leak into the value model</w:t>
            </w:r>
          </w:p>
        </w:tc>
        <w:tc>
          <w:tcPr>
            <w:tcW w:type="dxa" w:w="3324"/>
          </w:tcPr>
          <w:p>
            <w:r/>
            <w:r>
              <w:rPr>
                <w:color w:val="111111"/>
                <w:sz w:val="16"/>
              </w:rPr>
              <w:t>Target is the season-end value; features are known during the season; the global model is tested on future seasons; the case model is trained on seasons up to 2014/15</w:t>
            </w:r>
          </w:p>
        </w:tc>
      </w:tr>
      <w:tr>
        <w:tc>
          <w:tcPr>
            <w:tcW w:type="dxa" w:w="3324"/>
          </w:tcPr>
          <w:p>
            <w:r/>
            <w:r>
              <w:rPr>
                <w:color w:val="111111"/>
                <w:sz w:val="16"/>
              </w:rPr>
              <w:t>Insufficient playing time</w:t>
            </w:r>
          </w:p>
        </w:tc>
        <w:tc>
          <w:tcPr>
            <w:tcW w:type="dxa" w:w="3324"/>
          </w:tcPr>
          <w:p>
            <w:r/>
            <w:r>
              <w:rPr>
                <w:color w:val="111111"/>
                <w:sz w:val="16"/>
              </w:rPr>
              <w:t>Per-90 rates after a few matches are unstable</w:t>
            </w:r>
          </w:p>
        </w:tc>
        <w:tc>
          <w:tcPr>
            <w:tcW w:type="dxa" w:w="3324"/>
          </w:tcPr>
          <w:p>
            <w:r/>
            <w:r>
              <w:rPr>
                <w:color w:val="111111"/>
                <w:sz w:val="16"/>
              </w:rPr>
              <w:t>The candidate pool requires 1,500 minutes; the local model uses 900+ minutes; safety penalises low availability</w:t>
            </w:r>
          </w:p>
        </w:tc>
      </w:tr>
      <w:tr>
        <w:tc>
          <w:tcPr>
            <w:tcW w:type="dxa" w:w="3324"/>
          </w:tcPr>
          <w:p>
            <w:r/>
            <w:r>
              <w:rPr>
                <w:color w:val="111111"/>
                <w:sz w:val="16"/>
              </w:rPr>
              <w:t>Different positions</w:t>
            </w:r>
          </w:p>
        </w:tc>
        <w:tc>
          <w:tcPr>
            <w:tcW w:type="dxa" w:w="3324"/>
          </w:tcPr>
          <w:p>
            <w:r/>
            <w:r>
              <w:rPr>
                <w:color w:val="111111"/>
                <w:sz w:val="16"/>
              </w:rPr>
              <w:t>One set of criteria cannot compare defenders, midfielders and forwards</w:t>
            </w:r>
          </w:p>
        </w:tc>
        <w:tc>
          <w:tcPr>
            <w:tcW w:type="dxa" w:w="3324"/>
          </w:tcPr>
          <w:p>
            <w:r/>
            <w:r>
              <w:rPr>
                <w:color w:val="111111"/>
                <w:sz w:val="16"/>
              </w:rPr>
              <w:t>Scores are need-specific; value residuals are ranked within position groups; roles are clustered from actions</w:t>
            </w:r>
          </w:p>
        </w:tc>
      </w:tr>
      <w:tr>
        <w:tc>
          <w:tcPr>
            <w:tcW w:type="dxa" w:w="3324"/>
          </w:tcPr>
          <w:p>
            <w:r/>
            <w:r>
              <w:rPr>
                <w:color w:val="111111"/>
                <w:sz w:val="16"/>
              </w:rPr>
              <w:t>Different leagues</w:t>
            </w:r>
          </w:p>
        </w:tc>
        <w:tc>
          <w:tcPr>
            <w:tcW w:type="dxa" w:w="3324"/>
          </w:tcPr>
          <w:p>
            <w:r/>
            <w:r>
              <w:rPr>
                <w:color w:val="111111"/>
                <w:sz w:val="16"/>
              </w:rPr>
              <w:t>The candidate pool is Premier League only</w:t>
            </w:r>
          </w:p>
        </w:tc>
        <w:tc>
          <w:tcPr>
            <w:tcW w:type="dxa" w:w="3324"/>
          </w:tcPr>
          <w:p>
            <w:r/>
            <w:r>
              <w:rPr>
                <w:color w:val="111111"/>
                <w:sz w:val="16"/>
              </w:rPr>
              <w:t>The case is a one-league study; the global model includes five leagues but the local fit does not</w:t>
            </w:r>
          </w:p>
        </w:tc>
      </w:tr>
      <w:tr>
        <w:tc>
          <w:tcPr>
            <w:tcW w:type="dxa" w:w="3324"/>
          </w:tcPr>
          <w:p>
            <w:r/>
            <w:r>
              <w:rPr>
                <w:color w:val="111111"/>
                <w:sz w:val="16"/>
              </w:rPr>
              <w:t>Correlation and causation</w:t>
            </w:r>
          </w:p>
        </w:tc>
        <w:tc>
          <w:tcPr>
            <w:tcW w:type="dxa" w:w="3324"/>
          </w:tcPr>
          <w:p>
            <w:r/>
            <w:r>
              <w:rPr>
                <w:color w:val="111111"/>
                <w:sz w:val="16"/>
              </w:rPr>
              <w:t>A high fit score does not prove that a signing improves the team</w:t>
            </w:r>
          </w:p>
        </w:tc>
        <w:tc>
          <w:tcPr>
            <w:tcW w:type="dxa" w:w="3324"/>
          </w:tcPr>
          <w:p>
            <w:r/>
            <w:r>
              <w:rPr>
                <w:color w:val="111111"/>
                <w:sz w:val="16"/>
              </w:rPr>
              <w:t>The report recommends a portfolio and a tactical plan, not a causal claim</w:t>
            </w:r>
          </w:p>
        </w:tc>
      </w:tr>
      <w:tr>
        <w:tc>
          <w:tcPr>
            <w:tcW w:type="dxa" w:w="3324"/>
          </w:tcPr>
          <w:p>
            <w:r/>
            <w:r>
              <w:rPr>
                <w:color w:val="111111"/>
                <w:sz w:val="16"/>
              </w:rPr>
              <w:t>Outdated data</w:t>
            </w:r>
          </w:p>
        </w:tc>
        <w:tc>
          <w:tcPr>
            <w:tcW w:type="dxa" w:w="3324"/>
          </w:tcPr>
          <w:p>
            <w:r/>
            <w:r>
              <w:rPr>
                <w:color w:val="111111"/>
                <w:sz w:val="16"/>
              </w:rPr>
              <w:t>The full event season is 2015/16 and the market data ends in 2025</w:t>
            </w:r>
          </w:p>
        </w:tc>
        <w:tc>
          <w:tcPr>
            <w:tcW w:type="dxa" w:w="3324"/>
          </w:tcPr>
          <w:p>
            <w:r/>
            <w:r>
              <w:rPr>
                <w:color w:val="111111"/>
                <w:sz w:val="16"/>
              </w:rPr>
              <w:t>The case cutoff is explicit; the retrospective design is justified by the two-year outcome window</w:t>
            </w:r>
          </w:p>
        </w:tc>
      </w:tr>
      <w:tr>
        <w:tc>
          <w:tcPr>
            <w:tcW w:type="dxa" w:w="3324"/>
          </w:tcPr>
          <w:p>
            <w:r/>
            <w:r>
              <w:rPr>
                <w:color w:val="111111"/>
                <w:sz w:val="16"/>
              </w:rPr>
              <w:t>Sample bias</w:t>
            </w:r>
          </w:p>
        </w:tc>
        <w:tc>
          <w:tcPr>
            <w:tcW w:type="dxa" w:w="3324"/>
          </w:tcPr>
          <w:p>
            <w:r/>
            <w:r>
              <w:rPr>
                <w:color w:val="111111"/>
                <w:sz w:val="16"/>
              </w:rPr>
              <w:t>Some 2015/16 profiles are missing and the datalake is not the full transfer market</w:t>
            </w:r>
          </w:p>
        </w:tc>
        <w:tc>
          <w:tcPr>
            <w:tcW w:type="dxa" w:w="3324"/>
          </w:tcPr>
          <w:p>
            <w:r/>
            <w:r>
              <w:rPr>
                <w:color w:val="111111"/>
                <w:sz w:val="16"/>
              </w:rPr>
              <w:t>Low-confidence matches are rejected; the pool is described as a sample; the report does not claim full market coverage</w:t>
            </w:r>
          </w:p>
        </w:tc>
      </w:tr>
      <w:tr>
        <w:tc>
          <w:tcPr>
            <w:tcW w:type="dxa" w:w="3324"/>
          </w:tcPr>
          <w:p>
            <w:r/>
            <w:r>
              <w:rPr>
                <w:color w:val="111111"/>
                <w:sz w:val="16"/>
              </w:rPr>
              <w:t>Uncertainty</w:t>
            </w:r>
          </w:p>
        </w:tc>
        <w:tc>
          <w:tcPr>
            <w:tcW w:type="dxa" w:w="3324"/>
          </w:tcPr>
          <w:p>
            <w:r/>
            <w:r>
              <w:rPr>
                <w:color w:val="111111"/>
                <w:sz w:val="16"/>
              </w:rPr>
              <w:t>The value gap is noisy and individual outcomes vary</w:t>
            </w:r>
          </w:p>
        </w:tc>
        <w:tc>
          <w:tcPr>
            <w:tcW w:type="dxa" w:w="3324"/>
          </w:tcPr>
          <w:p>
            <w:r/>
            <w:r>
              <w:rPr>
                <w:color w:val="111111"/>
                <w:sz w:val="16"/>
              </w:rPr>
              <w:t>The backtest reports medians and hit rates, not a single forecast; the plan keeps a cash buffer</w:t>
            </w:r>
          </w:p>
        </w:tc>
      </w:tr>
      <w:tr>
        <w:tc>
          <w:tcPr>
            <w:tcW w:type="dxa" w:w="3324"/>
          </w:tcPr>
          <w:p>
            <w:r/>
            <w:r>
              <w:rPr>
                <w:color w:val="111111"/>
                <w:sz w:val="16"/>
              </w:rPr>
              <w:t>Fee proxy</w:t>
            </w:r>
          </w:p>
        </w:tc>
        <w:tc>
          <w:tcPr>
            <w:tcW w:type="dxa" w:w="3324"/>
          </w:tcPr>
          <w:p>
            <w:r/>
            <w:r>
              <w:rPr>
                <w:color w:val="111111"/>
                <w:sz w:val="16"/>
              </w:rPr>
              <w:t>Market value is not a transfer fee</w:t>
            </w:r>
          </w:p>
        </w:tc>
        <w:tc>
          <w:tcPr>
            <w:tcW w:type="dxa" w:w="3324"/>
          </w:tcPr>
          <w:p>
            <w:r/>
            <w:r>
              <w:rPr>
                <w:color w:val="111111"/>
                <w:sz w:val="16"/>
              </w:rPr>
              <w:t>The budget uses market value as a proxy; the report notes clauses, wages and agent fees</w:t>
            </w:r>
          </w:p>
        </w:tc>
      </w:tr>
      <w:tr>
        <w:tc>
          <w:tcPr>
            <w:tcW w:type="dxa" w:w="3324"/>
          </w:tcPr>
          <w:p>
            <w:r/>
            <w:r>
              <w:rPr>
                <w:color w:val="111111"/>
                <w:sz w:val="16"/>
              </w:rPr>
              <w:t>Retrospective design</w:t>
            </w:r>
          </w:p>
        </w:tc>
        <w:tc>
          <w:tcPr>
            <w:tcW w:type="dxa" w:w="3324"/>
          </w:tcPr>
          <w:p>
            <w:r/>
            <w:r>
              <w:rPr>
                <w:color w:val="111111"/>
                <w:sz w:val="16"/>
              </w:rPr>
              <w:t>The outcomes are known to the author</w:t>
            </w:r>
          </w:p>
        </w:tc>
        <w:tc>
          <w:tcPr>
            <w:tcW w:type="dxa" w:w="3324"/>
          </w:tcPr>
          <w:p>
            <w:r/>
            <w:r>
              <w:rPr>
                <w:color w:val="111111"/>
                <w:sz w:val="16"/>
              </w:rPr>
              <w:t>The recommendation uses only pre-cutoff information; outcomes are used only for validation</w:t>
            </w:r>
          </w:p>
        </w:tc>
      </w:tr>
    </w:tbl>
    <w:p>
      <w:r>
        <w:rPr>
          <w:i w:val="0"/>
          <w:color w:val="555555"/>
          <w:sz w:val="16"/>
        </w:rPr>
        <w:t>Table 13: Pitfalls, evidence and methodological response</w:t>
      </w:r>
    </w:p>
    <w:p>
      <w:r>
        <w:t>The most serious data issue is the Transfermarkt minutes column. Harry Kane is listed with 135 minutes and 25 goals, Jamie Vardy with 131 minutes and 24 goals. The column behaves like minutes per goal in those rows, not total minutes. Using it directly would have inflated per-90 rates for the best scorers and distorted the value model. The local model uses StatsBomb minutes. The global model uses appearances and starts instead of minutes. This is a concrete example of why source validation matters.</w:t>
      </w:r>
    </w:p>
    <w:p>
      <w:r>
        <w:t>The second serious issue is position labels. StatsBomb positions are formation slots. Ramsey is listed as a left defensive midfielder but plays as a box-to-box and attacking midfielder. The similarity score corrects the label, but a simpler model that trusted the label would have recommended the wrong profile. The role clusters are a check on this, not a replacement for watching the player.</w:t>
      </w:r>
    </w:p>
    <w:p>
      <w:r>
        <w:t>The third issue is market bias. The local model shows that the market pays for passing and attacking output and discounts defensive actions once position and possession are controlled. A negative value gap for Gueye is therefore not evidence that he is a bad player. It is evidence that the market does not pay for his main skill. The final decision uses fit and availability, not only the market gap.</w:t>
      </w:r>
    </w:p>
    <w:p>
      <w:r>
        <w:t>What would change the answer? More complete event data for other leagues would widen the candidate pool. Wage and contract data would make the budget constraint more realistic. Tracking data would measure off-ball movement and pressing better than event data. Scouting reports would capture personality, language and adaptation risk. The model is a decision aid, not a replacement for a sporting director.</w:t>
      </w:r>
    </w:p>
    <w:p>
      <w:pPr>
        <w:pStyle w:val="Heading1"/>
      </w:pPr>
      <w:r>
        <w:t>11. AI tool use</w:t>
      </w:r>
    </w:p>
    <w:p>
      <w:r>
        <w:t>An LLM coding assistant was used for code scaffolding, event-schema checks, debugging and drafting. The assistant was given the StatsBomb and Transfermarkt schemas, the case constraints, the cutoff date and the rule that future values must not enter the recommendation. It was not given a target answer, and it did not generate the reported numbers. Every table and figure is produced by the committed scripts from the raw data.</w:t>
      </w:r>
    </w:p>
    <w:p>
      <w:r>
        <w:t>Verification was manual and programmatic. The author checked the player mapping, the Kanté profile, the top shortlist and the recommended plan by hand. The unit tests check the counts, the model improvement over the baseline, the absence of future columns in the feature list, the budget constraint and the brute-force optimum. The backtest is a separate script and uses only post-cutoff values for evaluation. LLM limitations are real: it can invent names, confuse similar players and overstate a result. The report treats every number as a script output, not as a model statement.</w:t>
      </w:r>
    </w:p>
    <w:p>
      <w:pPr>
        <w:pStyle w:val="Heading1"/>
      </w:pPr>
      <w:r>
        <w:t>12. Reproducibility</w:t>
      </w:r>
    </w:p>
    <w:p>
      <w:r>
        <w:t>The repository contains the code, the processed tables and the figures. Raw data is downloaded by script and is not committed. The app runs offline from the processed tables. The report and slides are generated from the same outputs, so the numbers agree across formats.</w:t>
      </w:r>
    </w:p>
    <w:p>
      <w:r>
        <w:t>Commands: python scripts/download_data.py, then python scripts/build_all.py, then python scripts/verify.py, then python -m streamlit run app.py. The test suite has 9 tests. The independent brute-force check reproduces the MILP optimum. The report build script writes the DOCX and the HTML, and Playwright prints the PDF.</w:t>
      </w:r>
    </w:p>
    <w:tbl>
      <w:tblPr>
        <w:tblStyle w:val="TableGrid"/>
        <w:tblW w:type="auto" w:w="0"/>
        <w:jc w:val="center"/>
        <w:tblLook w:firstColumn="1" w:firstRow="1" w:lastColumn="0" w:lastRow="0" w:noHBand="0" w:noVBand="1" w:val="04A0"/>
      </w:tblPr>
      <w:tblGrid>
        <w:gridCol w:w="4986"/>
        <w:gridCol w:w="4986"/>
      </w:tblGrid>
      <w:tr>
        <w:tc>
          <w:tcPr>
            <w:tcW w:type="dxa" w:w="4986"/>
            <w:shd w:fill="E6E6E6"/>
          </w:tcPr>
          <w:p>
            <w:r/>
            <w:r>
              <w:rPr>
                <w:b/>
                <w:color w:val="111111"/>
                <w:sz w:val="16"/>
              </w:rPr>
              <w:t>Path</w:t>
            </w:r>
          </w:p>
        </w:tc>
        <w:tc>
          <w:tcPr>
            <w:tcW w:type="dxa" w:w="4986"/>
            <w:shd w:fill="E6E6E6"/>
          </w:tcPr>
          <w:p>
            <w:r/>
            <w:r>
              <w:rPr>
                <w:b/>
                <w:color w:val="111111"/>
                <w:sz w:val="16"/>
              </w:rPr>
              <w:t>Content</w:t>
            </w:r>
          </w:p>
        </w:tc>
      </w:tr>
      <w:tr>
        <w:tc>
          <w:tcPr>
            <w:tcW w:type="dxa" w:w="4986"/>
          </w:tcPr>
          <w:p>
            <w:r/>
            <w:r>
              <w:rPr>
                <w:color w:val="111111"/>
                <w:sz w:val="16"/>
              </w:rPr>
              <w:t>src/transfer_lab/</w:t>
            </w:r>
          </w:p>
        </w:tc>
        <w:tc>
          <w:tcPr>
            <w:tcW w:type="dxa" w:w="4986"/>
          </w:tcPr>
          <w:p>
            <w:r/>
            <w:r>
              <w:rPr>
                <w:color w:val="111111"/>
                <w:sz w:val="16"/>
              </w:rPr>
              <w:t>Parsing, features, value models, scouting, optimisation, figures</w:t>
            </w:r>
          </w:p>
        </w:tc>
      </w:tr>
      <w:tr>
        <w:tc>
          <w:tcPr>
            <w:tcW w:type="dxa" w:w="4986"/>
          </w:tcPr>
          <w:p>
            <w:r/>
            <w:r>
              <w:rPr>
                <w:color w:val="111111"/>
                <w:sz w:val="16"/>
              </w:rPr>
              <w:t>scripts/download_data.py</w:t>
            </w:r>
          </w:p>
        </w:tc>
        <w:tc>
          <w:tcPr>
            <w:tcW w:type="dxa" w:w="4986"/>
          </w:tcPr>
          <w:p>
            <w:r/>
            <w:r>
              <w:rPr>
                <w:color w:val="111111"/>
                <w:sz w:val="16"/>
              </w:rPr>
              <w:t>Public raw data download</w:t>
            </w:r>
          </w:p>
        </w:tc>
      </w:tr>
      <w:tr>
        <w:tc>
          <w:tcPr>
            <w:tcW w:type="dxa" w:w="4986"/>
          </w:tcPr>
          <w:p>
            <w:r/>
            <w:r>
              <w:rPr>
                <w:color w:val="111111"/>
                <w:sz w:val="16"/>
              </w:rPr>
              <w:t>scripts/build_all.py</w:t>
            </w:r>
          </w:p>
        </w:tc>
        <w:tc>
          <w:tcPr>
            <w:tcW w:type="dxa" w:w="4986"/>
          </w:tcPr>
          <w:p>
            <w:r/>
            <w:r>
              <w:rPr>
                <w:color w:val="111111"/>
                <w:sz w:val="16"/>
              </w:rPr>
              <w:t>End-to-end pipeline</w:t>
            </w:r>
          </w:p>
        </w:tc>
      </w:tr>
      <w:tr>
        <w:tc>
          <w:tcPr>
            <w:tcW w:type="dxa" w:w="4986"/>
          </w:tcPr>
          <w:p>
            <w:r/>
            <w:r>
              <w:rPr>
                <w:color w:val="111111"/>
                <w:sz w:val="16"/>
              </w:rPr>
              <w:t>scripts/verify.py</w:t>
            </w:r>
          </w:p>
        </w:tc>
        <w:tc>
          <w:tcPr>
            <w:tcW w:type="dxa" w:w="4986"/>
          </w:tcPr>
          <w:p>
            <w:r/>
            <w:r>
              <w:rPr>
                <w:color w:val="111111"/>
                <w:sz w:val="16"/>
              </w:rPr>
              <w:t>Evidence table and test run</w:t>
            </w:r>
          </w:p>
        </w:tc>
      </w:tr>
      <w:tr>
        <w:tc>
          <w:tcPr>
            <w:tcW w:type="dxa" w:w="4986"/>
          </w:tcPr>
          <w:p>
            <w:r/>
            <w:r>
              <w:rPr>
                <w:color w:val="111111"/>
                <w:sz w:val="16"/>
              </w:rPr>
              <w:t>data/processed/</w:t>
            </w:r>
          </w:p>
        </w:tc>
        <w:tc>
          <w:tcPr>
            <w:tcW w:type="dxa" w:w="4986"/>
          </w:tcPr>
          <w:p>
            <w:r/>
            <w:r>
              <w:rPr>
                <w:color w:val="111111"/>
                <w:sz w:val="16"/>
              </w:rPr>
              <w:t>Compact processed tables used by the app</w:t>
            </w:r>
          </w:p>
        </w:tc>
      </w:tr>
      <w:tr>
        <w:tc>
          <w:tcPr>
            <w:tcW w:type="dxa" w:w="4986"/>
          </w:tcPr>
          <w:p>
            <w:r/>
            <w:r>
              <w:rPr>
                <w:color w:val="111111"/>
                <w:sz w:val="16"/>
              </w:rPr>
              <w:t>outputs/tables/</w:t>
            </w:r>
          </w:p>
        </w:tc>
        <w:tc>
          <w:tcPr>
            <w:tcW w:type="dxa" w:w="4986"/>
          </w:tcPr>
          <w:p>
            <w:r/>
            <w:r>
              <w:rPr>
                <w:color w:val="111111"/>
                <w:sz w:val="16"/>
              </w:rPr>
              <w:t>Candidate, model, scenario and decision tables</w:t>
            </w:r>
          </w:p>
        </w:tc>
      </w:tr>
      <w:tr>
        <w:tc>
          <w:tcPr>
            <w:tcW w:type="dxa" w:w="4986"/>
          </w:tcPr>
          <w:p>
            <w:r/>
            <w:r>
              <w:rPr>
                <w:color w:val="111111"/>
                <w:sz w:val="16"/>
              </w:rPr>
              <w:t>outputs/figures/</w:t>
            </w:r>
          </w:p>
        </w:tc>
        <w:tc>
          <w:tcPr>
            <w:tcW w:type="dxa" w:w="4986"/>
          </w:tcPr>
          <w:p>
            <w:r/>
            <w:r>
              <w:rPr>
                <w:color w:val="111111"/>
                <w:sz w:val="16"/>
              </w:rPr>
              <w:t>Report and slide figures</w:t>
            </w:r>
          </w:p>
        </w:tc>
      </w:tr>
      <w:tr>
        <w:tc>
          <w:tcPr>
            <w:tcW w:type="dxa" w:w="4986"/>
          </w:tcPr>
          <w:p>
            <w:r/>
            <w:r>
              <w:rPr>
                <w:color w:val="111111"/>
                <w:sz w:val="16"/>
              </w:rPr>
              <w:t>app.py</w:t>
            </w:r>
          </w:p>
        </w:tc>
        <w:tc>
          <w:tcPr>
            <w:tcW w:type="dxa" w:w="4986"/>
          </w:tcPr>
          <w:p>
            <w:r/>
            <w:r>
              <w:rPr>
                <w:color w:val="111111"/>
                <w:sz w:val="16"/>
              </w:rPr>
              <w:t>Streamlit decision support app</w:t>
            </w:r>
          </w:p>
        </w:tc>
      </w:tr>
      <w:tr>
        <w:tc>
          <w:tcPr>
            <w:tcW w:type="dxa" w:w="4986"/>
          </w:tcPr>
          <w:p>
            <w:r/>
            <w:r>
              <w:rPr>
                <w:color w:val="111111"/>
                <w:sz w:val="16"/>
              </w:rPr>
              <w:t>report/</w:t>
            </w:r>
          </w:p>
        </w:tc>
        <w:tc>
          <w:tcPr>
            <w:tcW w:type="dxa" w:w="4986"/>
          </w:tcPr>
          <w:p>
            <w:r/>
            <w:r>
              <w:rPr>
                <w:color w:val="111111"/>
                <w:sz w:val="16"/>
              </w:rPr>
              <w:t>DOCX and PDF report</w:t>
            </w:r>
          </w:p>
        </w:tc>
      </w:tr>
      <w:tr>
        <w:tc>
          <w:tcPr>
            <w:tcW w:type="dxa" w:w="4986"/>
          </w:tcPr>
          <w:p>
            <w:r/>
            <w:r>
              <w:rPr>
                <w:color w:val="111111"/>
                <w:sz w:val="16"/>
              </w:rPr>
              <w:t>presentation/</w:t>
            </w:r>
          </w:p>
        </w:tc>
        <w:tc>
          <w:tcPr>
            <w:tcW w:type="dxa" w:w="4986"/>
          </w:tcPr>
          <w:p>
            <w:r/>
            <w:r>
              <w:rPr>
                <w:color w:val="111111"/>
                <w:sz w:val="16"/>
              </w:rPr>
              <w:t>Slide deck</w:t>
            </w:r>
          </w:p>
        </w:tc>
      </w:tr>
    </w:tbl>
    <w:p>
      <w:r>
        <w:rPr>
          <w:i w:val="0"/>
          <w:color w:val="555555"/>
          <w:sz w:val="16"/>
        </w:rPr>
        <w:t>Table 14: Repository structure</w:t>
      </w:r>
    </w:p>
    <w:p>
      <w:r>
        <w:br w:type="page"/>
      </w:r>
    </w:p>
    <w:p>
      <w:pPr>
        <w:pStyle w:val="Heading1"/>
      </w:pPr>
      <w:r>
        <w:t>Appendix A. Metric definitions</w:t>
      </w:r>
    </w:p>
    <w:tbl>
      <w:tblPr>
        <w:tblStyle w:val="TableGrid"/>
        <w:tblW w:type="auto" w:w="0"/>
        <w:jc w:val="center"/>
        <w:tblLook w:firstColumn="1" w:firstRow="1" w:lastColumn="0" w:lastRow="0" w:noHBand="0" w:noVBand="1" w:val="04A0"/>
      </w:tblPr>
      <w:tblGrid>
        <w:gridCol w:w="4986"/>
        <w:gridCol w:w="4986"/>
      </w:tblGrid>
      <w:tr>
        <w:tc>
          <w:tcPr>
            <w:tcW w:type="dxa" w:w="4986"/>
            <w:shd w:fill="E6E6E6"/>
          </w:tcPr>
          <w:p>
            <w:r/>
            <w:r>
              <w:rPr>
                <w:b/>
                <w:color w:val="111111"/>
                <w:sz w:val="16"/>
              </w:rPr>
              <w:t>Metric</w:t>
            </w:r>
          </w:p>
        </w:tc>
        <w:tc>
          <w:tcPr>
            <w:tcW w:type="dxa" w:w="4986"/>
            <w:shd w:fill="E6E6E6"/>
          </w:tcPr>
          <w:p>
            <w:r/>
            <w:r>
              <w:rPr>
                <w:b/>
                <w:color w:val="111111"/>
                <w:sz w:val="16"/>
              </w:rPr>
              <w:t>Definition</w:t>
            </w:r>
          </w:p>
        </w:tc>
      </w:tr>
      <w:tr>
        <w:tc>
          <w:tcPr>
            <w:tcW w:type="dxa" w:w="4986"/>
          </w:tcPr>
          <w:p>
            <w:r/>
            <w:r>
              <w:rPr>
                <w:color w:val="111111"/>
                <w:sz w:val="16"/>
              </w:rPr>
              <w:t>Ball winning per 90</w:t>
            </w:r>
          </w:p>
        </w:tc>
        <w:tc>
          <w:tcPr>
            <w:tcW w:type="dxa" w:w="4986"/>
          </w:tcPr>
          <w:p>
            <w:r/>
            <w:r>
              <w:rPr>
                <w:color w:val="111111"/>
                <w:sz w:val="16"/>
              </w:rPr>
              <w:t>Tackles, interceptions and recoveries per 90 minutes</w:t>
            </w:r>
          </w:p>
        </w:tc>
      </w:tr>
      <w:tr>
        <w:tc>
          <w:tcPr>
            <w:tcW w:type="dxa" w:w="4986"/>
          </w:tcPr>
          <w:p>
            <w:r/>
            <w:r>
              <w:rPr>
                <w:color w:val="111111"/>
                <w:sz w:val="16"/>
              </w:rPr>
              <w:t>Pressure per 90</w:t>
            </w:r>
          </w:p>
        </w:tc>
        <w:tc>
          <w:tcPr>
            <w:tcW w:type="dxa" w:w="4986"/>
          </w:tcPr>
          <w:p>
            <w:r/>
            <w:r>
              <w:rPr>
                <w:color w:val="111111"/>
                <w:sz w:val="16"/>
              </w:rPr>
              <w:t>StatsBomb Pressure and Counterpress events per 90 minutes</w:t>
            </w:r>
          </w:p>
        </w:tc>
      </w:tr>
      <w:tr>
        <w:tc>
          <w:tcPr>
            <w:tcW w:type="dxa" w:w="4986"/>
          </w:tcPr>
          <w:p>
            <w:r/>
            <w:r>
              <w:rPr>
                <w:color w:val="111111"/>
                <w:sz w:val="16"/>
              </w:rPr>
              <w:t>Progressive pass</w:t>
            </w:r>
          </w:p>
        </w:tc>
        <w:tc>
          <w:tcPr>
            <w:tcW w:type="dxa" w:w="4986"/>
          </w:tcPr>
          <w:p>
            <w:r/>
            <w:r>
              <w:rPr>
                <w:color w:val="111111"/>
                <w:sz w:val="16"/>
              </w:rPr>
              <w:t>A completed pass that advances the ball at least 10 units toward goal and ends beyond x = 40</w:t>
            </w:r>
          </w:p>
        </w:tc>
      </w:tr>
      <w:tr>
        <w:tc>
          <w:tcPr>
            <w:tcW w:type="dxa" w:w="4986"/>
          </w:tcPr>
          <w:p>
            <w:r/>
            <w:r>
              <w:rPr>
                <w:color w:val="111111"/>
                <w:sz w:val="16"/>
              </w:rPr>
              <w:t>Progressive carry</w:t>
            </w:r>
          </w:p>
        </w:tc>
        <w:tc>
          <w:tcPr>
            <w:tcW w:type="dxa" w:w="4986"/>
          </w:tcPr>
          <w:p>
            <w:r/>
            <w:r>
              <w:rPr>
                <w:color w:val="111111"/>
                <w:sz w:val="16"/>
              </w:rPr>
              <w:t>A carry that advances the ball at least 10 units toward goal and ends beyond x = 40</w:t>
            </w:r>
          </w:p>
        </w:tc>
      </w:tr>
      <w:tr>
        <w:tc>
          <w:tcPr>
            <w:tcW w:type="dxa" w:w="4986"/>
          </w:tcPr>
          <w:p>
            <w:r/>
            <w:r>
              <w:rPr>
                <w:color w:val="111111"/>
                <w:sz w:val="16"/>
              </w:rPr>
              <w:t>xG</w:t>
            </w:r>
          </w:p>
        </w:tc>
        <w:tc>
          <w:tcPr>
            <w:tcW w:type="dxa" w:w="4986"/>
          </w:tcPr>
          <w:p>
            <w:r/>
            <w:r>
              <w:rPr>
                <w:color w:val="111111"/>
                <w:sz w:val="16"/>
              </w:rPr>
              <w:t>StatsBomb expected goals for shots</w:t>
            </w:r>
          </w:p>
        </w:tc>
      </w:tr>
      <w:tr>
        <w:tc>
          <w:tcPr>
            <w:tcW w:type="dxa" w:w="4986"/>
          </w:tcPr>
          <w:p>
            <w:r/>
            <w:r>
              <w:rPr>
                <w:color w:val="111111"/>
                <w:sz w:val="16"/>
              </w:rPr>
              <w:t>xA</w:t>
            </w:r>
          </w:p>
        </w:tc>
        <w:tc>
          <w:tcPr>
            <w:tcW w:type="dxa" w:w="4986"/>
          </w:tcPr>
          <w:p>
            <w:r/>
            <w:r>
              <w:rPr>
                <w:color w:val="111111"/>
                <w:sz w:val="16"/>
              </w:rPr>
              <w:t>Sum of shot xG for passes that key the shot</w:t>
            </w:r>
          </w:p>
        </w:tc>
      </w:tr>
      <w:tr>
        <w:tc>
          <w:tcPr>
            <w:tcW w:type="dxa" w:w="4986"/>
          </w:tcPr>
          <w:p>
            <w:r/>
            <w:r>
              <w:rPr>
                <w:color w:val="111111"/>
                <w:sz w:val="16"/>
              </w:rPr>
              <w:t>Box touch</w:t>
            </w:r>
          </w:p>
        </w:tc>
        <w:tc>
          <w:tcPr>
            <w:tcW w:type="dxa" w:w="4986"/>
          </w:tcPr>
          <w:p>
            <w:r/>
            <w:r>
              <w:rPr>
                <w:color w:val="111111"/>
                <w:sz w:val="16"/>
              </w:rPr>
              <w:t>An event located in the penalty area, x at least 102 and y between 18 and 62</w:t>
            </w:r>
          </w:p>
        </w:tc>
      </w:tr>
      <w:tr>
        <w:tc>
          <w:tcPr>
            <w:tcW w:type="dxa" w:w="4986"/>
          </w:tcPr>
          <w:p>
            <w:r/>
            <w:r>
              <w:rPr>
                <w:color w:val="111111"/>
                <w:sz w:val="16"/>
              </w:rPr>
              <w:t>Value gap</w:t>
            </w:r>
          </w:p>
        </w:tc>
        <w:tc>
          <w:tcPr>
            <w:tcW w:type="dxa" w:w="4986"/>
          </w:tcPr>
          <w:p>
            <w:r/>
            <w:r>
              <w:rPr>
                <w:color w:val="111111"/>
                <w:sz w:val="16"/>
              </w:rPr>
              <w:t>Actual log market value minus predicted log market value, relative to the league-season median</w:t>
            </w:r>
          </w:p>
        </w:tc>
      </w:tr>
      <w:tr>
        <w:tc>
          <w:tcPr>
            <w:tcW w:type="dxa" w:w="4986"/>
          </w:tcPr>
          <w:p>
            <w:r/>
            <w:r>
              <w:rPr>
                <w:color w:val="111111"/>
                <w:sz w:val="16"/>
              </w:rPr>
              <w:t>Fit</w:t>
            </w:r>
          </w:p>
        </w:tc>
        <w:tc>
          <w:tcPr>
            <w:tcW w:type="dxa" w:w="4986"/>
          </w:tcPr>
          <w:p>
            <w:r/>
            <w:r>
              <w:rPr>
                <w:color w:val="111111"/>
                <w:sz w:val="16"/>
              </w:rPr>
              <w:t>Need-specific tactical percentile, 0 to 100</w:t>
            </w:r>
          </w:p>
        </w:tc>
      </w:tr>
      <w:tr>
        <w:tc>
          <w:tcPr>
            <w:tcW w:type="dxa" w:w="4986"/>
          </w:tcPr>
          <w:p>
            <w:r/>
            <w:r>
              <w:rPr>
                <w:color w:val="111111"/>
                <w:sz w:val="16"/>
              </w:rPr>
              <w:t>Value score</w:t>
            </w:r>
          </w:p>
        </w:tc>
        <w:tc>
          <w:tcPr>
            <w:tcW w:type="dxa" w:w="4986"/>
          </w:tcPr>
          <w:p>
            <w:r/>
            <w:r>
              <w:rPr>
                <w:color w:val="111111"/>
                <w:sz w:val="16"/>
              </w:rPr>
              <w:t>Average of local and global value-gap percentiles, 0 to 100</w:t>
            </w:r>
          </w:p>
        </w:tc>
      </w:tr>
      <w:tr>
        <w:tc>
          <w:tcPr>
            <w:tcW w:type="dxa" w:w="4986"/>
          </w:tcPr>
          <w:p>
            <w:r/>
            <w:r>
              <w:rPr>
                <w:color w:val="111111"/>
                <w:sz w:val="16"/>
              </w:rPr>
              <w:t>Safety</w:t>
            </w:r>
          </w:p>
        </w:tc>
        <w:tc>
          <w:tcPr>
            <w:tcW w:type="dxa" w:w="4986"/>
          </w:tcPr>
          <w:p>
            <w:r/>
            <w:r>
              <w:rPr>
                <w:color w:val="111111"/>
                <w:sz w:val="16"/>
              </w:rPr>
              <w:t>100 minus a risk score built from availability, injury days, age and cards</w:t>
            </w:r>
          </w:p>
        </w:tc>
      </w:tr>
    </w:tbl>
    <w:p>
      <w:r>
        <w:rPr>
          <w:i w:val="0"/>
          <w:color w:val="555555"/>
          <w:sz w:val="16"/>
        </w:rPr>
        <w:t>Table A1: Metric definitions</w:t>
      </w:r>
    </w:p>
    <w:p>
      <w:r>
        <w:br w:type="page"/>
      </w:r>
    </w:p>
    <w:p>
      <w:pPr>
        <w:pStyle w:val="Heading1"/>
      </w:pPr>
      <w:r>
        <w:t>Appendix B. Candidate tables</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E6E6E6"/>
          </w:tcPr>
          <w:p>
            <w:r/>
            <w:r>
              <w:rPr>
                <w:b/>
                <w:color w:val="111111"/>
                <w:sz w:val="16"/>
              </w:rPr>
              <w:t>Player</w:t>
            </w:r>
          </w:p>
        </w:tc>
        <w:tc>
          <w:tcPr>
            <w:tcW w:type="dxa" w:w="1108"/>
            <w:shd w:fill="E6E6E6"/>
          </w:tcPr>
          <w:p>
            <w:r/>
            <w:r>
              <w:rPr>
                <w:b/>
                <w:color w:val="111111"/>
                <w:sz w:val="16"/>
              </w:rPr>
              <w:t>Club</w:t>
            </w:r>
          </w:p>
        </w:tc>
        <w:tc>
          <w:tcPr>
            <w:tcW w:type="dxa" w:w="1108"/>
            <w:shd w:fill="E6E6E6"/>
          </w:tcPr>
          <w:p>
            <w:r/>
            <w:r>
              <w:rPr>
                <w:b/>
                <w:color w:val="111111"/>
                <w:sz w:val="16"/>
              </w:rPr>
              <w:t>Age</w:t>
            </w:r>
          </w:p>
        </w:tc>
        <w:tc>
          <w:tcPr>
            <w:tcW w:type="dxa" w:w="1108"/>
            <w:shd w:fill="E6E6E6"/>
          </w:tcPr>
          <w:p>
            <w:r/>
            <w:r>
              <w:rPr>
                <w:b/>
                <w:color w:val="111111"/>
                <w:sz w:val="16"/>
              </w:rPr>
              <w:t>Minutes</w:t>
            </w:r>
          </w:p>
        </w:tc>
        <w:tc>
          <w:tcPr>
            <w:tcW w:type="dxa" w:w="1108"/>
            <w:shd w:fill="E6E6E6"/>
          </w:tcPr>
          <w:p>
            <w:r/>
            <w:r>
              <w:rPr>
                <w:b/>
                <w:color w:val="111111"/>
                <w:sz w:val="16"/>
              </w:rPr>
              <w:t>Fee</w:t>
            </w:r>
          </w:p>
        </w:tc>
        <w:tc>
          <w:tcPr>
            <w:tcW w:type="dxa" w:w="1108"/>
            <w:shd w:fill="E6E6E6"/>
          </w:tcPr>
          <w:p>
            <w:r/>
            <w:r>
              <w:rPr>
                <w:b/>
                <w:color w:val="111111"/>
                <w:sz w:val="16"/>
              </w:rPr>
              <w:t>Fit</w:t>
            </w:r>
          </w:p>
        </w:tc>
        <w:tc>
          <w:tcPr>
            <w:tcW w:type="dxa" w:w="1108"/>
            <w:shd w:fill="E6E6E6"/>
          </w:tcPr>
          <w:p>
            <w:r/>
            <w:r>
              <w:rPr>
                <w:b/>
                <w:color w:val="111111"/>
                <w:sz w:val="16"/>
              </w:rPr>
              <w:t>Value</w:t>
            </w:r>
          </w:p>
        </w:tc>
        <w:tc>
          <w:tcPr>
            <w:tcW w:type="dxa" w:w="1108"/>
            <w:shd w:fill="E6E6E6"/>
          </w:tcPr>
          <w:p>
            <w:r/>
            <w:r>
              <w:rPr>
                <w:b/>
                <w:color w:val="111111"/>
                <w:sz w:val="16"/>
              </w:rPr>
              <w:t>Safety</w:t>
            </w:r>
          </w:p>
        </w:tc>
        <w:tc>
          <w:tcPr>
            <w:tcW w:type="dxa" w:w="1108"/>
            <w:shd w:fill="E6E6E6"/>
          </w:tcPr>
          <w:p>
            <w:r/>
            <w:r>
              <w:rPr>
                <w:b/>
                <w:color w:val="111111"/>
                <w:sz w:val="16"/>
              </w:rPr>
              <w:t>Score</w:t>
            </w:r>
          </w:p>
        </w:tc>
      </w:tr>
      <w:tr>
        <w:tc>
          <w:tcPr>
            <w:tcW w:type="dxa" w:w="1108"/>
          </w:tcPr>
          <w:p>
            <w:r/>
            <w:r>
              <w:rPr>
                <w:color w:val="111111"/>
                <w:sz w:val="16"/>
              </w:rPr>
              <w:t>Francis Coquelin</w:t>
            </w:r>
          </w:p>
        </w:tc>
        <w:tc>
          <w:tcPr>
            <w:tcW w:type="dxa" w:w="1108"/>
          </w:tcPr>
          <w:p>
            <w:r/>
            <w:r>
              <w:rPr>
                <w:color w:val="111111"/>
                <w:sz w:val="16"/>
              </w:rPr>
              <w:t>Arsenal FC</w:t>
            </w:r>
          </w:p>
        </w:tc>
        <w:tc>
          <w:tcPr>
            <w:tcW w:type="dxa" w:w="1108"/>
          </w:tcPr>
          <w:p>
            <w:r/>
            <w:r>
              <w:rPr>
                <w:color w:val="111111"/>
                <w:sz w:val="16"/>
              </w:rPr>
              <w:t>25.1</w:t>
            </w:r>
          </w:p>
        </w:tc>
        <w:tc>
          <w:tcPr>
            <w:tcW w:type="dxa" w:w="1108"/>
          </w:tcPr>
          <w:p>
            <w:r/>
            <w:r>
              <w:rPr>
                <w:color w:val="111111"/>
                <w:sz w:val="16"/>
              </w:rPr>
              <w:t>1721</w:t>
            </w:r>
          </w:p>
        </w:tc>
        <w:tc>
          <w:tcPr>
            <w:tcW w:type="dxa" w:w="1108"/>
          </w:tcPr>
          <w:p>
            <w:r/>
            <w:r>
              <w:rPr>
                <w:color w:val="111111"/>
                <w:sz w:val="16"/>
              </w:rPr>
              <w:t>EUR 12.0m</w:t>
            </w:r>
          </w:p>
        </w:tc>
        <w:tc>
          <w:tcPr>
            <w:tcW w:type="dxa" w:w="1108"/>
          </w:tcPr>
          <w:p>
            <w:r/>
            <w:r>
              <w:rPr>
                <w:color w:val="111111"/>
                <w:sz w:val="16"/>
              </w:rPr>
              <w:t>81</w:t>
            </w:r>
          </w:p>
        </w:tc>
        <w:tc>
          <w:tcPr>
            <w:tcW w:type="dxa" w:w="1108"/>
          </w:tcPr>
          <w:p>
            <w:r/>
            <w:r>
              <w:rPr>
                <w:color w:val="111111"/>
                <w:sz w:val="16"/>
              </w:rPr>
              <w:t>82</w:t>
            </w:r>
          </w:p>
        </w:tc>
        <w:tc>
          <w:tcPr>
            <w:tcW w:type="dxa" w:w="1108"/>
          </w:tcPr>
          <w:p>
            <w:r/>
            <w:r>
              <w:rPr>
                <w:color w:val="111111"/>
                <w:sz w:val="16"/>
              </w:rPr>
              <w:t>74</w:t>
            </w:r>
          </w:p>
        </w:tc>
        <w:tc>
          <w:tcPr>
            <w:tcW w:type="dxa" w:w="1108"/>
          </w:tcPr>
          <w:p>
            <w:r/>
            <w:r>
              <w:rPr>
                <w:color w:val="111111"/>
                <w:sz w:val="16"/>
              </w:rPr>
              <w:t>80</w:t>
            </w:r>
          </w:p>
        </w:tc>
      </w:tr>
      <w:tr>
        <w:tc>
          <w:tcPr>
            <w:tcW w:type="dxa" w:w="1108"/>
          </w:tcPr>
          <w:p>
            <w:r/>
            <w:r>
              <w:rPr>
                <w:color w:val="111111"/>
                <w:sz w:val="16"/>
              </w:rPr>
              <w:t>Idrissa Gueye</w:t>
            </w:r>
          </w:p>
        </w:tc>
        <w:tc>
          <w:tcPr>
            <w:tcW w:type="dxa" w:w="1108"/>
          </w:tcPr>
          <w:p>
            <w:r/>
            <w:r>
              <w:rPr>
                <w:color w:val="111111"/>
                <w:sz w:val="16"/>
              </w:rPr>
              <w:t>Aston Villa</w:t>
            </w:r>
          </w:p>
        </w:tc>
        <w:tc>
          <w:tcPr>
            <w:tcW w:type="dxa" w:w="1108"/>
          </w:tcPr>
          <w:p>
            <w:r/>
            <w:r>
              <w:rPr>
                <w:color w:val="111111"/>
                <w:sz w:val="16"/>
              </w:rPr>
              <w:t>26.8</w:t>
            </w:r>
          </w:p>
        </w:tc>
        <w:tc>
          <w:tcPr>
            <w:tcW w:type="dxa" w:w="1108"/>
          </w:tcPr>
          <w:p>
            <w:r/>
            <w:r>
              <w:rPr>
                <w:color w:val="111111"/>
                <w:sz w:val="16"/>
              </w:rPr>
              <w:t>3073</w:t>
            </w:r>
          </w:p>
        </w:tc>
        <w:tc>
          <w:tcPr>
            <w:tcW w:type="dxa" w:w="1108"/>
          </w:tcPr>
          <w:p>
            <w:r/>
            <w:r>
              <w:rPr>
                <w:color w:val="111111"/>
                <w:sz w:val="16"/>
              </w:rPr>
              <w:t>EUR 9.0m</w:t>
            </w:r>
          </w:p>
        </w:tc>
        <w:tc>
          <w:tcPr>
            <w:tcW w:type="dxa" w:w="1108"/>
          </w:tcPr>
          <w:p>
            <w:r/>
            <w:r>
              <w:rPr>
                <w:color w:val="111111"/>
                <w:sz w:val="16"/>
              </w:rPr>
              <w:t>95</w:t>
            </w:r>
          </w:p>
        </w:tc>
        <w:tc>
          <w:tcPr>
            <w:tcW w:type="dxa" w:w="1108"/>
          </w:tcPr>
          <w:p>
            <w:r/>
            <w:r>
              <w:rPr>
                <w:color w:val="111111"/>
                <w:sz w:val="16"/>
              </w:rPr>
              <w:t>22</w:t>
            </w:r>
          </w:p>
        </w:tc>
        <w:tc>
          <w:tcPr>
            <w:tcW w:type="dxa" w:w="1108"/>
          </w:tcPr>
          <w:p>
            <w:r/>
            <w:r>
              <w:rPr>
                <w:color w:val="111111"/>
                <w:sz w:val="16"/>
              </w:rPr>
              <w:t>91</w:t>
            </w:r>
          </w:p>
        </w:tc>
        <w:tc>
          <w:tcPr>
            <w:tcW w:type="dxa" w:w="1108"/>
          </w:tcPr>
          <w:p>
            <w:r/>
            <w:r>
              <w:rPr>
                <w:color w:val="111111"/>
                <w:sz w:val="16"/>
              </w:rPr>
              <w:t>76</w:t>
            </w:r>
          </w:p>
        </w:tc>
      </w:tr>
      <w:tr>
        <w:tc>
          <w:tcPr>
            <w:tcW w:type="dxa" w:w="1108"/>
          </w:tcPr>
          <w:p>
            <w:r/>
            <w:r>
              <w:rPr>
                <w:color w:val="111111"/>
                <w:sz w:val="16"/>
              </w:rPr>
              <w:t>Victor Wanyama</w:t>
            </w:r>
          </w:p>
        </w:tc>
        <w:tc>
          <w:tcPr>
            <w:tcW w:type="dxa" w:w="1108"/>
          </w:tcPr>
          <w:p>
            <w:r/>
            <w:r>
              <w:rPr>
                <w:color w:val="111111"/>
                <w:sz w:val="16"/>
              </w:rPr>
              <w:t>Southampton FC</w:t>
            </w:r>
          </w:p>
        </w:tc>
        <w:tc>
          <w:tcPr>
            <w:tcW w:type="dxa" w:w="1108"/>
          </w:tcPr>
          <w:p>
            <w:r/>
            <w:r>
              <w:rPr>
                <w:color w:val="111111"/>
                <w:sz w:val="16"/>
              </w:rPr>
              <w:t>25.0</w:t>
            </w:r>
          </w:p>
        </w:tc>
        <w:tc>
          <w:tcPr>
            <w:tcW w:type="dxa" w:w="1108"/>
          </w:tcPr>
          <w:p>
            <w:r/>
            <w:r>
              <w:rPr>
                <w:color w:val="111111"/>
                <w:sz w:val="16"/>
              </w:rPr>
              <w:t>2564</w:t>
            </w:r>
          </w:p>
        </w:tc>
        <w:tc>
          <w:tcPr>
            <w:tcW w:type="dxa" w:w="1108"/>
          </w:tcPr>
          <w:p>
            <w:r/>
            <w:r>
              <w:rPr>
                <w:color w:val="111111"/>
                <w:sz w:val="16"/>
              </w:rPr>
              <w:t>EUR 15.0m</w:t>
            </w:r>
          </w:p>
        </w:tc>
        <w:tc>
          <w:tcPr>
            <w:tcW w:type="dxa" w:w="1108"/>
          </w:tcPr>
          <w:p>
            <w:r/>
            <w:r>
              <w:rPr>
                <w:color w:val="111111"/>
                <w:sz w:val="16"/>
              </w:rPr>
              <w:t>87</w:t>
            </w:r>
          </w:p>
        </w:tc>
        <w:tc>
          <w:tcPr>
            <w:tcW w:type="dxa" w:w="1108"/>
          </w:tcPr>
          <w:p>
            <w:r/>
            <w:r>
              <w:rPr>
                <w:color w:val="111111"/>
                <w:sz w:val="16"/>
              </w:rPr>
              <w:t>45</w:t>
            </w:r>
          </w:p>
        </w:tc>
        <w:tc>
          <w:tcPr>
            <w:tcW w:type="dxa" w:w="1108"/>
          </w:tcPr>
          <w:p>
            <w:r/>
            <w:r>
              <w:rPr>
                <w:color w:val="111111"/>
                <w:sz w:val="16"/>
              </w:rPr>
              <w:t>84</w:t>
            </w:r>
          </w:p>
        </w:tc>
        <w:tc>
          <w:tcPr>
            <w:tcW w:type="dxa" w:w="1108"/>
          </w:tcPr>
          <w:p>
            <w:r/>
            <w:r>
              <w:rPr>
                <w:color w:val="111111"/>
                <w:sz w:val="16"/>
              </w:rPr>
              <w:t>76</w:t>
            </w:r>
          </w:p>
        </w:tc>
      </w:tr>
      <w:tr>
        <w:tc>
          <w:tcPr>
            <w:tcW w:type="dxa" w:w="1108"/>
          </w:tcPr>
          <w:p>
            <w:r/>
            <w:r>
              <w:rPr>
                <w:color w:val="111111"/>
                <w:sz w:val="16"/>
              </w:rPr>
              <w:t>Oriol Romeu Vidal</w:t>
            </w:r>
          </w:p>
        </w:tc>
        <w:tc>
          <w:tcPr>
            <w:tcW w:type="dxa" w:w="1108"/>
          </w:tcPr>
          <w:p>
            <w:r/>
            <w:r>
              <w:rPr>
                <w:color w:val="111111"/>
                <w:sz w:val="16"/>
              </w:rPr>
              <w:t>Southampton FC</w:t>
            </w:r>
          </w:p>
        </w:tc>
        <w:tc>
          <w:tcPr>
            <w:tcW w:type="dxa" w:w="1108"/>
          </w:tcPr>
          <w:p>
            <w:r/>
            <w:r>
              <w:rPr>
                <w:color w:val="111111"/>
                <w:sz w:val="16"/>
              </w:rPr>
              <w:t>24.8</w:t>
            </w:r>
          </w:p>
        </w:tc>
        <w:tc>
          <w:tcPr>
            <w:tcW w:type="dxa" w:w="1108"/>
          </w:tcPr>
          <w:p>
            <w:r/>
            <w:r>
              <w:rPr>
                <w:color w:val="111111"/>
                <w:sz w:val="16"/>
              </w:rPr>
              <w:t>1610</w:t>
            </w:r>
          </w:p>
        </w:tc>
        <w:tc>
          <w:tcPr>
            <w:tcW w:type="dxa" w:w="1108"/>
          </w:tcPr>
          <w:p>
            <w:r/>
            <w:r>
              <w:rPr>
                <w:color w:val="111111"/>
                <w:sz w:val="16"/>
              </w:rPr>
              <w:t>EUR 5.0m</w:t>
            </w:r>
          </w:p>
        </w:tc>
        <w:tc>
          <w:tcPr>
            <w:tcW w:type="dxa" w:w="1108"/>
          </w:tcPr>
          <w:p>
            <w:r/>
            <w:r>
              <w:rPr>
                <w:color w:val="111111"/>
                <w:sz w:val="16"/>
              </w:rPr>
              <w:t>58</w:t>
            </w:r>
          </w:p>
        </w:tc>
        <w:tc>
          <w:tcPr>
            <w:tcW w:type="dxa" w:w="1108"/>
          </w:tcPr>
          <w:p>
            <w:r/>
            <w:r>
              <w:rPr>
                <w:color w:val="111111"/>
                <w:sz w:val="16"/>
              </w:rPr>
              <w:t>89</w:t>
            </w:r>
          </w:p>
        </w:tc>
        <w:tc>
          <w:tcPr>
            <w:tcW w:type="dxa" w:w="1108"/>
          </w:tcPr>
          <w:p>
            <w:r/>
            <w:r>
              <w:rPr>
                <w:color w:val="111111"/>
                <w:sz w:val="16"/>
              </w:rPr>
              <w:t>71</w:t>
            </w:r>
          </w:p>
        </w:tc>
        <w:tc>
          <w:tcPr>
            <w:tcW w:type="dxa" w:w="1108"/>
          </w:tcPr>
          <w:p>
            <w:r/>
            <w:r>
              <w:rPr>
                <w:color w:val="111111"/>
                <w:sz w:val="16"/>
              </w:rPr>
              <w:t>68</w:t>
            </w:r>
          </w:p>
        </w:tc>
      </w:tr>
      <w:tr>
        <w:tc>
          <w:tcPr>
            <w:tcW w:type="dxa" w:w="1108"/>
          </w:tcPr>
          <w:p>
            <w:r/>
            <w:r>
              <w:rPr>
                <w:color w:val="111111"/>
                <w:sz w:val="16"/>
              </w:rPr>
              <w:t>Aaron Ramsey</w:t>
            </w:r>
          </w:p>
        </w:tc>
        <w:tc>
          <w:tcPr>
            <w:tcW w:type="dxa" w:w="1108"/>
          </w:tcPr>
          <w:p>
            <w:r/>
            <w:r>
              <w:rPr>
                <w:color w:val="111111"/>
                <w:sz w:val="16"/>
              </w:rPr>
              <w:t>Arsenal FC</w:t>
            </w:r>
          </w:p>
        </w:tc>
        <w:tc>
          <w:tcPr>
            <w:tcW w:type="dxa" w:w="1108"/>
          </w:tcPr>
          <w:p>
            <w:r/>
            <w:r>
              <w:rPr>
                <w:color w:val="111111"/>
                <w:sz w:val="16"/>
              </w:rPr>
              <w:t>25.5</w:t>
            </w:r>
          </w:p>
        </w:tc>
        <w:tc>
          <w:tcPr>
            <w:tcW w:type="dxa" w:w="1108"/>
          </w:tcPr>
          <w:p>
            <w:r/>
            <w:r>
              <w:rPr>
                <w:color w:val="111111"/>
                <w:sz w:val="16"/>
              </w:rPr>
              <w:t>2622</w:t>
            </w:r>
          </w:p>
        </w:tc>
        <w:tc>
          <w:tcPr>
            <w:tcW w:type="dxa" w:w="1108"/>
          </w:tcPr>
          <w:p>
            <w:r/>
            <w:r>
              <w:rPr>
                <w:color w:val="111111"/>
                <w:sz w:val="16"/>
              </w:rPr>
              <w:t>EUR 30.0m</w:t>
            </w:r>
          </w:p>
        </w:tc>
        <w:tc>
          <w:tcPr>
            <w:tcW w:type="dxa" w:w="1108"/>
          </w:tcPr>
          <w:p>
            <w:r/>
            <w:r>
              <w:rPr>
                <w:color w:val="111111"/>
                <w:sz w:val="16"/>
              </w:rPr>
              <w:t>62</w:t>
            </w:r>
          </w:p>
        </w:tc>
        <w:tc>
          <w:tcPr>
            <w:tcW w:type="dxa" w:w="1108"/>
          </w:tcPr>
          <w:p>
            <w:r/>
            <w:r>
              <w:rPr>
                <w:color w:val="111111"/>
                <w:sz w:val="16"/>
              </w:rPr>
              <w:t>63</w:t>
            </w:r>
          </w:p>
        </w:tc>
        <w:tc>
          <w:tcPr>
            <w:tcW w:type="dxa" w:w="1108"/>
          </w:tcPr>
          <w:p>
            <w:r/>
            <w:r>
              <w:rPr>
                <w:color w:val="111111"/>
                <w:sz w:val="16"/>
              </w:rPr>
              <w:t>89</w:t>
            </w:r>
          </w:p>
        </w:tc>
        <w:tc>
          <w:tcPr>
            <w:tcW w:type="dxa" w:w="1108"/>
          </w:tcPr>
          <w:p>
            <w:r/>
            <w:r>
              <w:rPr>
                <w:color w:val="111111"/>
                <w:sz w:val="16"/>
              </w:rPr>
              <w:t>68</w:t>
            </w:r>
          </w:p>
        </w:tc>
      </w:tr>
      <w:tr>
        <w:tc>
          <w:tcPr>
            <w:tcW w:type="dxa" w:w="1108"/>
          </w:tcPr>
          <w:p>
            <w:r/>
            <w:r>
              <w:rPr>
                <w:color w:val="111111"/>
                <w:sz w:val="16"/>
              </w:rPr>
              <w:t>Emre Can</w:t>
            </w:r>
          </w:p>
        </w:tc>
        <w:tc>
          <w:tcPr>
            <w:tcW w:type="dxa" w:w="1108"/>
          </w:tcPr>
          <w:p>
            <w:r/>
            <w:r>
              <w:rPr>
                <w:color w:val="111111"/>
                <w:sz w:val="16"/>
              </w:rPr>
              <w:t>Liverpool FC</w:t>
            </w:r>
          </w:p>
        </w:tc>
        <w:tc>
          <w:tcPr>
            <w:tcW w:type="dxa" w:w="1108"/>
          </w:tcPr>
          <w:p>
            <w:r/>
            <w:r>
              <w:rPr>
                <w:color w:val="111111"/>
                <w:sz w:val="16"/>
              </w:rPr>
              <w:t>22.5</w:t>
            </w:r>
          </w:p>
        </w:tc>
        <w:tc>
          <w:tcPr>
            <w:tcW w:type="dxa" w:w="1108"/>
          </w:tcPr>
          <w:p>
            <w:r/>
            <w:r>
              <w:rPr>
                <w:color w:val="111111"/>
                <w:sz w:val="16"/>
              </w:rPr>
              <w:t>2492</w:t>
            </w:r>
          </w:p>
        </w:tc>
        <w:tc>
          <w:tcPr>
            <w:tcW w:type="dxa" w:w="1108"/>
          </w:tcPr>
          <w:p>
            <w:r/>
            <w:r>
              <w:rPr>
                <w:color w:val="111111"/>
                <w:sz w:val="16"/>
              </w:rPr>
              <w:t>EUR 18.0m</w:t>
            </w:r>
          </w:p>
        </w:tc>
        <w:tc>
          <w:tcPr>
            <w:tcW w:type="dxa" w:w="1108"/>
          </w:tcPr>
          <w:p>
            <w:r/>
            <w:r>
              <w:rPr>
                <w:color w:val="111111"/>
                <w:sz w:val="16"/>
              </w:rPr>
              <w:t>73</w:t>
            </w:r>
          </w:p>
        </w:tc>
        <w:tc>
          <w:tcPr>
            <w:tcW w:type="dxa" w:w="1108"/>
          </w:tcPr>
          <w:p>
            <w:r/>
            <w:r>
              <w:rPr>
                <w:color w:val="111111"/>
                <w:sz w:val="16"/>
              </w:rPr>
              <w:t>41</w:t>
            </w:r>
          </w:p>
        </w:tc>
        <w:tc>
          <w:tcPr>
            <w:tcW w:type="dxa" w:w="1108"/>
          </w:tcPr>
          <w:p>
            <w:r/>
            <w:r>
              <w:rPr>
                <w:color w:val="111111"/>
                <w:sz w:val="16"/>
              </w:rPr>
              <w:t>83</w:t>
            </w:r>
          </w:p>
        </w:tc>
        <w:tc>
          <w:tcPr>
            <w:tcW w:type="dxa" w:w="1108"/>
          </w:tcPr>
          <w:p>
            <w:r/>
            <w:r>
              <w:rPr>
                <w:color w:val="111111"/>
                <w:sz w:val="16"/>
              </w:rPr>
              <w:t>67</w:t>
            </w:r>
          </w:p>
        </w:tc>
      </w:tr>
      <w:tr>
        <w:tc>
          <w:tcPr>
            <w:tcW w:type="dxa" w:w="1108"/>
          </w:tcPr>
          <w:p>
            <w:r/>
            <w:r>
              <w:rPr>
                <w:color w:val="111111"/>
                <w:sz w:val="16"/>
              </w:rPr>
              <w:t>Yann M'Vila</w:t>
            </w:r>
          </w:p>
        </w:tc>
        <w:tc>
          <w:tcPr>
            <w:tcW w:type="dxa" w:w="1108"/>
          </w:tcPr>
          <w:p>
            <w:r/>
            <w:r>
              <w:rPr>
                <w:color w:val="111111"/>
                <w:sz w:val="16"/>
              </w:rPr>
              <w:t>Sunderland AFC</w:t>
            </w:r>
          </w:p>
        </w:tc>
        <w:tc>
          <w:tcPr>
            <w:tcW w:type="dxa" w:w="1108"/>
          </w:tcPr>
          <w:p>
            <w:r/>
            <w:r>
              <w:rPr>
                <w:color w:val="111111"/>
                <w:sz w:val="16"/>
              </w:rPr>
              <w:t>26.0</w:t>
            </w:r>
          </w:p>
        </w:tc>
        <w:tc>
          <w:tcPr>
            <w:tcW w:type="dxa" w:w="1108"/>
          </w:tcPr>
          <w:p>
            <w:r/>
            <w:r>
              <w:rPr>
                <w:color w:val="111111"/>
                <w:sz w:val="16"/>
              </w:rPr>
              <w:t>3188</w:t>
            </w:r>
          </w:p>
        </w:tc>
        <w:tc>
          <w:tcPr>
            <w:tcW w:type="dxa" w:w="1108"/>
          </w:tcPr>
          <w:p>
            <w:r/>
            <w:r>
              <w:rPr>
                <w:color w:val="111111"/>
                <w:sz w:val="16"/>
              </w:rPr>
              <w:t>EUR 7.0m</w:t>
            </w:r>
          </w:p>
        </w:tc>
        <w:tc>
          <w:tcPr>
            <w:tcW w:type="dxa" w:w="1108"/>
          </w:tcPr>
          <w:p>
            <w:r/>
            <w:r>
              <w:rPr>
                <w:color w:val="111111"/>
                <w:sz w:val="16"/>
              </w:rPr>
              <w:t>71</w:t>
            </w:r>
          </w:p>
        </w:tc>
        <w:tc>
          <w:tcPr>
            <w:tcW w:type="dxa" w:w="1108"/>
          </w:tcPr>
          <w:p>
            <w:r/>
            <w:r>
              <w:rPr>
                <w:color w:val="111111"/>
                <w:sz w:val="16"/>
              </w:rPr>
              <w:t>42</w:t>
            </w:r>
          </w:p>
        </w:tc>
        <w:tc>
          <w:tcPr>
            <w:tcW w:type="dxa" w:w="1108"/>
          </w:tcPr>
          <w:p>
            <w:r/>
            <w:r>
              <w:rPr>
                <w:color w:val="111111"/>
                <w:sz w:val="16"/>
              </w:rPr>
              <w:t>86</w:t>
            </w:r>
          </w:p>
        </w:tc>
        <w:tc>
          <w:tcPr>
            <w:tcW w:type="dxa" w:w="1108"/>
          </w:tcPr>
          <w:p>
            <w:r/>
            <w:r>
              <w:rPr>
                <w:color w:val="111111"/>
                <w:sz w:val="16"/>
              </w:rPr>
              <w:t>67</w:t>
            </w:r>
          </w:p>
        </w:tc>
      </w:tr>
      <w:tr>
        <w:tc>
          <w:tcPr>
            <w:tcW w:type="dxa" w:w="1108"/>
          </w:tcPr>
          <w:p>
            <w:r/>
            <w:r>
              <w:rPr>
                <w:color w:val="111111"/>
                <w:sz w:val="16"/>
              </w:rPr>
              <w:t>Harry Arter</w:t>
            </w:r>
          </w:p>
        </w:tc>
        <w:tc>
          <w:tcPr>
            <w:tcW w:type="dxa" w:w="1108"/>
          </w:tcPr>
          <w:p>
            <w:r/>
            <w:r>
              <w:rPr>
                <w:color w:val="111111"/>
                <w:sz w:val="16"/>
              </w:rPr>
              <w:t>AFC Bournemouth</w:t>
            </w:r>
          </w:p>
        </w:tc>
        <w:tc>
          <w:tcPr>
            <w:tcW w:type="dxa" w:w="1108"/>
          </w:tcPr>
          <w:p>
            <w:r/>
            <w:r>
              <w:rPr>
                <w:color w:val="111111"/>
                <w:sz w:val="16"/>
              </w:rPr>
              <w:t>26.5</w:t>
            </w:r>
          </w:p>
        </w:tc>
        <w:tc>
          <w:tcPr>
            <w:tcW w:type="dxa" w:w="1108"/>
          </w:tcPr>
          <w:p>
            <w:r/>
            <w:r>
              <w:rPr>
                <w:color w:val="111111"/>
                <w:sz w:val="16"/>
              </w:rPr>
              <w:t>1666</w:t>
            </w:r>
          </w:p>
        </w:tc>
        <w:tc>
          <w:tcPr>
            <w:tcW w:type="dxa" w:w="1108"/>
          </w:tcPr>
          <w:p>
            <w:r/>
            <w:r>
              <w:rPr>
                <w:color w:val="111111"/>
                <w:sz w:val="16"/>
              </w:rPr>
              <w:t>EUR 1.5m</w:t>
            </w:r>
          </w:p>
        </w:tc>
        <w:tc>
          <w:tcPr>
            <w:tcW w:type="dxa" w:w="1108"/>
          </w:tcPr>
          <w:p>
            <w:r/>
            <w:r>
              <w:rPr>
                <w:color w:val="111111"/>
                <w:sz w:val="16"/>
              </w:rPr>
              <w:t>51</w:t>
            </w:r>
          </w:p>
        </w:tc>
        <w:tc>
          <w:tcPr>
            <w:tcW w:type="dxa" w:w="1108"/>
          </w:tcPr>
          <w:p>
            <w:r/>
            <w:r>
              <w:rPr>
                <w:color w:val="111111"/>
                <w:sz w:val="16"/>
              </w:rPr>
              <w:t>100</w:t>
            </w:r>
          </w:p>
        </w:tc>
        <w:tc>
          <w:tcPr>
            <w:tcW w:type="dxa" w:w="1108"/>
          </w:tcPr>
          <w:p>
            <w:r/>
            <w:r>
              <w:rPr>
                <w:color w:val="111111"/>
                <w:sz w:val="16"/>
              </w:rPr>
              <w:t>44</w:t>
            </w:r>
          </w:p>
        </w:tc>
        <w:tc>
          <w:tcPr>
            <w:tcW w:type="dxa" w:w="1108"/>
          </w:tcPr>
          <w:p>
            <w:r/>
            <w:r>
              <w:rPr>
                <w:color w:val="111111"/>
                <w:sz w:val="16"/>
              </w:rPr>
              <w:t>62</w:t>
            </w:r>
          </w:p>
        </w:tc>
      </w:tr>
    </w:tbl>
    <w:p>
      <w:r>
        <w:rPr>
          <w:i w:val="0"/>
          <w:color w:val="555555"/>
          <w:sz w:val="16"/>
        </w:rPr>
        <w:t>Table B1: Top eight central midfield candidates, balanced score</w:t>
      </w:r>
    </w:p>
    <w:p>
      <w:r>
        <w:br w:type="page"/>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E6E6E6"/>
          </w:tcPr>
          <w:p>
            <w:r/>
            <w:r>
              <w:rPr>
                <w:b/>
                <w:color w:val="111111"/>
                <w:sz w:val="16"/>
              </w:rPr>
              <w:t>Player</w:t>
            </w:r>
          </w:p>
        </w:tc>
        <w:tc>
          <w:tcPr>
            <w:tcW w:type="dxa" w:w="1108"/>
            <w:shd w:fill="E6E6E6"/>
          </w:tcPr>
          <w:p>
            <w:r/>
            <w:r>
              <w:rPr>
                <w:b/>
                <w:color w:val="111111"/>
                <w:sz w:val="16"/>
              </w:rPr>
              <w:t>Club</w:t>
            </w:r>
          </w:p>
        </w:tc>
        <w:tc>
          <w:tcPr>
            <w:tcW w:type="dxa" w:w="1108"/>
            <w:shd w:fill="E6E6E6"/>
          </w:tcPr>
          <w:p>
            <w:r/>
            <w:r>
              <w:rPr>
                <w:b/>
                <w:color w:val="111111"/>
                <w:sz w:val="16"/>
              </w:rPr>
              <w:t>Age</w:t>
            </w:r>
          </w:p>
        </w:tc>
        <w:tc>
          <w:tcPr>
            <w:tcW w:type="dxa" w:w="1108"/>
            <w:shd w:fill="E6E6E6"/>
          </w:tcPr>
          <w:p>
            <w:r/>
            <w:r>
              <w:rPr>
                <w:b/>
                <w:color w:val="111111"/>
                <w:sz w:val="16"/>
              </w:rPr>
              <w:t>Minutes</w:t>
            </w:r>
          </w:p>
        </w:tc>
        <w:tc>
          <w:tcPr>
            <w:tcW w:type="dxa" w:w="1108"/>
            <w:shd w:fill="E6E6E6"/>
          </w:tcPr>
          <w:p>
            <w:r/>
            <w:r>
              <w:rPr>
                <w:b/>
                <w:color w:val="111111"/>
                <w:sz w:val="16"/>
              </w:rPr>
              <w:t>Fee</w:t>
            </w:r>
          </w:p>
        </w:tc>
        <w:tc>
          <w:tcPr>
            <w:tcW w:type="dxa" w:w="1108"/>
            <w:shd w:fill="E6E6E6"/>
          </w:tcPr>
          <w:p>
            <w:r/>
            <w:r>
              <w:rPr>
                <w:b/>
                <w:color w:val="111111"/>
                <w:sz w:val="16"/>
              </w:rPr>
              <w:t>Fit</w:t>
            </w:r>
          </w:p>
        </w:tc>
        <w:tc>
          <w:tcPr>
            <w:tcW w:type="dxa" w:w="1108"/>
            <w:shd w:fill="E6E6E6"/>
          </w:tcPr>
          <w:p>
            <w:r/>
            <w:r>
              <w:rPr>
                <w:b/>
                <w:color w:val="111111"/>
                <w:sz w:val="16"/>
              </w:rPr>
              <w:t>Value</w:t>
            </w:r>
          </w:p>
        </w:tc>
        <w:tc>
          <w:tcPr>
            <w:tcW w:type="dxa" w:w="1108"/>
            <w:shd w:fill="E6E6E6"/>
          </w:tcPr>
          <w:p>
            <w:r/>
            <w:r>
              <w:rPr>
                <w:b/>
                <w:color w:val="111111"/>
                <w:sz w:val="16"/>
              </w:rPr>
              <w:t>Safety</w:t>
            </w:r>
          </w:p>
        </w:tc>
        <w:tc>
          <w:tcPr>
            <w:tcW w:type="dxa" w:w="1108"/>
            <w:shd w:fill="E6E6E6"/>
          </w:tcPr>
          <w:p>
            <w:r/>
            <w:r>
              <w:rPr>
                <w:b/>
                <w:color w:val="111111"/>
                <w:sz w:val="16"/>
              </w:rPr>
              <w:t>Score</w:t>
            </w:r>
          </w:p>
        </w:tc>
      </w:tr>
      <w:tr>
        <w:tc>
          <w:tcPr>
            <w:tcW w:type="dxa" w:w="1108"/>
          </w:tcPr>
          <w:p>
            <w:r/>
            <w:r>
              <w:rPr>
                <w:color w:val="111111"/>
                <w:sz w:val="16"/>
              </w:rPr>
              <w:t>Steve Cook</w:t>
            </w:r>
          </w:p>
        </w:tc>
        <w:tc>
          <w:tcPr>
            <w:tcW w:type="dxa" w:w="1108"/>
          </w:tcPr>
          <w:p>
            <w:r/>
            <w:r>
              <w:rPr>
                <w:color w:val="111111"/>
                <w:sz w:val="16"/>
              </w:rPr>
              <w:t>AFC Bournemouth</w:t>
            </w:r>
          </w:p>
        </w:tc>
        <w:tc>
          <w:tcPr>
            <w:tcW w:type="dxa" w:w="1108"/>
          </w:tcPr>
          <w:p>
            <w:r/>
            <w:r>
              <w:rPr>
                <w:color w:val="111111"/>
                <w:sz w:val="16"/>
              </w:rPr>
              <w:t>25.2</w:t>
            </w:r>
          </w:p>
        </w:tc>
        <w:tc>
          <w:tcPr>
            <w:tcW w:type="dxa" w:w="1108"/>
          </w:tcPr>
          <w:p>
            <w:r/>
            <w:r>
              <w:rPr>
                <w:color w:val="111111"/>
                <w:sz w:val="16"/>
              </w:rPr>
              <w:t>3195</w:t>
            </w:r>
          </w:p>
        </w:tc>
        <w:tc>
          <w:tcPr>
            <w:tcW w:type="dxa" w:w="1108"/>
          </w:tcPr>
          <w:p>
            <w:r/>
            <w:r>
              <w:rPr>
                <w:color w:val="111111"/>
                <w:sz w:val="16"/>
              </w:rPr>
              <w:t>EUR 3.0m</w:t>
            </w:r>
          </w:p>
        </w:tc>
        <w:tc>
          <w:tcPr>
            <w:tcW w:type="dxa" w:w="1108"/>
          </w:tcPr>
          <w:p>
            <w:r/>
            <w:r>
              <w:rPr>
                <w:color w:val="111111"/>
                <w:sz w:val="16"/>
              </w:rPr>
              <w:t>57</w:t>
            </w:r>
          </w:p>
        </w:tc>
        <w:tc>
          <w:tcPr>
            <w:tcW w:type="dxa" w:w="1108"/>
          </w:tcPr>
          <w:p>
            <w:r/>
            <w:r>
              <w:rPr>
                <w:color w:val="111111"/>
                <w:sz w:val="16"/>
              </w:rPr>
              <w:t>100</w:t>
            </w:r>
          </w:p>
        </w:tc>
        <w:tc>
          <w:tcPr>
            <w:tcW w:type="dxa" w:w="1108"/>
          </w:tcPr>
          <w:p>
            <w:r/>
            <w:r>
              <w:rPr>
                <w:color w:val="111111"/>
                <w:sz w:val="16"/>
              </w:rPr>
              <w:t>96</w:t>
            </w:r>
          </w:p>
        </w:tc>
        <w:tc>
          <w:tcPr>
            <w:tcW w:type="dxa" w:w="1108"/>
          </w:tcPr>
          <w:p>
            <w:r/>
            <w:r>
              <w:rPr>
                <w:color w:val="111111"/>
                <w:sz w:val="16"/>
              </w:rPr>
              <w:t>76</w:t>
            </w:r>
          </w:p>
        </w:tc>
      </w:tr>
      <w:tr>
        <w:tc>
          <w:tcPr>
            <w:tcW w:type="dxa" w:w="1108"/>
          </w:tcPr>
          <w:p>
            <w:r/>
            <w:r>
              <w:rPr>
                <w:color w:val="111111"/>
                <w:sz w:val="16"/>
              </w:rPr>
              <w:t>Virgil van Dijk</w:t>
            </w:r>
          </w:p>
        </w:tc>
        <w:tc>
          <w:tcPr>
            <w:tcW w:type="dxa" w:w="1108"/>
          </w:tcPr>
          <w:p>
            <w:r/>
            <w:r>
              <w:rPr>
                <w:color w:val="111111"/>
                <w:sz w:val="16"/>
              </w:rPr>
              <w:t>Southampton FC</w:t>
            </w:r>
          </w:p>
        </w:tc>
        <w:tc>
          <w:tcPr>
            <w:tcW w:type="dxa" w:w="1108"/>
          </w:tcPr>
          <w:p>
            <w:r/>
            <w:r>
              <w:rPr>
                <w:color w:val="111111"/>
                <w:sz w:val="16"/>
              </w:rPr>
              <w:t>25.0</w:t>
            </w:r>
          </w:p>
        </w:tc>
        <w:tc>
          <w:tcPr>
            <w:tcW w:type="dxa" w:w="1108"/>
          </w:tcPr>
          <w:p>
            <w:r/>
            <w:r>
              <w:rPr>
                <w:color w:val="111111"/>
                <w:sz w:val="16"/>
              </w:rPr>
              <w:t>3060</w:t>
            </w:r>
          </w:p>
        </w:tc>
        <w:tc>
          <w:tcPr>
            <w:tcW w:type="dxa" w:w="1108"/>
          </w:tcPr>
          <w:p>
            <w:r/>
            <w:r>
              <w:rPr>
                <w:color w:val="111111"/>
                <w:sz w:val="16"/>
              </w:rPr>
              <w:t>EUR 12.0m</w:t>
            </w:r>
          </w:p>
        </w:tc>
        <w:tc>
          <w:tcPr>
            <w:tcW w:type="dxa" w:w="1108"/>
          </w:tcPr>
          <w:p>
            <w:r/>
            <w:r>
              <w:rPr>
                <w:color w:val="111111"/>
                <w:sz w:val="16"/>
              </w:rPr>
              <w:t>57</w:t>
            </w:r>
          </w:p>
        </w:tc>
        <w:tc>
          <w:tcPr>
            <w:tcW w:type="dxa" w:w="1108"/>
          </w:tcPr>
          <w:p>
            <w:r/>
            <w:r>
              <w:rPr>
                <w:color w:val="111111"/>
                <w:sz w:val="16"/>
              </w:rPr>
              <w:t>83</w:t>
            </w:r>
          </w:p>
        </w:tc>
        <w:tc>
          <w:tcPr>
            <w:tcW w:type="dxa" w:w="1108"/>
          </w:tcPr>
          <w:p>
            <w:r/>
            <w:r>
              <w:rPr>
                <w:color w:val="111111"/>
                <w:sz w:val="16"/>
              </w:rPr>
              <w:t>95</w:t>
            </w:r>
          </w:p>
        </w:tc>
        <w:tc>
          <w:tcPr>
            <w:tcW w:type="dxa" w:w="1108"/>
          </w:tcPr>
          <w:p>
            <w:r/>
            <w:r>
              <w:rPr>
                <w:color w:val="111111"/>
                <w:sz w:val="16"/>
              </w:rPr>
              <w:t>71</w:t>
            </w:r>
          </w:p>
        </w:tc>
      </w:tr>
      <w:tr>
        <w:tc>
          <w:tcPr>
            <w:tcW w:type="dxa" w:w="1108"/>
          </w:tcPr>
          <w:p>
            <w:r/>
            <w:r>
              <w:rPr>
                <w:color w:val="111111"/>
                <w:sz w:val="16"/>
              </w:rPr>
              <w:t>Ramiro Funes Mori</w:t>
            </w:r>
          </w:p>
        </w:tc>
        <w:tc>
          <w:tcPr>
            <w:tcW w:type="dxa" w:w="1108"/>
          </w:tcPr>
          <w:p>
            <w:r/>
            <w:r>
              <w:rPr>
                <w:color w:val="111111"/>
                <w:sz w:val="16"/>
              </w:rPr>
              <w:t>Everton FC</w:t>
            </w:r>
          </w:p>
        </w:tc>
        <w:tc>
          <w:tcPr>
            <w:tcW w:type="dxa" w:w="1108"/>
          </w:tcPr>
          <w:p>
            <w:r/>
            <w:r>
              <w:rPr>
                <w:color w:val="111111"/>
                <w:sz w:val="16"/>
              </w:rPr>
              <w:t>25.3</w:t>
            </w:r>
          </w:p>
        </w:tc>
        <w:tc>
          <w:tcPr>
            <w:tcW w:type="dxa" w:w="1108"/>
          </w:tcPr>
          <w:p>
            <w:r/>
            <w:r>
              <w:rPr>
                <w:color w:val="111111"/>
                <w:sz w:val="16"/>
              </w:rPr>
              <w:t>2232</w:t>
            </w:r>
          </w:p>
        </w:tc>
        <w:tc>
          <w:tcPr>
            <w:tcW w:type="dxa" w:w="1108"/>
          </w:tcPr>
          <w:p>
            <w:r/>
            <w:r>
              <w:rPr>
                <w:color w:val="111111"/>
                <w:sz w:val="16"/>
              </w:rPr>
              <w:t>EUR 10.0m</w:t>
            </w:r>
          </w:p>
        </w:tc>
        <w:tc>
          <w:tcPr>
            <w:tcW w:type="dxa" w:w="1108"/>
          </w:tcPr>
          <w:p>
            <w:r/>
            <w:r>
              <w:rPr>
                <w:color w:val="111111"/>
                <w:sz w:val="16"/>
              </w:rPr>
              <w:t>68</w:t>
            </w:r>
          </w:p>
        </w:tc>
        <w:tc>
          <w:tcPr>
            <w:tcW w:type="dxa" w:w="1108"/>
          </w:tcPr>
          <w:p>
            <w:r/>
            <w:r>
              <w:rPr>
                <w:color w:val="111111"/>
                <w:sz w:val="16"/>
              </w:rPr>
              <w:t>60</w:t>
            </w:r>
          </w:p>
        </w:tc>
        <w:tc>
          <w:tcPr>
            <w:tcW w:type="dxa" w:w="1108"/>
          </w:tcPr>
          <w:p>
            <w:r/>
            <w:r>
              <w:rPr>
                <w:color w:val="111111"/>
                <w:sz w:val="16"/>
              </w:rPr>
              <w:t>82</w:t>
            </w:r>
          </w:p>
        </w:tc>
        <w:tc>
          <w:tcPr>
            <w:tcW w:type="dxa" w:w="1108"/>
          </w:tcPr>
          <w:p>
            <w:r/>
            <w:r>
              <w:rPr>
                <w:color w:val="111111"/>
                <w:sz w:val="16"/>
              </w:rPr>
              <w:t>69</w:t>
            </w:r>
          </w:p>
        </w:tc>
      </w:tr>
      <w:tr>
        <w:tc>
          <w:tcPr>
            <w:tcW w:type="dxa" w:w="1108"/>
          </w:tcPr>
          <w:p>
            <w:r/>
            <w:r>
              <w:rPr>
                <w:color w:val="111111"/>
                <w:sz w:val="16"/>
              </w:rPr>
              <w:t>Gabriel Armando de Abreu</w:t>
            </w:r>
          </w:p>
        </w:tc>
        <w:tc>
          <w:tcPr>
            <w:tcW w:type="dxa" w:w="1108"/>
          </w:tcPr>
          <w:p>
            <w:r/>
            <w:r>
              <w:rPr>
                <w:color w:val="111111"/>
                <w:sz w:val="16"/>
              </w:rPr>
              <w:t>Arsenal FC</w:t>
            </w:r>
          </w:p>
        </w:tc>
        <w:tc>
          <w:tcPr>
            <w:tcW w:type="dxa" w:w="1108"/>
          </w:tcPr>
          <w:p>
            <w:r/>
            <w:r>
              <w:rPr>
                <w:color w:val="111111"/>
                <w:sz w:val="16"/>
              </w:rPr>
              <w:t>25.6</w:t>
            </w:r>
          </w:p>
        </w:tc>
        <w:tc>
          <w:tcPr>
            <w:tcW w:type="dxa" w:w="1108"/>
          </w:tcPr>
          <w:p>
            <w:r/>
            <w:r>
              <w:rPr>
                <w:color w:val="111111"/>
                <w:sz w:val="16"/>
              </w:rPr>
              <w:t>1808</w:t>
            </w:r>
          </w:p>
        </w:tc>
        <w:tc>
          <w:tcPr>
            <w:tcW w:type="dxa" w:w="1108"/>
          </w:tcPr>
          <w:p>
            <w:r/>
            <w:r>
              <w:rPr>
                <w:color w:val="111111"/>
                <w:sz w:val="16"/>
              </w:rPr>
              <w:t>EUR 12.0m</w:t>
            </w:r>
          </w:p>
        </w:tc>
        <w:tc>
          <w:tcPr>
            <w:tcW w:type="dxa" w:w="1108"/>
          </w:tcPr>
          <w:p>
            <w:r/>
            <w:r>
              <w:rPr>
                <w:color w:val="111111"/>
                <w:sz w:val="16"/>
              </w:rPr>
              <w:t>55</w:t>
            </w:r>
          </w:p>
        </w:tc>
        <w:tc>
          <w:tcPr>
            <w:tcW w:type="dxa" w:w="1108"/>
          </w:tcPr>
          <w:p>
            <w:r/>
            <w:r>
              <w:rPr>
                <w:color w:val="111111"/>
                <w:sz w:val="16"/>
              </w:rPr>
              <w:t>85</w:t>
            </w:r>
          </w:p>
        </w:tc>
        <w:tc>
          <w:tcPr>
            <w:tcW w:type="dxa" w:w="1108"/>
          </w:tcPr>
          <w:p>
            <w:r/>
            <w:r>
              <w:rPr>
                <w:color w:val="111111"/>
                <w:sz w:val="16"/>
              </w:rPr>
              <w:t>78</w:t>
            </w:r>
          </w:p>
        </w:tc>
        <w:tc>
          <w:tcPr>
            <w:tcW w:type="dxa" w:w="1108"/>
          </w:tcPr>
          <w:p>
            <w:r/>
            <w:r>
              <w:rPr>
                <w:color w:val="111111"/>
                <w:sz w:val="16"/>
              </w:rPr>
              <w:t>67</w:t>
            </w:r>
          </w:p>
        </w:tc>
      </w:tr>
      <w:tr>
        <w:tc>
          <w:tcPr>
            <w:tcW w:type="dxa" w:w="1108"/>
          </w:tcPr>
          <w:p>
            <w:r/>
            <w:r>
              <w:rPr>
                <w:color w:val="111111"/>
                <w:sz w:val="16"/>
              </w:rPr>
              <w:t>Daley Blind</w:t>
            </w:r>
          </w:p>
        </w:tc>
        <w:tc>
          <w:tcPr>
            <w:tcW w:type="dxa" w:w="1108"/>
          </w:tcPr>
          <w:p>
            <w:r/>
            <w:r>
              <w:rPr>
                <w:color w:val="111111"/>
                <w:sz w:val="16"/>
              </w:rPr>
              <w:t>Manchester United</w:t>
            </w:r>
          </w:p>
        </w:tc>
        <w:tc>
          <w:tcPr>
            <w:tcW w:type="dxa" w:w="1108"/>
          </w:tcPr>
          <w:p>
            <w:r/>
            <w:r>
              <w:rPr>
                <w:color w:val="111111"/>
                <w:sz w:val="16"/>
              </w:rPr>
              <w:t>26.3</w:t>
            </w:r>
          </w:p>
        </w:tc>
        <w:tc>
          <w:tcPr>
            <w:tcW w:type="dxa" w:w="1108"/>
          </w:tcPr>
          <w:p>
            <w:r/>
            <w:r>
              <w:rPr>
                <w:color w:val="111111"/>
                <w:sz w:val="16"/>
              </w:rPr>
              <w:t>3115</w:t>
            </w:r>
          </w:p>
        </w:tc>
        <w:tc>
          <w:tcPr>
            <w:tcW w:type="dxa" w:w="1108"/>
          </w:tcPr>
          <w:p>
            <w:r/>
            <w:r>
              <w:rPr>
                <w:color w:val="111111"/>
                <w:sz w:val="16"/>
              </w:rPr>
              <w:t>EUR 19.0m</w:t>
            </w:r>
          </w:p>
        </w:tc>
        <w:tc>
          <w:tcPr>
            <w:tcW w:type="dxa" w:w="1108"/>
          </w:tcPr>
          <w:p>
            <w:r/>
            <w:r>
              <w:rPr>
                <w:color w:val="111111"/>
                <w:sz w:val="16"/>
              </w:rPr>
              <w:t>58</w:t>
            </w:r>
          </w:p>
        </w:tc>
        <w:tc>
          <w:tcPr>
            <w:tcW w:type="dxa" w:w="1108"/>
          </w:tcPr>
          <w:p>
            <w:r/>
            <w:r>
              <w:rPr>
                <w:color w:val="111111"/>
                <w:sz w:val="16"/>
              </w:rPr>
              <w:t>52</w:t>
            </w:r>
          </w:p>
        </w:tc>
        <w:tc>
          <w:tcPr>
            <w:tcW w:type="dxa" w:w="1108"/>
          </w:tcPr>
          <w:p>
            <w:r/>
            <w:r>
              <w:rPr>
                <w:color w:val="111111"/>
                <w:sz w:val="16"/>
              </w:rPr>
              <w:t>95</w:t>
            </w:r>
          </w:p>
        </w:tc>
        <w:tc>
          <w:tcPr>
            <w:tcW w:type="dxa" w:w="1108"/>
          </w:tcPr>
          <w:p>
            <w:r/>
            <w:r>
              <w:rPr>
                <w:color w:val="111111"/>
                <w:sz w:val="16"/>
              </w:rPr>
              <w:t>64</w:t>
            </w:r>
          </w:p>
        </w:tc>
      </w:tr>
      <w:tr>
        <w:tc>
          <w:tcPr>
            <w:tcW w:type="dxa" w:w="1108"/>
          </w:tcPr>
          <w:p>
            <w:r/>
            <w:r>
              <w:rPr>
                <w:color w:val="111111"/>
                <w:sz w:val="16"/>
              </w:rPr>
              <w:t>Dejan Lovren</w:t>
            </w:r>
          </w:p>
        </w:tc>
        <w:tc>
          <w:tcPr>
            <w:tcW w:type="dxa" w:w="1108"/>
          </w:tcPr>
          <w:p>
            <w:r/>
            <w:r>
              <w:rPr>
                <w:color w:val="111111"/>
                <w:sz w:val="16"/>
              </w:rPr>
              <w:t>Liverpool FC</w:t>
            </w:r>
          </w:p>
        </w:tc>
        <w:tc>
          <w:tcPr>
            <w:tcW w:type="dxa" w:w="1108"/>
          </w:tcPr>
          <w:p>
            <w:r/>
            <w:r>
              <w:rPr>
                <w:color w:val="111111"/>
                <w:sz w:val="16"/>
              </w:rPr>
              <w:t>27.0</w:t>
            </w:r>
          </w:p>
        </w:tc>
        <w:tc>
          <w:tcPr>
            <w:tcW w:type="dxa" w:w="1108"/>
          </w:tcPr>
          <w:p>
            <w:r/>
            <w:r>
              <w:rPr>
                <w:color w:val="111111"/>
                <w:sz w:val="16"/>
              </w:rPr>
              <w:t>1895</w:t>
            </w:r>
          </w:p>
        </w:tc>
        <w:tc>
          <w:tcPr>
            <w:tcW w:type="dxa" w:w="1108"/>
          </w:tcPr>
          <w:p>
            <w:r/>
            <w:r>
              <w:rPr>
                <w:color w:val="111111"/>
                <w:sz w:val="16"/>
              </w:rPr>
              <w:t>EUR 13.0m</w:t>
            </w:r>
          </w:p>
        </w:tc>
        <w:tc>
          <w:tcPr>
            <w:tcW w:type="dxa" w:w="1108"/>
          </w:tcPr>
          <w:p>
            <w:r/>
            <w:r>
              <w:rPr>
                <w:color w:val="111111"/>
                <w:sz w:val="16"/>
              </w:rPr>
              <w:t>62</w:t>
            </w:r>
          </w:p>
        </w:tc>
        <w:tc>
          <w:tcPr>
            <w:tcW w:type="dxa" w:w="1108"/>
          </w:tcPr>
          <w:p>
            <w:r/>
            <w:r>
              <w:rPr>
                <w:color w:val="111111"/>
                <w:sz w:val="16"/>
              </w:rPr>
              <w:t>49</w:t>
            </w:r>
          </w:p>
        </w:tc>
        <w:tc>
          <w:tcPr>
            <w:tcW w:type="dxa" w:w="1108"/>
          </w:tcPr>
          <w:p>
            <w:r/>
            <w:r>
              <w:rPr>
                <w:color w:val="111111"/>
                <w:sz w:val="16"/>
              </w:rPr>
              <w:t>80</w:t>
            </w:r>
          </w:p>
        </w:tc>
        <w:tc>
          <w:tcPr>
            <w:tcW w:type="dxa" w:w="1108"/>
          </w:tcPr>
          <w:p>
            <w:r/>
            <w:r>
              <w:rPr>
                <w:color w:val="111111"/>
                <w:sz w:val="16"/>
              </w:rPr>
              <w:t>63</w:t>
            </w:r>
          </w:p>
        </w:tc>
      </w:tr>
      <w:tr>
        <w:tc>
          <w:tcPr>
            <w:tcW w:type="dxa" w:w="1108"/>
          </w:tcPr>
          <w:p>
            <w:r/>
            <w:r>
              <w:rPr>
                <w:color w:val="111111"/>
                <w:sz w:val="16"/>
              </w:rPr>
              <w:t>Chancel Mbemba</w:t>
            </w:r>
          </w:p>
        </w:tc>
        <w:tc>
          <w:tcPr>
            <w:tcW w:type="dxa" w:w="1108"/>
          </w:tcPr>
          <w:p>
            <w:r/>
            <w:r>
              <w:rPr>
                <w:color w:val="111111"/>
                <w:sz w:val="16"/>
              </w:rPr>
              <w:t>Newcastle United</w:t>
            </w:r>
          </w:p>
        </w:tc>
        <w:tc>
          <w:tcPr>
            <w:tcW w:type="dxa" w:w="1108"/>
          </w:tcPr>
          <w:p>
            <w:r/>
            <w:r>
              <w:rPr>
                <w:color w:val="111111"/>
                <w:sz w:val="16"/>
              </w:rPr>
              <w:t>21.9</w:t>
            </w:r>
          </w:p>
        </w:tc>
        <w:tc>
          <w:tcPr>
            <w:tcW w:type="dxa" w:w="1108"/>
          </w:tcPr>
          <w:p>
            <w:r/>
            <w:r>
              <w:rPr>
                <w:color w:val="111111"/>
                <w:sz w:val="16"/>
              </w:rPr>
              <w:t>2924</w:t>
            </w:r>
          </w:p>
        </w:tc>
        <w:tc>
          <w:tcPr>
            <w:tcW w:type="dxa" w:w="1108"/>
          </w:tcPr>
          <w:p>
            <w:r/>
            <w:r>
              <w:rPr>
                <w:color w:val="111111"/>
                <w:sz w:val="16"/>
              </w:rPr>
              <w:t>EUR 10.0m</w:t>
            </w:r>
          </w:p>
        </w:tc>
        <w:tc>
          <w:tcPr>
            <w:tcW w:type="dxa" w:w="1108"/>
          </w:tcPr>
          <w:p>
            <w:r/>
            <w:r>
              <w:rPr>
                <w:color w:val="111111"/>
                <w:sz w:val="16"/>
              </w:rPr>
              <w:t>64</w:t>
            </w:r>
          </w:p>
        </w:tc>
        <w:tc>
          <w:tcPr>
            <w:tcW w:type="dxa" w:w="1108"/>
          </w:tcPr>
          <w:p>
            <w:r/>
            <w:r>
              <w:rPr>
                <w:color w:val="111111"/>
                <w:sz w:val="16"/>
              </w:rPr>
              <w:t>38</w:t>
            </w:r>
          </w:p>
        </w:tc>
        <w:tc>
          <w:tcPr>
            <w:tcW w:type="dxa" w:w="1108"/>
          </w:tcPr>
          <w:p>
            <w:r/>
            <w:r>
              <w:rPr>
                <w:color w:val="111111"/>
                <w:sz w:val="16"/>
              </w:rPr>
              <w:t>74</w:t>
            </w:r>
          </w:p>
        </w:tc>
        <w:tc>
          <w:tcPr>
            <w:tcW w:type="dxa" w:w="1108"/>
          </w:tcPr>
          <w:p>
            <w:r/>
            <w:r>
              <w:rPr>
                <w:color w:val="111111"/>
                <w:sz w:val="16"/>
              </w:rPr>
              <w:t>60</w:t>
            </w:r>
          </w:p>
        </w:tc>
      </w:tr>
      <w:tr>
        <w:tc>
          <w:tcPr>
            <w:tcW w:type="dxa" w:w="1108"/>
          </w:tcPr>
          <w:p>
            <w:r/>
            <w:r>
              <w:rPr>
                <w:color w:val="111111"/>
                <w:sz w:val="16"/>
              </w:rPr>
              <w:t>Chris Smalling</w:t>
            </w:r>
          </w:p>
        </w:tc>
        <w:tc>
          <w:tcPr>
            <w:tcW w:type="dxa" w:w="1108"/>
          </w:tcPr>
          <w:p>
            <w:r/>
            <w:r>
              <w:rPr>
                <w:color w:val="111111"/>
                <w:sz w:val="16"/>
              </w:rPr>
              <w:t>Manchester United</w:t>
            </w:r>
          </w:p>
        </w:tc>
        <w:tc>
          <w:tcPr>
            <w:tcW w:type="dxa" w:w="1108"/>
          </w:tcPr>
          <w:p>
            <w:r/>
            <w:r>
              <w:rPr>
                <w:color w:val="111111"/>
                <w:sz w:val="16"/>
              </w:rPr>
              <w:t>26.6</w:t>
            </w:r>
          </w:p>
        </w:tc>
        <w:tc>
          <w:tcPr>
            <w:tcW w:type="dxa" w:w="1108"/>
          </w:tcPr>
          <w:p>
            <w:r/>
            <w:r>
              <w:rPr>
                <w:color w:val="111111"/>
                <w:sz w:val="16"/>
              </w:rPr>
              <w:t>3150</w:t>
            </w:r>
          </w:p>
        </w:tc>
        <w:tc>
          <w:tcPr>
            <w:tcW w:type="dxa" w:w="1108"/>
          </w:tcPr>
          <w:p>
            <w:r/>
            <w:r>
              <w:rPr>
                <w:color w:val="111111"/>
                <w:sz w:val="16"/>
              </w:rPr>
              <w:t>EUR 20.0m</w:t>
            </w:r>
          </w:p>
        </w:tc>
        <w:tc>
          <w:tcPr>
            <w:tcW w:type="dxa" w:w="1108"/>
          </w:tcPr>
          <w:p>
            <w:r/>
            <w:r>
              <w:rPr>
                <w:color w:val="111111"/>
                <w:sz w:val="16"/>
              </w:rPr>
              <w:t>41</w:t>
            </w:r>
          </w:p>
        </w:tc>
        <w:tc>
          <w:tcPr>
            <w:tcW w:type="dxa" w:w="1108"/>
          </w:tcPr>
          <w:p>
            <w:r/>
            <w:r>
              <w:rPr>
                <w:color w:val="111111"/>
                <w:sz w:val="16"/>
              </w:rPr>
              <w:t>60</w:t>
            </w:r>
          </w:p>
        </w:tc>
        <w:tc>
          <w:tcPr>
            <w:tcW w:type="dxa" w:w="1108"/>
          </w:tcPr>
          <w:p>
            <w:r/>
            <w:r>
              <w:rPr>
                <w:color w:val="111111"/>
                <w:sz w:val="16"/>
              </w:rPr>
              <w:t>92</w:t>
            </w:r>
          </w:p>
        </w:tc>
        <w:tc>
          <w:tcPr>
            <w:tcW w:type="dxa" w:w="1108"/>
          </w:tcPr>
          <w:p>
            <w:r/>
            <w:r>
              <w:rPr>
                <w:color w:val="111111"/>
                <w:sz w:val="16"/>
              </w:rPr>
              <w:t>56</w:t>
            </w:r>
          </w:p>
        </w:tc>
      </w:tr>
    </w:tbl>
    <w:p>
      <w:r>
        <w:rPr>
          <w:i w:val="0"/>
          <w:color w:val="555555"/>
          <w:sz w:val="16"/>
        </w:rPr>
        <w:t>Table B2: Top eight centre back candidates, balanced score</w:t>
      </w:r>
    </w:p>
    <w:p>
      <w:r>
        <w:br w:type="page"/>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E6E6E6"/>
          </w:tcPr>
          <w:p>
            <w:r/>
            <w:r>
              <w:rPr>
                <w:b/>
                <w:color w:val="111111"/>
                <w:sz w:val="16"/>
              </w:rPr>
              <w:t>Player</w:t>
            </w:r>
          </w:p>
        </w:tc>
        <w:tc>
          <w:tcPr>
            <w:tcW w:type="dxa" w:w="1108"/>
            <w:shd w:fill="E6E6E6"/>
          </w:tcPr>
          <w:p>
            <w:r/>
            <w:r>
              <w:rPr>
                <w:b/>
                <w:color w:val="111111"/>
                <w:sz w:val="16"/>
              </w:rPr>
              <w:t>Club</w:t>
            </w:r>
          </w:p>
        </w:tc>
        <w:tc>
          <w:tcPr>
            <w:tcW w:type="dxa" w:w="1108"/>
            <w:shd w:fill="E6E6E6"/>
          </w:tcPr>
          <w:p>
            <w:r/>
            <w:r>
              <w:rPr>
                <w:b/>
                <w:color w:val="111111"/>
                <w:sz w:val="16"/>
              </w:rPr>
              <w:t>Age</w:t>
            </w:r>
          </w:p>
        </w:tc>
        <w:tc>
          <w:tcPr>
            <w:tcW w:type="dxa" w:w="1108"/>
            <w:shd w:fill="E6E6E6"/>
          </w:tcPr>
          <w:p>
            <w:r/>
            <w:r>
              <w:rPr>
                <w:b/>
                <w:color w:val="111111"/>
                <w:sz w:val="16"/>
              </w:rPr>
              <w:t>Minutes</w:t>
            </w:r>
          </w:p>
        </w:tc>
        <w:tc>
          <w:tcPr>
            <w:tcW w:type="dxa" w:w="1108"/>
            <w:shd w:fill="E6E6E6"/>
          </w:tcPr>
          <w:p>
            <w:r/>
            <w:r>
              <w:rPr>
                <w:b/>
                <w:color w:val="111111"/>
                <w:sz w:val="16"/>
              </w:rPr>
              <w:t>Fee</w:t>
            </w:r>
          </w:p>
        </w:tc>
        <w:tc>
          <w:tcPr>
            <w:tcW w:type="dxa" w:w="1108"/>
            <w:shd w:fill="E6E6E6"/>
          </w:tcPr>
          <w:p>
            <w:r/>
            <w:r>
              <w:rPr>
                <w:b/>
                <w:color w:val="111111"/>
                <w:sz w:val="16"/>
              </w:rPr>
              <w:t>Fit</w:t>
            </w:r>
          </w:p>
        </w:tc>
        <w:tc>
          <w:tcPr>
            <w:tcW w:type="dxa" w:w="1108"/>
            <w:shd w:fill="E6E6E6"/>
          </w:tcPr>
          <w:p>
            <w:r/>
            <w:r>
              <w:rPr>
                <w:b/>
                <w:color w:val="111111"/>
                <w:sz w:val="16"/>
              </w:rPr>
              <w:t>Value</w:t>
            </w:r>
          </w:p>
        </w:tc>
        <w:tc>
          <w:tcPr>
            <w:tcW w:type="dxa" w:w="1108"/>
            <w:shd w:fill="E6E6E6"/>
          </w:tcPr>
          <w:p>
            <w:r/>
            <w:r>
              <w:rPr>
                <w:b/>
                <w:color w:val="111111"/>
                <w:sz w:val="16"/>
              </w:rPr>
              <w:t>Safety</w:t>
            </w:r>
          </w:p>
        </w:tc>
        <w:tc>
          <w:tcPr>
            <w:tcW w:type="dxa" w:w="1108"/>
            <w:shd w:fill="E6E6E6"/>
          </w:tcPr>
          <w:p>
            <w:r/>
            <w:r>
              <w:rPr>
                <w:b/>
                <w:color w:val="111111"/>
                <w:sz w:val="16"/>
              </w:rPr>
              <w:t>Score</w:t>
            </w:r>
          </w:p>
        </w:tc>
      </w:tr>
      <w:tr>
        <w:tc>
          <w:tcPr>
            <w:tcW w:type="dxa" w:w="1108"/>
          </w:tcPr>
          <w:p>
            <w:r/>
            <w:r>
              <w:rPr>
                <w:color w:val="111111"/>
                <w:sz w:val="16"/>
              </w:rPr>
              <w:t>Odion Ighalo</w:t>
            </w:r>
          </w:p>
        </w:tc>
        <w:tc>
          <w:tcPr>
            <w:tcW w:type="dxa" w:w="1108"/>
          </w:tcPr>
          <w:p>
            <w:r/>
            <w:r>
              <w:rPr>
                <w:color w:val="111111"/>
                <w:sz w:val="16"/>
              </w:rPr>
              <w:t>Watford FC</w:t>
            </w:r>
          </w:p>
        </w:tc>
        <w:tc>
          <w:tcPr>
            <w:tcW w:type="dxa" w:w="1108"/>
          </w:tcPr>
          <w:p>
            <w:r/>
            <w:r>
              <w:rPr>
                <w:color w:val="111111"/>
                <w:sz w:val="16"/>
              </w:rPr>
              <w:t>27.0</w:t>
            </w:r>
          </w:p>
        </w:tc>
        <w:tc>
          <w:tcPr>
            <w:tcW w:type="dxa" w:w="1108"/>
          </w:tcPr>
          <w:p>
            <w:r/>
            <w:r>
              <w:rPr>
                <w:color w:val="111111"/>
                <w:sz w:val="16"/>
              </w:rPr>
              <w:t>3149</w:t>
            </w:r>
          </w:p>
        </w:tc>
        <w:tc>
          <w:tcPr>
            <w:tcW w:type="dxa" w:w="1108"/>
          </w:tcPr>
          <w:p>
            <w:r/>
            <w:r>
              <w:rPr>
                <w:color w:val="111111"/>
                <w:sz w:val="16"/>
              </w:rPr>
              <w:t>EUR 12.0m</w:t>
            </w:r>
          </w:p>
        </w:tc>
        <w:tc>
          <w:tcPr>
            <w:tcW w:type="dxa" w:w="1108"/>
          </w:tcPr>
          <w:p>
            <w:r/>
            <w:r>
              <w:rPr>
                <w:color w:val="111111"/>
                <w:sz w:val="16"/>
              </w:rPr>
              <w:t>79</w:t>
            </w:r>
          </w:p>
        </w:tc>
        <w:tc>
          <w:tcPr>
            <w:tcW w:type="dxa" w:w="1108"/>
          </w:tcPr>
          <w:p>
            <w:r/>
            <w:r>
              <w:rPr>
                <w:color w:val="111111"/>
                <w:sz w:val="16"/>
              </w:rPr>
              <w:t>82</w:t>
            </w:r>
          </w:p>
        </w:tc>
        <w:tc>
          <w:tcPr>
            <w:tcW w:type="dxa" w:w="1108"/>
          </w:tcPr>
          <w:p>
            <w:r/>
            <w:r>
              <w:rPr>
                <w:color w:val="111111"/>
                <w:sz w:val="16"/>
              </w:rPr>
              <w:t>96</w:t>
            </w:r>
          </w:p>
        </w:tc>
        <w:tc>
          <w:tcPr>
            <w:tcW w:type="dxa" w:w="1108"/>
          </w:tcPr>
          <w:p>
            <w:r/>
            <w:r>
              <w:rPr>
                <w:color w:val="111111"/>
                <w:sz w:val="16"/>
              </w:rPr>
              <w:t>83</w:t>
            </w:r>
          </w:p>
        </w:tc>
      </w:tr>
      <w:tr>
        <w:tc>
          <w:tcPr>
            <w:tcW w:type="dxa" w:w="1108"/>
          </w:tcPr>
          <w:p>
            <w:r/>
            <w:r>
              <w:rPr>
                <w:color w:val="111111"/>
                <w:sz w:val="16"/>
              </w:rPr>
              <w:t>Troy Deeney</w:t>
            </w:r>
          </w:p>
        </w:tc>
        <w:tc>
          <w:tcPr>
            <w:tcW w:type="dxa" w:w="1108"/>
          </w:tcPr>
          <w:p>
            <w:r/>
            <w:r>
              <w:rPr>
                <w:color w:val="111111"/>
                <w:sz w:val="16"/>
              </w:rPr>
              <w:t>Watford FC</w:t>
            </w:r>
          </w:p>
        </w:tc>
        <w:tc>
          <w:tcPr>
            <w:tcW w:type="dxa" w:w="1108"/>
          </w:tcPr>
          <w:p>
            <w:r/>
            <w:r>
              <w:rPr>
                <w:color w:val="111111"/>
                <w:sz w:val="16"/>
              </w:rPr>
              <w:t>28.0</w:t>
            </w:r>
          </w:p>
        </w:tc>
        <w:tc>
          <w:tcPr>
            <w:tcW w:type="dxa" w:w="1108"/>
          </w:tcPr>
          <w:p>
            <w:r/>
            <w:r>
              <w:rPr>
                <w:color w:val="111111"/>
                <w:sz w:val="16"/>
              </w:rPr>
              <w:t>3292</w:t>
            </w:r>
          </w:p>
        </w:tc>
        <w:tc>
          <w:tcPr>
            <w:tcW w:type="dxa" w:w="1108"/>
          </w:tcPr>
          <w:p>
            <w:r/>
            <w:r>
              <w:rPr>
                <w:color w:val="111111"/>
                <w:sz w:val="16"/>
              </w:rPr>
              <w:t>EUR 9.0m</w:t>
            </w:r>
          </w:p>
        </w:tc>
        <w:tc>
          <w:tcPr>
            <w:tcW w:type="dxa" w:w="1108"/>
          </w:tcPr>
          <w:p>
            <w:r/>
            <w:r>
              <w:rPr>
                <w:color w:val="111111"/>
                <w:sz w:val="16"/>
              </w:rPr>
              <w:t>55</w:t>
            </w:r>
          </w:p>
        </w:tc>
        <w:tc>
          <w:tcPr>
            <w:tcW w:type="dxa" w:w="1108"/>
          </w:tcPr>
          <w:p>
            <w:r/>
            <w:r>
              <w:rPr>
                <w:color w:val="111111"/>
                <w:sz w:val="16"/>
              </w:rPr>
              <w:t>80</w:t>
            </w:r>
          </w:p>
        </w:tc>
        <w:tc>
          <w:tcPr>
            <w:tcW w:type="dxa" w:w="1108"/>
          </w:tcPr>
          <w:p>
            <w:r/>
            <w:r>
              <w:rPr>
                <w:color w:val="111111"/>
                <w:sz w:val="16"/>
              </w:rPr>
              <w:t>95</w:t>
            </w:r>
          </w:p>
        </w:tc>
        <w:tc>
          <w:tcPr>
            <w:tcW w:type="dxa" w:w="1108"/>
          </w:tcPr>
          <w:p>
            <w:r/>
            <w:r>
              <w:rPr>
                <w:color w:val="111111"/>
                <w:sz w:val="16"/>
              </w:rPr>
              <w:t>69</w:t>
            </w:r>
          </w:p>
        </w:tc>
      </w:tr>
      <w:tr>
        <w:tc>
          <w:tcPr>
            <w:tcW w:type="dxa" w:w="1108"/>
          </w:tcPr>
          <w:p>
            <w:r/>
            <w:r>
              <w:rPr>
                <w:color w:val="111111"/>
                <w:sz w:val="16"/>
              </w:rPr>
              <w:t>Joshua King</w:t>
            </w:r>
          </w:p>
        </w:tc>
        <w:tc>
          <w:tcPr>
            <w:tcW w:type="dxa" w:w="1108"/>
          </w:tcPr>
          <w:p>
            <w:r/>
            <w:r>
              <w:rPr>
                <w:color w:val="111111"/>
                <w:sz w:val="16"/>
              </w:rPr>
              <w:t>AFC Bournemouth</w:t>
            </w:r>
          </w:p>
        </w:tc>
        <w:tc>
          <w:tcPr>
            <w:tcW w:type="dxa" w:w="1108"/>
          </w:tcPr>
          <w:p>
            <w:r/>
            <w:r>
              <w:rPr>
                <w:color w:val="111111"/>
                <w:sz w:val="16"/>
              </w:rPr>
              <w:t>24.5</w:t>
            </w:r>
          </w:p>
        </w:tc>
        <w:tc>
          <w:tcPr>
            <w:tcW w:type="dxa" w:w="1108"/>
          </w:tcPr>
          <w:p>
            <w:r/>
            <w:r>
              <w:rPr>
                <w:color w:val="111111"/>
                <w:sz w:val="16"/>
              </w:rPr>
              <w:t>1918</w:t>
            </w:r>
          </w:p>
        </w:tc>
        <w:tc>
          <w:tcPr>
            <w:tcW w:type="dxa" w:w="1108"/>
          </w:tcPr>
          <w:p>
            <w:r/>
            <w:r>
              <w:rPr>
                <w:color w:val="111111"/>
                <w:sz w:val="16"/>
              </w:rPr>
              <w:t>EUR 2.0m</w:t>
            </w:r>
          </w:p>
        </w:tc>
        <w:tc>
          <w:tcPr>
            <w:tcW w:type="dxa" w:w="1108"/>
          </w:tcPr>
          <w:p>
            <w:r/>
            <w:r>
              <w:rPr>
                <w:color w:val="111111"/>
                <w:sz w:val="16"/>
              </w:rPr>
              <w:t>51</w:t>
            </w:r>
          </w:p>
        </w:tc>
        <w:tc>
          <w:tcPr>
            <w:tcW w:type="dxa" w:w="1108"/>
          </w:tcPr>
          <w:p>
            <w:r/>
            <w:r>
              <w:rPr>
                <w:color w:val="111111"/>
                <w:sz w:val="16"/>
              </w:rPr>
              <w:t>100</w:t>
            </w:r>
          </w:p>
        </w:tc>
        <w:tc>
          <w:tcPr>
            <w:tcW w:type="dxa" w:w="1108"/>
          </w:tcPr>
          <w:p>
            <w:r/>
            <w:r>
              <w:rPr>
                <w:color w:val="111111"/>
                <w:sz w:val="16"/>
              </w:rPr>
              <w:t>81</w:t>
            </w:r>
          </w:p>
        </w:tc>
        <w:tc>
          <w:tcPr>
            <w:tcW w:type="dxa" w:w="1108"/>
          </w:tcPr>
          <w:p>
            <w:r/>
            <w:r>
              <w:rPr>
                <w:color w:val="111111"/>
                <w:sz w:val="16"/>
              </w:rPr>
              <w:t>69</w:t>
            </w:r>
          </w:p>
        </w:tc>
      </w:tr>
      <w:tr>
        <w:tc>
          <w:tcPr>
            <w:tcW w:type="dxa" w:w="1108"/>
          </w:tcPr>
          <w:p>
            <w:r/>
            <w:r>
              <w:rPr>
                <w:color w:val="111111"/>
                <w:sz w:val="16"/>
              </w:rPr>
              <w:t>Aleksandar Mitrović</w:t>
            </w:r>
          </w:p>
        </w:tc>
        <w:tc>
          <w:tcPr>
            <w:tcW w:type="dxa" w:w="1108"/>
          </w:tcPr>
          <w:p>
            <w:r/>
            <w:r>
              <w:rPr>
                <w:color w:val="111111"/>
                <w:sz w:val="16"/>
              </w:rPr>
              <w:t>Newcastle United</w:t>
            </w:r>
          </w:p>
        </w:tc>
        <w:tc>
          <w:tcPr>
            <w:tcW w:type="dxa" w:w="1108"/>
          </w:tcPr>
          <w:p>
            <w:r/>
            <w:r>
              <w:rPr>
                <w:color w:val="111111"/>
                <w:sz w:val="16"/>
              </w:rPr>
              <w:t>21.8</w:t>
            </w:r>
          </w:p>
        </w:tc>
        <w:tc>
          <w:tcPr>
            <w:tcW w:type="dxa" w:w="1108"/>
          </w:tcPr>
          <w:p>
            <w:r/>
            <w:r>
              <w:rPr>
                <w:color w:val="111111"/>
                <w:sz w:val="16"/>
              </w:rPr>
              <w:t>2213</w:t>
            </w:r>
          </w:p>
        </w:tc>
        <w:tc>
          <w:tcPr>
            <w:tcW w:type="dxa" w:w="1108"/>
          </w:tcPr>
          <w:p>
            <w:r/>
            <w:r>
              <w:rPr>
                <w:color w:val="111111"/>
                <w:sz w:val="16"/>
              </w:rPr>
              <w:t>EUR 14.0m</w:t>
            </w:r>
          </w:p>
        </w:tc>
        <w:tc>
          <w:tcPr>
            <w:tcW w:type="dxa" w:w="1108"/>
          </w:tcPr>
          <w:p>
            <w:r/>
            <w:r>
              <w:rPr>
                <w:color w:val="111111"/>
                <w:sz w:val="16"/>
              </w:rPr>
              <w:t>64</w:t>
            </w:r>
          </w:p>
        </w:tc>
        <w:tc>
          <w:tcPr>
            <w:tcW w:type="dxa" w:w="1108"/>
          </w:tcPr>
          <w:p>
            <w:r/>
            <w:r>
              <w:rPr>
                <w:color w:val="111111"/>
                <w:sz w:val="16"/>
              </w:rPr>
              <w:t>62</w:t>
            </w:r>
          </w:p>
        </w:tc>
        <w:tc>
          <w:tcPr>
            <w:tcW w:type="dxa" w:w="1108"/>
          </w:tcPr>
          <w:p>
            <w:r/>
            <w:r>
              <w:rPr>
                <w:color w:val="111111"/>
                <w:sz w:val="16"/>
              </w:rPr>
              <w:t>80</w:t>
            </w:r>
          </w:p>
        </w:tc>
        <w:tc>
          <w:tcPr>
            <w:tcW w:type="dxa" w:w="1108"/>
          </w:tcPr>
          <w:p>
            <w:r/>
            <w:r>
              <w:rPr>
                <w:color w:val="111111"/>
                <w:sz w:val="16"/>
              </w:rPr>
              <w:t>67</w:t>
            </w:r>
          </w:p>
        </w:tc>
      </w:tr>
      <w:tr>
        <w:tc>
          <w:tcPr>
            <w:tcW w:type="dxa" w:w="1108"/>
          </w:tcPr>
          <w:p>
            <w:r/>
            <w:r>
              <w:rPr>
                <w:color w:val="111111"/>
                <w:sz w:val="16"/>
              </w:rPr>
              <w:t>Christian Benteke</w:t>
            </w:r>
          </w:p>
        </w:tc>
        <w:tc>
          <w:tcPr>
            <w:tcW w:type="dxa" w:w="1108"/>
          </w:tcPr>
          <w:p>
            <w:r/>
            <w:r>
              <w:rPr>
                <w:color w:val="111111"/>
                <w:sz w:val="16"/>
              </w:rPr>
              <w:t>Liverpool FC</w:t>
            </w:r>
          </w:p>
        </w:tc>
        <w:tc>
          <w:tcPr>
            <w:tcW w:type="dxa" w:w="1108"/>
          </w:tcPr>
          <w:p>
            <w:r/>
            <w:r>
              <w:rPr>
                <w:color w:val="111111"/>
                <w:sz w:val="16"/>
              </w:rPr>
              <w:t>25.6</w:t>
            </w:r>
          </w:p>
        </w:tc>
        <w:tc>
          <w:tcPr>
            <w:tcW w:type="dxa" w:w="1108"/>
          </w:tcPr>
          <w:p>
            <w:r/>
            <w:r>
              <w:rPr>
                <w:color w:val="111111"/>
                <w:sz w:val="16"/>
              </w:rPr>
              <w:t>1523</w:t>
            </w:r>
          </w:p>
        </w:tc>
        <w:tc>
          <w:tcPr>
            <w:tcW w:type="dxa" w:w="1108"/>
          </w:tcPr>
          <w:p>
            <w:r/>
            <w:r>
              <w:rPr>
                <w:color w:val="111111"/>
                <w:sz w:val="16"/>
              </w:rPr>
              <w:t>EUR 27.0m</w:t>
            </w:r>
          </w:p>
        </w:tc>
        <w:tc>
          <w:tcPr>
            <w:tcW w:type="dxa" w:w="1108"/>
          </w:tcPr>
          <w:p>
            <w:r/>
            <w:r>
              <w:rPr>
                <w:color w:val="111111"/>
                <w:sz w:val="16"/>
              </w:rPr>
              <w:t>72</w:t>
            </w:r>
          </w:p>
        </w:tc>
        <w:tc>
          <w:tcPr>
            <w:tcW w:type="dxa" w:w="1108"/>
          </w:tcPr>
          <w:p>
            <w:r/>
            <w:r>
              <w:rPr>
                <w:color w:val="111111"/>
                <w:sz w:val="16"/>
              </w:rPr>
              <w:t>40</w:t>
            </w:r>
          </w:p>
        </w:tc>
        <w:tc>
          <w:tcPr>
            <w:tcW w:type="dxa" w:w="1108"/>
          </w:tcPr>
          <w:p>
            <w:r/>
            <w:r>
              <w:rPr>
                <w:color w:val="111111"/>
                <w:sz w:val="16"/>
              </w:rPr>
              <w:t>55</w:t>
            </w:r>
          </w:p>
        </w:tc>
        <w:tc>
          <w:tcPr>
            <w:tcW w:type="dxa" w:w="1108"/>
          </w:tcPr>
          <w:p>
            <w:r/>
            <w:r>
              <w:rPr>
                <w:color w:val="111111"/>
                <w:sz w:val="16"/>
              </w:rPr>
              <w:t>61</w:t>
            </w:r>
          </w:p>
        </w:tc>
      </w:tr>
      <w:tr>
        <w:tc>
          <w:tcPr>
            <w:tcW w:type="dxa" w:w="1108"/>
          </w:tcPr>
          <w:p>
            <w:r/>
            <w:r>
              <w:rPr>
                <w:color w:val="111111"/>
                <w:sz w:val="16"/>
              </w:rPr>
              <w:t>Salomón Rondón</w:t>
            </w:r>
          </w:p>
        </w:tc>
        <w:tc>
          <w:tcPr>
            <w:tcW w:type="dxa" w:w="1108"/>
          </w:tcPr>
          <w:p>
            <w:r/>
            <w:r>
              <w:rPr>
                <w:color w:val="111111"/>
                <w:sz w:val="16"/>
              </w:rPr>
              <w:t>West Bromwich Albion</w:t>
            </w:r>
          </w:p>
        </w:tc>
        <w:tc>
          <w:tcPr>
            <w:tcW w:type="dxa" w:w="1108"/>
          </w:tcPr>
          <w:p>
            <w:r/>
            <w:r>
              <w:rPr>
                <w:color w:val="111111"/>
                <w:sz w:val="16"/>
              </w:rPr>
              <w:t>26.8</w:t>
            </w:r>
          </w:p>
        </w:tc>
        <w:tc>
          <w:tcPr>
            <w:tcW w:type="dxa" w:w="1108"/>
          </w:tcPr>
          <w:p>
            <w:r/>
            <w:r>
              <w:rPr>
                <w:color w:val="111111"/>
                <w:sz w:val="16"/>
              </w:rPr>
              <w:t>2564</w:t>
            </w:r>
          </w:p>
        </w:tc>
        <w:tc>
          <w:tcPr>
            <w:tcW w:type="dxa" w:w="1108"/>
          </w:tcPr>
          <w:p>
            <w:r/>
            <w:r>
              <w:rPr>
                <w:color w:val="111111"/>
                <w:sz w:val="16"/>
              </w:rPr>
              <w:t>EUR 15.0m</w:t>
            </w:r>
          </w:p>
        </w:tc>
        <w:tc>
          <w:tcPr>
            <w:tcW w:type="dxa" w:w="1108"/>
          </w:tcPr>
          <w:p>
            <w:r/>
            <w:r>
              <w:rPr>
                <w:color w:val="111111"/>
                <w:sz w:val="16"/>
              </w:rPr>
              <w:t>48</w:t>
            </w:r>
          </w:p>
        </w:tc>
        <w:tc>
          <w:tcPr>
            <w:tcW w:type="dxa" w:w="1108"/>
          </w:tcPr>
          <w:p>
            <w:r/>
            <w:r>
              <w:rPr>
                <w:color w:val="111111"/>
                <w:sz w:val="16"/>
              </w:rPr>
              <w:t>28</w:t>
            </w:r>
          </w:p>
        </w:tc>
        <w:tc>
          <w:tcPr>
            <w:tcW w:type="dxa" w:w="1108"/>
          </w:tcPr>
          <w:p>
            <w:r/>
            <w:r>
              <w:rPr>
                <w:color w:val="111111"/>
                <w:sz w:val="16"/>
              </w:rPr>
              <w:t>89</w:t>
            </w:r>
          </w:p>
        </w:tc>
        <w:tc>
          <w:tcPr>
            <w:tcW w:type="dxa" w:w="1108"/>
          </w:tcPr>
          <w:p>
            <w:r/>
            <w:r>
              <w:rPr>
                <w:color w:val="111111"/>
                <w:sz w:val="16"/>
              </w:rPr>
              <w:t>51</w:t>
            </w:r>
          </w:p>
        </w:tc>
      </w:tr>
      <w:tr>
        <w:tc>
          <w:tcPr>
            <w:tcW w:type="dxa" w:w="1108"/>
          </w:tcPr>
          <w:p>
            <w:r/>
            <w:r>
              <w:rPr>
                <w:color w:val="111111"/>
                <w:sz w:val="16"/>
              </w:rPr>
              <w:t>Saido Berahino</w:t>
            </w:r>
          </w:p>
        </w:tc>
        <w:tc>
          <w:tcPr>
            <w:tcW w:type="dxa" w:w="1108"/>
          </w:tcPr>
          <w:p>
            <w:r/>
            <w:r>
              <w:rPr>
                <w:color w:val="111111"/>
                <w:sz w:val="16"/>
              </w:rPr>
              <w:t>West Bromwich Albion</w:t>
            </w:r>
          </w:p>
        </w:tc>
        <w:tc>
          <w:tcPr>
            <w:tcW w:type="dxa" w:w="1108"/>
          </w:tcPr>
          <w:p>
            <w:r/>
            <w:r>
              <w:rPr>
                <w:color w:val="111111"/>
                <w:sz w:val="16"/>
              </w:rPr>
              <w:t>22.9</w:t>
            </w:r>
          </w:p>
        </w:tc>
        <w:tc>
          <w:tcPr>
            <w:tcW w:type="dxa" w:w="1108"/>
          </w:tcPr>
          <w:p>
            <w:r/>
            <w:r>
              <w:rPr>
                <w:color w:val="111111"/>
                <w:sz w:val="16"/>
              </w:rPr>
              <w:t>1788</w:t>
            </w:r>
          </w:p>
        </w:tc>
        <w:tc>
          <w:tcPr>
            <w:tcW w:type="dxa" w:w="1108"/>
          </w:tcPr>
          <w:p>
            <w:r/>
            <w:r>
              <w:rPr>
                <w:color w:val="111111"/>
                <w:sz w:val="16"/>
              </w:rPr>
              <w:t>EUR 15.0m</w:t>
            </w:r>
          </w:p>
        </w:tc>
        <w:tc>
          <w:tcPr>
            <w:tcW w:type="dxa" w:w="1108"/>
          </w:tcPr>
          <w:p>
            <w:r/>
            <w:r>
              <w:rPr>
                <w:color w:val="111111"/>
                <w:sz w:val="16"/>
              </w:rPr>
              <w:t>41</w:t>
            </w:r>
          </w:p>
        </w:tc>
        <w:tc>
          <w:tcPr>
            <w:tcW w:type="dxa" w:w="1108"/>
          </w:tcPr>
          <w:p>
            <w:r/>
            <w:r>
              <w:rPr>
                <w:color w:val="111111"/>
                <w:sz w:val="16"/>
              </w:rPr>
              <w:t>28</w:t>
            </w:r>
          </w:p>
        </w:tc>
        <w:tc>
          <w:tcPr>
            <w:tcW w:type="dxa" w:w="1108"/>
          </w:tcPr>
          <w:p>
            <w:r/>
            <w:r>
              <w:rPr>
                <w:color w:val="111111"/>
                <w:sz w:val="16"/>
              </w:rPr>
              <w:t>81</w:t>
            </w:r>
          </w:p>
        </w:tc>
        <w:tc>
          <w:tcPr>
            <w:tcW w:type="dxa" w:w="1108"/>
          </w:tcPr>
          <w:p>
            <w:r/>
            <w:r>
              <w:rPr>
                <w:color w:val="111111"/>
                <w:sz w:val="16"/>
              </w:rPr>
              <w:t>45</w:t>
            </w:r>
          </w:p>
        </w:tc>
      </w:tr>
      <w:tr>
        <w:tc>
          <w:tcPr>
            <w:tcW w:type="dxa" w:w="1108"/>
          </w:tcPr>
          <w:p>
            <w:r/>
            <w:r>
              <w:rPr>
                <w:color w:val="111111"/>
                <w:sz w:val="16"/>
              </w:rPr>
              <w:t>Rudy Gestede</w:t>
            </w:r>
          </w:p>
        </w:tc>
        <w:tc>
          <w:tcPr>
            <w:tcW w:type="dxa" w:w="1108"/>
          </w:tcPr>
          <w:p>
            <w:r/>
            <w:r>
              <w:rPr>
                <w:color w:val="111111"/>
                <w:sz w:val="16"/>
              </w:rPr>
              <w:t>Aston Villa</w:t>
            </w:r>
          </w:p>
        </w:tc>
        <w:tc>
          <w:tcPr>
            <w:tcW w:type="dxa" w:w="1108"/>
          </w:tcPr>
          <w:p>
            <w:r/>
            <w:r>
              <w:rPr>
                <w:color w:val="111111"/>
                <w:sz w:val="16"/>
              </w:rPr>
              <w:t>27.7</w:t>
            </w:r>
          </w:p>
        </w:tc>
        <w:tc>
          <w:tcPr>
            <w:tcW w:type="dxa" w:w="1108"/>
          </w:tcPr>
          <w:p>
            <w:r/>
            <w:r>
              <w:rPr>
                <w:color w:val="111111"/>
                <w:sz w:val="16"/>
              </w:rPr>
              <w:t>1664</w:t>
            </w:r>
          </w:p>
        </w:tc>
        <w:tc>
          <w:tcPr>
            <w:tcW w:type="dxa" w:w="1108"/>
          </w:tcPr>
          <w:p>
            <w:r/>
            <w:r>
              <w:rPr>
                <w:color w:val="111111"/>
                <w:sz w:val="16"/>
              </w:rPr>
              <w:t>EUR 7.0m</w:t>
            </w:r>
          </w:p>
        </w:tc>
        <w:tc>
          <w:tcPr>
            <w:tcW w:type="dxa" w:w="1108"/>
          </w:tcPr>
          <w:p>
            <w:r/>
            <w:r>
              <w:rPr>
                <w:color w:val="111111"/>
                <w:sz w:val="16"/>
              </w:rPr>
              <w:t>39</w:t>
            </w:r>
          </w:p>
        </w:tc>
        <w:tc>
          <w:tcPr>
            <w:tcW w:type="dxa" w:w="1108"/>
          </w:tcPr>
          <w:p>
            <w:r/>
            <w:r>
              <w:rPr>
                <w:color w:val="111111"/>
                <w:sz w:val="16"/>
              </w:rPr>
              <w:t>30</w:t>
            </w:r>
          </w:p>
        </w:tc>
        <w:tc>
          <w:tcPr>
            <w:tcW w:type="dxa" w:w="1108"/>
          </w:tcPr>
          <w:p>
            <w:r/>
            <w:r>
              <w:rPr>
                <w:color w:val="111111"/>
                <w:sz w:val="16"/>
              </w:rPr>
              <w:t>77</w:t>
            </w:r>
          </w:p>
        </w:tc>
        <w:tc>
          <w:tcPr>
            <w:tcW w:type="dxa" w:w="1108"/>
          </w:tcPr>
          <w:p>
            <w:r/>
            <w:r>
              <w:rPr>
                <w:color w:val="111111"/>
                <w:sz w:val="16"/>
              </w:rPr>
              <w:t>45</w:t>
            </w:r>
          </w:p>
        </w:tc>
      </w:tr>
    </w:tbl>
    <w:p>
      <w:r>
        <w:rPr>
          <w:i w:val="0"/>
          <w:color w:val="555555"/>
          <w:sz w:val="16"/>
        </w:rPr>
        <w:t>Table B3: Top eight centre forward candidates, balanced score</w:t>
      </w:r>
    </w:p>
    <w:p>
      <w:pPr>
        <w:pStyle w:val="Heading1"/>
      </w:pPr>
      <w:r>
        <w:t>Appendix C. Scenario and sensitivity tables</w:t>
      </w:r>
    </w:p>
    <w:p>
      <w:r>
        <w:t>The full scenario table is in Table 9. The sensitivity table below holds safety at 0.20 and moves the fit weight from 0.30 to 0.80. The selected striker is always Ighalo. The selected defender is Cook until fit reaches 0.70, when Funes Mori takes over. The midfielder switches from Coquelin to Gueye at a fit weight of 0.60.</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E6E6E6"/>
          </w:tcPr>
          <w:p>
            <w:r/>
            <w:r>
              <w:rPr>
                <w:b/>
                <w:color w:val="111111"/>
                <w:sz w:val="16"/>
              </w:rPr>
              <w:t>Fit weight</w:t>
            </w:r>
          </w:p>
        </w:tc>
        <w:tc>
          <w:tcPr>
            <w:tcW w:type="dxa" w:w="1662"/>
            <w:shd w:fill="E6E6E6"/>
          </w:tcPr>
          <w:p>
            <w:r/>
            <w:r>
              <w:rPr>
                <w:b/>
                <w:color w:val="111111"/>
                <w:sz w:val="16"/>
              </w:rPr>
              <w:t>Value weight</w:t>
            </w:r>
          </w:p>
        </w:tc>
        <w:tc>
          <w:tcPr>
            <w:tcW w:type="dxa" w:w="1662"/>
            <w:shd w:fill="E6E6E6"/>
          </w:tcPr>
          <w:p>
            <w:r/>
            <w:r>
              <w:rPr>
                <w:b/>
                <w:color w:val="111111"/>
                <w:sz w:val="16"/>
              </w:rPr>
              <w:t>CM</w:t>
            </w:r>
          </w:p>
        </w:tc>
        <w:tc>
          <w:tcPr>
            <w:tcW w:type="dxa" w:w="1662"/>
            <w:shd w:fill="E6E6E6"/>
          </w:tcPr>
          <w:p>
            <w:r/>
            <w:r>
              <w:rPr>
                <w:b/>
                <w:color w:val="111111"/>
                <w:sz w:val="16"/>
              </w:rPr>
              <w:t>CB</w:t>
            </w:r>
          </w:p>
        </w:tc>
        <w:tc>
          <w:tcPr>
            <w:tcW w:type="dxa" w:w="1662"/>
            <w:shd w:fill="E6E6E6"/>
          </w:tcPr>
          <w:p>
            <w:r/>
            <w:r>
              <w:rPr>
                <w:b/>
                <w:color w:val="111111"/>
                <w:sz w:val="16"/>
              </w:rPr>
              <w:t>ST</w:t>
            </w:r>
          </w:p>
        </w:tc>
        <w:tc>
          <w:tcPr>
            <w:tcW w:type="dxa" w:w="1662"/>
            <w:shd w:fill="E6E6E6"/>
          </w:tcPr>
          <w:p>
            <w:r/>
            <w:r>
              <w:rPr>
                <w:b/>
                <w:color w:val="111111"/>
                <w:sz w:val="16"/>
              </w:rPr>
              <w:t>Cost, EUR m</w:t>
            </w:r>
          </w:p>
        </w:tc>
      </w:tr>
      <w:tr>
        <w:tc>
          <w:tcPr>
            <w:tcW w:type="dxa" w:w="1662"/>
          </w:tcPr>
          <w:p>
            <w:r/>
            <w:r>
              <w:rPr>
                <w:color w:val="111111"/>
                <w:sz w:val="16"/>
              </w:rPr>
              <w:t>0.30</w:t>
            </w:r>
          </w:p>
        </w:tc>
        <w:tc>
          <w:tcPr>
            <w:tcW w:type="dxa" w:w="1662"/>
          </w:tcPr>
          <w:p>
            <w:r/>
            <w:r>
              <w:rPr>
                <w:color w:val="111111"/>
                <w:sz w:val="16"/>
              </w:rPr>
              <w:t>0.50</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0.35</w:t>
            </w:r>
          </w:p>
        </w:tc>
        <w:tc>
          <w:tcPr>
            <w:tcW w:type="dxa" w:w="1662"/>
          </w:tcPr>
          <w:p>
            <w:r/>
            <w:r>
              <w:rPr>
                <w:color w:val="111111"/>
                <w:sz w:val="16"/>
              </w:rPr>
              <w:t>0.45</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0.40</w:t>
            </w:r>
          </w:p>
        </w:tc>
        <w:tc>
          <w:tcPr>
            <w:tcW w:type="dxa" w:w="1662"/>
          </w:tcPr>
          <w:p>
            <w:r/>
            <w:r>
              <w:rPr>
                <w:color w:val="111111"/>
                <w:sz w:val="16"/>
              </w:rPr>
              <w:t>0.40</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0.45</w:t>
            </w:r>
          </w:p>
        </w:tc>
        <w:tc>
          <w:tcPr>
            <w:tcW w:type="dxa" w:w="1662"/>
          </w:tcPr>
          <w:p>
            <w:r/>
            <w:r>
              <w:rPr>
                <w:color w:val="111111"/>
                <w:sz w:val="16"/>
              </w:rPr>
              <w:t>0.35</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0.50</w:t>
            </w:r>
          </w:p>
        </w:tc>
        <w:tc>
          <w:tcPr>
            <w:tcW w:type="dxa" w:w="1662"/>
          </w:tcPr>
          <w:p>
            <w:r/>
            <w:r>
              <w:rPr>
                <w:color w:val="111111"/>
                <w:sz w:val="16"/>
              </w:rPr>
              <w:t>0.30</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0.55</w:t>
            </w:r>
          </w:p>
        </w:tc>
        <w:tc>
          <w:tcPr>
            <w:tcW w:type="dxa" w:w="1662"/>
          </w:tcPr>
          <w:p>
            <w:r/>
            <w:r>
              <w:rPr>
                <w:color w:val="111111"/>
                <w:sz w:val="16"/>
              </w:rPr>
              <w:t>0.25</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0.60</w:t>
            </w:r>
          </w:p>
        </w:tc>
        <w:tc>
          <w:tcPr>
            <w:tcW w:type="dxa" w:w="1662"/>
          </w:tcPr>
          <w:p>
            <w:r/>
            <w:r>
              <w:rPr>
                <w:color w:val="111111"/>
                <w:sz w:val="16"/>
              </w:rPr>
              <w:t>0.20</w:t>
            </w:r>
          </w:p>
        </w:tc>
        <w:tc>
          <w:tcPr>
            <w:tcW w:type="dxa" w:w="1662"/>
          </w:tcPr>
          <w:p>
            <w:r/>
            <w:r>
              <w:rPr>
                <w:color w:val="111111"/>
                <w:sz w:val="16"/>
              </w:rPr>
              <w:t>Idrissa Gana Gueye</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24.0</w:t>
            </w:r>
          </w:p>
        </w:tc>
      </w:tr>
      <w:tr>
        <w:tc>
          <w:tcPr>
            <w:tcW w:type="dxa" w:w="1662"/>
          </w:tcPr>
          <w:p>
            <w:r/>
            <w:r>
              <w:rPr>
                <w:color w:val="111111"/>
                <w:sz w:val="16"/>
              </w:rPr>
              <w:t>0.65</w:t>
            </w:r>
          </w:p>
        </w:tc>
        <w:tc>
          <w:tcPr>
            <w:tcW w:type="dxa" w:w="1662"/>
          </w:tcPr>
          <w:p>
            <w:r/>
            <w:r>
              <w:rPr>
                <w:color w:val="111111"/>
                <w:sz w:val="16"/>
              </w:rPr>
              <w:t>0.15</w:t>
            </w:r>
          </w:p>
        </w:tc>
        <w:tc>
          <w:tcPr>
            <w:tcW w:type="dxa" w:w="1662"/>
          </w:tcPr>
          <w:p>
            <w:r/>
            <w:r>
              <w:rPr>
                <w:color w:val="111111"/>
                <w:sz w:val="16"/>
              </w:rPr>
              <w:t>Idrissa Gana Gueye</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24.0</w:t>
            </w:r>
          </w:p>
        </w:tc>
      </w:tr>
      <w:tr>
        <w:tc>
          <w:tcPr>
            <w:tcW w:type="dxa" w:w="1662"/>
          </w:tcPr>
          <w:p>
            <w:r/>
            <w:r>
              <w:rPr>
                <w:color w:val="111111"/>
                <w:sz w:val="16"/>
              </w:rPr>
              <w:t>0.70</w:t>
            </w:r>
          </w:p>
        </w:tc>
        <w:tc>
          <w:tcPr>
            <w:tcW w:type="dxa" w:w="1662"/>
          </w:tcPr>
          <w:p>
            <w:r/>
            <w:r>
              <w:rPr>
                <w:color w:val="111111"/>
                <w:sz w:val="16"/>
              </w:rPr>
              <w:t>0.10</w:t>
            </w:r>
          </w:p>
        </w:tc>
        <w:tc>
          <w:tcPr>
            <w:tcW w:type="dxa" w:w="1662"/>
          </w:tcPr>
          <w:p>
            <w:r/>
            <w:r>
              <w:rPr>
                <w:color w:val="111111"/>
                <w:sz w:val="16"/>
              </w:rPr>
              <w:t>Idrissa Gana Gueye</w:t>
            </w:r>
          </w:p>
        </w:tc>
        <w:tc>
          <w:tcPr>
            <w:tcW w:type="dxa" w:w="1662"/>
          </w:tcPr>
          <w:p>
            <w:r/>
            <w:r>
              <w:rPr>
                <w:color w:val="111111"/>
                <w:sz w:val="16"/>
              </w:rPr>
              <w:t>José Ramiro Funes Mori</w:t>
            </w:r>
          </w:p>
        </w:tc>
        <w:tc>
          <w:tcPr>
            <w:tcW w:type="dxa" w:w="1662"/>
          </w:tcPr>
          <w:p>
            <w:r/>
            <w:r>
              <w:rPr>
                <w:color w:val="111111"/>
                <w:sz w:val="16"/>
              </w:rPr>
              <w:t>Odion Jude Ighalo</w:t>
            </w:r>
          </w:p>
        </w:tc>
        <w:tc>
          <w:tcPr>
            <w:tcW w:type="dxa" w:w="1662"/>
          </w:tcPr>
          <w:p>
            <w:r/>
            <w:r>
              <w:rPr>
                <w:color w:val="111111"/>
                <w:sz w:val="16"/>
              </w:rPr>
              <w:t>31.0</w:t>
            </w:r>
          </w:p>
        </w:tc>
      </w:tr>
      <w:tr>
        <w:tc>
          <w:tcPr>
            <w:tcW w:type="dxa" w:w="1662"/>
          </w:tcPr>
          <w:p>
            <w:r/>
            <w:r>
              <w:rPr>
                <w:color w:val="111111"/>
                <w:sz w:val="16"/>
              </w:rPr>
              <w:t>0.75</w:t>
            </w:r>
          </w:p>
        </w:tc>
        <w:tc>
          <w:tcPr>
            <w:tcW w:type="dxa" w:w="1662"/>
          </w:tcPr>
          <w:p>
            <w:r/>
            <w:r>
              <w:rPr>
                <w:color w:val="111111"/>
                <w:sz w:val="16"/>
              </w:rPr>
              <w:t>0.05</w:t>
            </w:r>
          </w:p>
        </w:tc>
        <w:tc>
          <w:tcPr>
            <w:tcW w:type="dxa" w:w="1662"/>
          </w:tcPr>
          <w:p>
            <w:r/>
            <w:r>
              <w:rPr>
                <w:color w:val="111111"/>
                <w:sz w:val="16"/>
              </w:rPr>
              <w:t>Idrissa Gana Gueye</w:t>
            </w:r>
          </w:p>
        </w:tc>
        <w:tc>
          <w:tcPr>
            <w:tcW w:type="dxa" w:w="1662"/>
          </w:tcPr>
          <w:p>
            <w:r/>
            <w:r>
              <w:rPr>
                <w:color w:val="111111"/>
                <w:sz w:val="16"/>
              </w:rPr>
              <w:t>José Ramiro Funes Mori</w:t>
            </w:r>
          </w:p>
        </w:tc>
        <w:tc>
          <w:tcPr>
            <w:tcW w:type="dxa" w:w="1662"/>
          </w:tcPr>
          <w:p>
            <w:r/>
            <w:r>
              <w:rPr>
                <w:color w:val="111111"/>
                <w:sz w:val="16"/>
              </w:rPr>
              <w:t>Odion Jude Ighalo</w:t>
            </w:r>
          </w:p>
        </w:tc>
        <w:tc>
          <w:tcPr>
            <w:tcW w:type="dxa" w:w="1662"/>
          </w:tcPr>
          <w:p>
            <w:r/>
            <w:r>
              <w:rPr>
                <w:color w:val="111111"/>
                <w:sz w:val="16"/>
              </w:rPr>
              <w:t>31.0</w:t>
            </w:r>
          </w:p>
        </w:tc>
      </w:tr>
      <w:tr>
        <w:tc>
          <w:tcPr>
            <w:tcW w:type="dxa" w:w="1662"/>
          </w:tcPr>
          <w:p>
            <w:r/>
            <w:r>
              <w:rPr>
                <w:color w:val="111111"/>
                <w:sz w:val="16"/>
              </w:rPr>
              <w:t>0.80</w:t>
            </w:r>
          </w:p>
        </w:tc>
        <w:tc>
          <w:tcPr>
            <w:tcW w:type="dxa" w:w="1662"/>
          </w:tcPr>
          <w:p>
            <w:r/>
            <w:r>
              <w:rPr>
                <w:color w:val="111111"/>
                <w:sz w:val="16"/>
              </w:rPr>
              <w:t>0.00</w:t>
            </w:r>
          </w:p>
        </w:tc>
        <w:tc>
          <w:tcPr>
            <w:tcW w:type="dxa" w:w="1662"/>
          </w:tcPr>
          <w:p>
            <w:r/>
            <w:r>
              <w:rPr>
                <w:color w:val="111111"/>
                <w:sz w:val="16"/>
              </w:rPr>
              <w:t>Idrissa Gana Gueye</w:t>
            </w:r>
          </w:p>
        </w:tc>
        <w:tc>
          <w:tcPr>
            <w:tcW w:type="dxa" w:w="1662"/>
          </w:tcPr>
          <w:p>
            <w:r/>
            <w:r>
              <w:rPr>
                <w:color w:val="111111"/>
                <w:sz w:val="16"/>
              </w:rPr>
              <w:t>José Ramiro Funes Mori</w:t>
            </w:r>
          </w:p>
        </w:tc>
        <w:tc>
          <w:tcPr>
            <w:tcW w:type="dxa" w:w="1662"/>
          </w:tcPr>
          <w:p>
            <w:r/>
            <w:r>
              <w:rPr>
                <w:color w:val="111111"/>
                <w:sz w:val="16"/>
              </w:rPr>
              <w:t>Odion Jude Ighalo</w:t>
            </w:r>
          </w:p>
        </w:tc>
        <w:tc>
          <w:tcPr>
            <w:tcW w:type="dxa" w:w="1662"/>
          </w:tcPr>
          <w:p>
            <w:r/>
            <w:r>
              <w:rPr>
                <w:color w:val="111111"/>
                <w:sz w:val="16"/>
              </w:rPr>
              <w:t>31.0</w:t>
            </w:r>
          </w:p>
        </w:tc>
      </w:tr>
    </w:tbl>
    <w:p>
      <w:r>
        <w:rPr>
          <w:i w:val="0"/>
          <w:color w:val="555555"/>
          <w:sz w:val="16"/>
        </w:rPr>
        <w:t>Table C1: Weight sensitivity</w:t>
      </w:r>
    </w:p>
    <w:p>
      <w:r>
        <w:br w:type="page"/>
      </w:r>
    </w:p>
    <w:p>
      <w:pPr>
        <w:pStyle w:val="Heading1"/>
      </w:pPr>
      <w:r>
        <w:t>Appendix D. Verification output</w:t>
      </w:r>
    </w:p>
    <w:p>
      <w:r>
        <w:t>The full command output is saved in outputs/verification.txt. The key checks are summarized below. Run python scripts/verify.py to reproduce them.</w:t>
      </w:r>
    </w:p>
    <w:tbl>
      <w:tblPr>
        <w:tblStyle w:val="TableGrid"/>
        <w:tblW w:type="auto" w:w="0"/>
        <w:jc w:val="center"/>
        <w:tblLook w:firstColumn="1" w:firstRow="1" w:lastColumn="0" w:lastRow="0" w:noHBand="0" w:noVBand="1" w:val="04A0"/>
      </w:tblPr>
      <w:tblGrid>
        <w:gridCol w:w="4986"/>
        <w:gridCol w:w="4986"/>
      </w:tblGrid>
      <w:tr>
        <w:tc>
          <w:tcPr>
            <w:tcW w:type="dxa" w:w="4986"/>
            <w:shd w:fill="E6E6E6"/>
          </w:tcPr>
          <w:p>
            <w:r/>
            <w:r>
              <w:rPr>
                <w:b/>
                <w:color w:val="111111"/>
                <w:sz w:val="16"/>
              </w:rPr>
              <w:t>Check</w:t>
            </w:r>
          </w:p>
        </w:tc>
        <w:tc>
          <w:tcPr>
            <w:tcW w:type="dxa" w:w="4986"/>
            <w:shd w:fill="E6E6E6"/>
          </w:tcPr>
          <w:p>
            <w:r/>
            <w:r>
              <w:rPr>
                <w:b/>
                <w:color w:val="111111"/>
                <w:sz w:val="16"/>
              </w:rPr>
              <w:t>Result</w:t>
            </w:r>
          </w:p>
        </w:tc>
      </w:tr>
      <w:tr>
        <w:tc>
          <w:tcPr>
            <w:tcW w:type="dxa" w:w="4986"/>
          </w:tcPr>
          <w:p>
            <w:r/>
            <w:r>
              <w:rPr>
                <w:color w:val="111111"/>
                <w:sz w:val="16"/>
              </w:rPr>
              <w:t>StatsBomb matches</w:t>
            </w:r>
          </w:p>
        </w:tc>
        <w:tc>
          <w:tcPr>
            <w:tcW w:type="dxa" w:w="4986"/>
          </w:tcPr>
          <w:p>
            <w:r/>
            <w:r>
              <w:rPr>
                <w:color w:val="111111"/>
                <w:sz w:val="16"/>
              </w:rPr>
              <w:t>380</w:t>
            </w:r>
          </w:p>
        </w:tc>
      </w:tr>
      <w:tr>
        <w:tc>
          <w:tcPr>
            <w:tcW w:type="dxa" w:w="4986"/>
          </w:tcPr>
          <w:p>
            <w:r/>
            <w:r>
              <w:rPr>
                <w:color w:val="111111"/>
                <w:sz w:val="16"/>
              </w:rPr>
              <w:t>StatsBomb player-match rows</w:t>
            </w:r>
          </w:p>
        </w:tc>
        <w:tc>
          <w:tcPr>
            <w:tcW w:type="dxa" w:w="4986"/>
          </w:tcPr>
          <w:p>
            <w:r/>
            <w:r>
              <w:rPr>
                <w:color w:val="111111"/>
                <w:sz w:val="16"/>
              </w:rPr>
              <w:t>10,385</w:t>
            </w:r>
          </w:p>
        </w:tc>
      </w:tr>
      <w:tr>
        <w:tc>
          <w:tcPr>
            <w:tcW w:type="dxa" w:w="4986"/>
          </w:tcPr>
          <w:p>
            <w:r/>
            <w:r>
              <w:rPr>
                <w:color w:val="111111"/>
                <w:sz w:val="16"/>
              </w:rPr>
              <w:t>Market player-seasons</w:t>
            </w:r>
          </w:p>
        </w:tc>
        <w:tc>
          <w:tcPr>
            <w:tcW w:type="dxa" w:w="4986"/>
          </w:tcPr>
          <w:p>
            <w:r/>
            <w:r>
              <w:rPr>
                <w:color w:val="111111"/>
                <w:sz w:val="16"/>
              </w:rPr>
              <w:t>30,939</w:t>
            </w:r>
          </w:p>
        </w:tc>
      </w:tr>
      <w:tr>
        <w:tc>
          <w:tcPr>
            <w:tcW w:type="dxa" w:w="4986"/>
          </w:tcPr>
          <w:p>
            <w:r/>
            <w:r>
              <w:rPr>
                <w:color w:val="111111"/>
                <w:sz w:val="16"/>
              </w:rPr>
              <w:t>Global model R2 and Spearman</w:t>
            </w:r>
          </w:p>
        </w:tc>
        <w:tc>
          <w:tcPr>
            <w:tcW w:type="dxa" w:w="4986"/>
          </w:tcPr>
          <w:p>
            <w:r/>
            <w:r>
              <w:rPr>
                <w:color w:val="111111"/>
                <w:sz w:val="16"/>
              </w:rPr>
              <w:t>0.734 and 0.855</w:t>
            </w:r>
          </w:p>
        </w:tc>
      </w:tr>
      <w:tr>
        <w:tc>
          <w:tcPr>
            <w:tcW w:type="dxa" w:w="4986"/>
          </w:tcPr>
          <w:p>
            <w:r/>
            <w:r>
              <w:rPr>
                <w:color w:val="111111"/>
                <w:sz w:val="16"/>
              </w:rPr>
              <w:t>Local model R2 and Spearman</w:t>
            </w:r>
          </w:p>
        </w:tc>
        <w:tc>
          <w:tcPr>
            <w:tcW w:type="dxa" w:w="4986"/>
          </w:tcPr>
          <w:p>
            <w:r/>
            <w:r>
              <w:rPr>
                <w:color w:val="111111"/>
                <w:sz w:val="16"/>
              </w:rPr>
              <w:t>0.614 and 0.785</w:t>
            </w:r>
          </w:p>
        </w:tc>
      </w:tr>
      <w:tr>
        <w:tc>
          <w:tcPr>
            <w:tcW w:type="dxa" w:w="4986"/>
          </w:tcPr>
          <w:p>
            <w:r/>
            <w:r>
              <w:rPr>
                <w:color w:val="111111"/>
                <w:sz w:val="16"/>
              </w:rPr>
              <w:t>Local 2-year hit rate, undervalued and rest</w:t>
            </w:r>
          </w:p>
        </w:tc>
        <w:tc>
          <w:tcPr>
            <w:tcW w:type="dxa" w:w="4986"/>
          </w:tcPr>
          <w:p>
            <w:r/>
            <w:r>
              <w:rPr>
                <w:color w:val="111111"/>
                <w:sz w:val="16"/>
              </w:rPr>
              <w:t>52.8% and 35.8%</w:t>
            </w:r>
          </w:p>
        </w:tc>
      </w:tr>
      <w:tr>
        <w:tc>
          <w:tcPr>
            <w:tcW w:type="dxa" w:w="4986"/>
          </w:tcPr>
          <w:p>
            <w:r/>
            <w:r>
              <w:rPr>
                <w:color w:val="111111"/>
                <w:sz w:val="16"/>
              </w:rPr>
              <w:t>Base MILP score and brute-force score</w:t>
            </w:r>
          </w:p>
        </w:tc>
        <w:tc>
          <w:tcPr>
            <w:tcW w:type="dxa" w:w="4986"/>
          </w:tcPr>
          <w:p>
            <w:r/>
            <w:r>
              <w:rPr>
                <w:color w:val="111111"/>
                <w:sz w:val="16"/>
              </w:rPr>
              <w:t>238.98 and 238.98</w:t>
            </w:r>
          </w:p>
        </w:tc>
      </w:tr>
      <w:tr>
        <w:tc>
          <w:tcPr>
            <w:tcW w:type="dxa" w:w="4986"/>
          </w:tcPr>
          <w:p>
            <w:r/>
            <w:r>
              <w:rPr>
                <w:color w:val="111111"/>
                <w:sz w:val="16"/>
              </w:rPr>
              <w:t>Unit tests</w:t>
            </w:r>
          </w:p>
        </w:tc>
        <w:tc>
          <w:tcPr>
            <w:tcW w:type="dxa" w:w="4986"/>
          </w:tcPr>
          <w:p>
            <w:r/>
            <w:r>
              <w:rPr>
                <w:color w:val="111111"/>
                <w:sz w:val="16"/>
              </w:rPr>
              <w:t>9 passed</w:t>
            </w:r>
          </w:p>
        </w:tc>
      </w:tr>
    </w:tbl>
    <w:p>
      <w:r>
        <w:rPr>
          <w:i w:val="0"/>
          <w:color w:val="555555"/>
          <w:sz w:val="16"/>
        </w:rPr>
        <w:t>Table D1: Verification summary</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Assignment 5 | AI Football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