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ОНВУДИВЕ</w:t>
      </w:r>
      <w:r>
        <w:t xml:space="preserve"> </w:t>
      </w:r>
      <w:r>
        <w:t xml:space="preserve">ВИКТОР</w:t>
      </w:r>
      <w:r>
        <w:t xml:space="preserve"> </w:t>
      </w:r>
      <w:r>
        <w:t xml:space="preserve">ЧИБУИКЕ!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примеры реализации подпрограмм</w:t>
      </w:r>
    </w:p>
    <w:p>
      <w:pPr>
        <w:numPr>
          <w:ilvl w:val="0"/>
          <w:numId w:val="1001"/>
        </w:numPr>
      </w:pPr>
      <w:r>
        <w:t xml:space="preserve">Изучите работу с отладчиком GDB</w:t>
      </w:r>
    </w:p>
    <w:p>
      <w:pPr>
        <w:numPr>
          <w:ilvl w:val="0"/>
          <w:numId w:val="1001"/>
        </w:numPr>
      </w:pPr>
      <w:r>
        <w:t xml:space="preserve">Выполните самостоятеьное задание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</w:t>
      </w:r>
      <w:r>
        <w:t xml:space="preserve"> </w:t>
      </w:r>
      <w:r>
        <w:t xml:space="preserve">случае его можно разделить на четыре этапа:</w:t>
      </w:r>
    </w:p>
    <w:p>
      <w:pPr>
        <w:numPr>
          <w:ilvl w:val="0"/>
          <w:numId w:val="1002"/>
        </w:numPr>
      </w:pPr>
      <w:r>
        <w:t xml:space="preserve">обнаружение ошибки;</w:t>
      </w:r>
    </w:p>
    <w:p>
      <w:pPr>
        <w:numPr>
          <w:ilvl w:val="0"/>
          <w:numId w:val="1002"/>
        </w:numPr>
      </w:pPr>
      <w:r>
        <w:t xml:space="preserve">поиск её местонахождения;</w:t>
      </w:r>
    </w:p>
    <w:p>
      <w:pPr>
        <w:numPr>
          <w:ilvl w:val="0"/>
          <w:numId w:val="1002"/>
        </w:numPr>
      </w:pPr>
      <w:r>
        <w:t xml:space="preserve">определение причины ошибки;</w:t>
      </w:r>
    </w:p>
    <w:p>
      <w:pPr>
        <w:numPr>
          <w:ilvl w:val="0"/>
          <w:numId w:val="1002"/>
        </w:numPr>
      </w:pPr>
      <w:r>
        <w:t xml:space="preserve">исправление ошибки.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3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1, 2)</w:t>
      </w:r>
    </w:p>
    <w:p>
      <w:pPr>
        <w:pStyle w:val="CaptionedFigure"/>
      </w:pPr>
      <w:bookmarkStart w:id="26" w:name="fig:001"/>
      <w:r>
        <w:drawing>
          <wp:inline>
            <wp:extent cx="5334000" cy="5237988"/>
            <wp:effectExtent b="0" l="0" r="0" t="0"/>
            <wp:docPr descr="Рис. 1: Файл lab10-1.asm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30" w:name="fig:002"/>
      <w:r>
        <w:drawing>
          <wp:inline>
            <wp:extent cx="5334000" cy="3682670"/>
            <wp:effectExtent b="0" l="0" r="0" t="0"/>
            <wp:docPr descr="Рис. 2: Работа программы lab10-1.asm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4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4" w:name="fig:003"/>
      <w:r>
        <w:drawing>
          <wp:inline>
            <wp:extent cx="5334000" cy="5237988"/>
            <wp:effectExtent b="0" l="0" r="0" t="0"/>
            <wp:docPr descr="Рис. 3: Файл lab10-1.asm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8" w:name="fig:004"/>
      <w:r>
        <w:drawing>
          <wp:inline>
            <wp:extent cx="5334000" cy="2167561"/>
            <wp:effectExtent b="0" l="0" r="0" t="0"/>
            <wp:docPr descr="Рис. 4: Работа программы lab10-1.asm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5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2" w:name="fig:005"/>
      <w:r>
        <w:drawing>
          <wp:inline>
            <wp:extent cx="5334000" cy="4119813"/>
            <wp:effectExtent b="0" l="0" r="0" t="0"/>
            <wp:docPr descr="Рис. 5: Файл lab10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6" w:name="fig:006"/>
      <w:r>
        <w:drawing>
          <wp:inline>
            <wp:extent cx="5334000" cy="3140954"/>
            <wp:effectExtent b="0" l="0" r="0" t="0"/>
            <wp:docPr descr="Рис. 6: Работа программы lab10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0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7, 8)</w:t>
      </w:r>
    </w:p>
    <w:p>
      <w:pPr>
        <w:pStyle w:val="CaptionedFigure"/>
      </w:pPr>
      <w:bookmarkStart w:id="50" w:name="fig:007"/>
      <w:r>
        <w:drawing>
          <wp:inline>
            <wp:extent cx="5334000" cy="3682670"/>
            <wp:effectExtent b="0" l="0" r="0" t="0"/>
            <wp:docPr descr="Рис. 7: дис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4" w:name="fig:008"/>
      <w:r>
        <w:drawing>
          <wp:inline>
            <wp:extent cx="5334000" cy="3970701"/>
            <wp:effectExtent b="0" l="0" r="0" t="0"/>
            <wp:docPr descr="Рис. 8: дис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9)</w:t>
      </w:r>
    </w:p>
    <w:p>
      <w:pPr>
        <w:pStyle w:val="CaptionedFigure"/>
      </w:pPr>
      <w:bookmarkStart w:id="58" w:name="fig:009"/>
      <w:r>
        <w:drawing>
          <wp:inline>
            <wp:extent cx="5334000" cy="3970701"/>
            <wp:effectExtent b="0" l="0" r="0" t="0"/>
            <wp:docPr descr="Рис. 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2" w:name="fig:010"/>
      <w:r>
        <w:drawing>
          <wp:inline>
            <wp:extent cx="5334000" cy="3970701"/>
            <wp:effectExtent b="0" l="0" r="0" t="0"/>
            <wp:docPr descr="Рис. 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6" w:name="fig:011"/>
      <w:r>
        <w:drawing>
          <wp:inline>
            <wp:extent cx="5334000" cy="3970701"/>
            <wp:effectExtent b="0" l="0" r="0" t="0"/>
            <wp:docPr descr="Рис. 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12)</w:t>
      </w:r>
    </w:p>
    <w:p>
      <w:pPr>
        <w:pStyle w:val="CaptionedFigure"/>
      </w:pPr>
      <w:bookmarkStart w:id="70" w:name="fig:012"/>
      <w:r>
        <w:drawing>
          <wp:inline>
            <wp:extent cx="5334000" cy="4507081"/>
            <wp:effectExtent b="0" l="0" r="0" t="0"/>
            <wp:docPr descr="Рис. 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13)</w:t>
      </w:r>
    </w:p>
    <w:p>
      <w:pPr>
        <w:pStyle w:val="CaptionedFigure"/>
      </w:pPr>
      <w:bookmarkStart w:id="74" w:name="fig:013"/>
      <w:r>
        <w:drawing>
          <wp:inline>
            <wp:extent cx="5334000" cy="5445745"/>
            <wp:effectExtent b="0" l="0" r="0" t="0"/>
            <wp:docPr descr="Рис. 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5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измените значение регистра ebx:(рис. 14)</w:t>
      </w:r>
    </w:p>
    <w:p>
      <w:pPr>
        <w:pStyle w:val="CaptionedFigure"/>
      </w:pPr>
      <w:bookmarkStart w:id="78" w:name="fig:014"/>
      <w:r>
        <w:drawing>
          <wp:inline>
            <wp:extent cx="5334000" cy="5445745"/>
            <wp:effectExtent b="0" l="0" r="0" t="0"/>
            <wp:docPr descr="Рис. 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5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6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2" w:name="fig:015"/>
      <w:r>
        <w:drawing>
          <wp:inline>
            <wp:extent cx="5334000" cy="4015567"/>
            <wp:effectExtent b="0" l="0" r="0" t="0"/>
            <wp:docPr descr="Рис. 15: вывод значения регистр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7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6" w:name="fig:016"/>
      <w:r>
        <w:drawing>
          <wp:inline>
            <wp:extent cx="5334000" cy="5237988"/>
            <wp:effectExtent b="0" l="0" r="0" t="0"/>
            <wp:docPr descr="Рис. 16: Файл lab10-4.asm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90" w:name="fig:017"/>
      <w:r>
        <w:drawing>
          <wp:inline>
            <wp:extent cx="5334000" cy="1504665"/>
            <wp:effectExtent b="0" l="0" r="0" t="0"/>
            <wp:docPr descr="Рис. 17: Работа программы lab10-4.asm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8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18 19 20 21)</w:t>
      </w:r>
    </w:p>
    <w:p>
      <w:pPr>
        <w:pStyle w:val="CaptionedFigure"/>
      </w:pPr>
      <w:bookmarkStart w:id="94" w:name="fig:018"/>
      <w:r>
        <w:drawing>
          <wp:inline>
            <wp:extent cx="5334000" cy="5237988"/>
            <wp:effectExtent b="0" l="0" r="0" t="0"/>
            <wp:docPr descr="Рис. 18: код с ошибкой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8" w:name="fig:019"/>
      <w:r>
        <w:drawing>
          <wp:inline>
            <wp:extent cx="5334000" cy="5237988"/>
            <wp:effectExtent b="0" l="0" r="0" t="0"/>
            <wp:docPr descr="Рис. 19: отладка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2" w:name="fig:020"/>
      <w:r>
        <w:drawing>
          <wp:inline>
            <wp:extent cx="5334000" cy="3365029"/>
            <wp:effectExtent b="0" l="0" r="0" t="0"/>
            <wp:docPr descr="Рис. 20: код исправлен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6" w:name="fig:021"/>
      <w:r>
        <w:drawing>
          <wp:inline>
            <wp:extent cx="5334000" cy="3448706"/>
            <wp:effectExtent b="0" l="0" r="0" t="0"/>
            <wp:docPr descr="Рис. 21: проверка работы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проверка работы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8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109">
        <w:r>
          <w:rPr>
            <w:rStyle w:val="Hyperlink"/>
          </w:rPr>
          <w:t xml:space="preserve">Расширенный ассемблер: NASM</w:t>
        </w:r>
      </w:hyperlink>
    </w:p>
    <w:p>
      <w:pPr>
        <w:numPr>
          <w:ilvl w:val="0"/>
          <w:numId w:val="1009"/>
        </w:numPr>
        <w:pStyle w:val="Compact"/>
      </w:pPr>
      <w:hyperlink r:id="rId110">
        <w:r>
          <w:rPr>
            <w:rStyle w:val="Hyperlink"/>
          </w:rPr>
          <w:t xml:space="preserve">MASM, TASM, FASM, NASM под Windows и Linux</w:t>
        </w:r>
      </w:hyperlink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0" Target="https://habr.com/ru/post/326078/" TargetMode="External" /><Relationship Type="http://schemas.openxmlformats.org/officeDocument/2006/relationships/hyperlink" Id="rId109" Target="https://www.opennet.ru/docs/RUS/nas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ОНВУДИВЕ ВИКТОР ЧИБУИКЕ!</dc:creator>
  <dc:language>ru-RU</dc:language>
  <cp:keywords/>
  <dcterms:created xsi:type="dcterms:W3CDTF">2023-01-12T20:30:15Z</dcterms:created>
  <dcterms:modified xsi:type="dcterms:W3CDTF">2023-01-12T20:30:15Z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