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right"/>
      </w:pPr>
      <w:r>
        <w:rPr>
          <w:sz w:val="21"/>
        </w:rPr>
        <w:t>Генеральному директору</w:t>
        <w:br/>
        <w:t>ПАО Московская Биржа</w:t>
        <w:br/>
        <w:t>_______________________</w:t>
      </w:r>
    </w:p>
    <w:p>
      <w:pPr>
        <w:spacing w:before="0" w:after="0" w:line="160" w:lineRule="exact"/>
      </w:pPr>
    </w:p>
    <w:p>
      <w:pPr>
        <w:spacing w:after="80"/>
        <w:jc w:val="right"/>
      </w:pPr>
      <w:r>
        <w:rPr>
          <w:sz w:val="21"/>
        </w:rPr>
        <w:t>от Индивидуального предпринимателя</w:t>
        <w:br/>
        <w:t>[ФИО]</w:t>
        <w:br/>
        <w:t>ИНН: [ИНН]</w:t>
        <w:br/>
        <w:t>Адрес: [адрес]</w:t>
        <w:br/>
        <w:t>Тел.: [телефон]</w:t>
        <w:br/>
        <w:t>E-mail: [email]</w:t>
      </w:r>
    </w:p>
    <w:p>
      <w:pPr>
        <w:spacing w:before="0" w:after="0" w:line="280" w:lineRule="exact"/>
      </w:pPr>
    </w:p>
    <w:p>
      <w:pPr>
        <w:spacing w:after="80"/>
        <w:jc w:val="center"/>
      </w:pPr>
      <w:r>
        <w:rPr>
          <w:b/>
          <w:sz w:val="28"/>
        </w:rPr>
        <w:t>ОБРАЩЕНИЕ</w:t>
      </w:r>
    </w:p>
    <w:p>
      <w:pPr>
        <w:spacing w:after="40"/>
        <w:jc w:val="center"/>
      </w:pPr>
      <w:r>
        <w:rPr>
          <w:b/>
          <w:sz w:val="24"/>
        </w:rPr>
        <w:t>о предоставлении льготных условий доступа к данным</w:t>
        <w:br/>
        <w:t>для аналитической платформы «Фрейм»</w:t>
      </w:r>
    </w:p>
    <w:p>
      <w:pPr>
        <w:spacing w:after="320"/>
        <w:jc w:val="center"/>
      </w:pPr>
      <w:r>
        <w:rPr>
          <w:i/>
          <w:sz w:val="21"/>
        </w:rPr>
        <w:t>г. Москва, 18.02.2026</w:t>
      </w:r>
    </w:p>
    <w:p>
      <w:pPr>
        <w:pStyle w:val="Heading1"/>
        <w:spacing w:before="280" w:after="80"/>
      </w:pPr>
      <w:r>
        <w:rPr>
          <w:color w:val="1F3864"/>
          <w:sz w:val="26"/>
        </w:rPr>
        <w:t>1. Суть обращения</w:t>
      </w:r>
    </w:p>
    <w:p>
      <w:pPr>
        <w:spacing w:before="0" w:after="100"/>
        <w:jc w:val="both"/>
      </w:pPr>
      <w:r>
        <w:rPr>
          <w:b w:val="0"/>
          <w:sz w:val="21"/>
        </w:rPr>
        <w:t>Настоящим обращаемся с просьбой о предоставлении льготных условий доступа к биржевым данным ПАО Московская Биржа для аналитической платформы «Фрейм», находящейся на стадии разработки и предназначенной для частных инвесторов — физических лиц.</w:t>
      </w:r>
    </w:p>
    <w:p>
      <w:pPr>
        <w:spacing w:before="0" w:after="60"/>
        <w:jc w:val="both"/>
      </w:pPr>
      <w:r>
        <w:rPr>
          <w:b/>
          <w:sz w:val="21"/>
        </w:rPr>
        <w:t>Конкретные запросы:</w:t>
      </w:r>
    </w:p>
    <w:p>
      <w:pPr>
        <w:pStyle w:val="ListBullet"/>
        <w:spacing w:before="20" w:after="60"/>
      </w:pPr>
      <w:r>
        <w:rPr>
          <w:sz w:val="21"/>
        </w:rPr>
        <w:t>Бесплатный доступ к данным MOEX BI по срочному рынку, рынку акций и индексам на период 24 (двадцать четыре) месяца с даты заключения договора.</w:t>
      </w:r>
    </w:p>
    <w:p>
      <w:pPr>
        <w:pStyle w:val="ListBullet"/>
        <w:spacing w:before="20" w:after="60"/>
      </w:pPr>
      <w:r>
        <w:rPr>
          <w:sz w:val="21"/>
        </w:rPr>
        <w:t>Рассрочка оплаты архивных данных (исторические данные по срочному рынку, рынку акций и индексам) сроком на 36 (тридцать шесть) месяцев равными долями.</w:t>
      </w:r>
    </w:p>
    <w:p>
      <w:pPr>
        <w:pStyle w:val="Heading1"/>
        <w:spacing w:before="280" w:after="80"/>
      </w:pPr>
      <w:r>
        <w:rPr>
          <w:color w:val="1F3864"/>
          <w:sz w:val="26"/>
        </w:rPr>
        <w:t>2. О проекте «Фрейм»</w:t>
      </w:r>
    </w:p>
    <w:p>
      <w:pPr>
        <w:spacing w:before="0" w:after="100"/>
        <w:jc w:val="both"/>
      </w:pPr>
      <w:r>
        <w:rPr>
          <w:b w:val="0"/>
          <w:sz w:val="21"/>
        </w:rPr>
        <w:t>«Фрейм» — аналитическая веб-платформа для частных инвесторов, работающих на российском фондовом рынке. Платформа предоставляет профессиональные аналитические инструменты, ранее доступные преимущественно институциональным участникам, в формате удобном для розничного инвестора.</w:t>
      </w:r>
    </w:p>
    <w:p>
      <w:pPr>
        <w:spacing w:before="0" w:after="60"/>
        <w:jc w:val="both"/>
      </w:pPr>
      <w:r>
        <w:rPr>
          <w:b/>
          <w:sz w:val="21"/>
        </w:rPr>
        <w:t>Ключевые индикаторы платформы:</w:t>
      </w:r>
    </w:p>
    <w:p>
      <w:pPr>
        <w:pStyle w:val="ListBullet"/>
        <w:spacing w:before="20" w:after="60"/>
      </w:pPr>
      <w:r>
        <w:rPr>
          <w:sz w:val="21"/>
        </w:rPr>
        <w:t>Индикатор MCFTR/M2 — оценка рынка акций относительно денежной ликвидности.</w:t>
      </w:r>
    </w:p>
    <w:p>
      <w:pPr>
        <w:pStyle w:val="ListBullet"/>
        <w:spacing w:before="20" w:after="60"/>
      </w:pPr>
      <w:r>
        <w:rPr>
          <w:sz w:val="21"/>
        </w:rPr>
        <w:t>Открытый интерес фьючерсов — позиции физических и юридических лиц в разбивке по инструментам (5м / 60м / дневные).</w:t>
      </w:r>
    </w:p>
    <w:p>
      <w:pPr>
        <w:pStyle w:val="ListBullet"/>
        <w:spacing w:before="20" w:after="60"/>
      </w:pPr>
      <w:r>
        <w:rPr>
          <w:sz w:val="21"/>
        </w:rPr>
        <w:t>Market Breadth — доля акций, торгующихся выше скользящей средней: индикатор «здоровья» рынка.</w:t>
      </w:r>
    </w:p>
    <w:p>
      <w:pPr>
        <w:pStyle w:val="ListBullet"/>
        <w:spacing w:before="20" w:after="60"/>
      </w:pPr>
      <w:r>
        <w:rPr>
          <w:sz w:val="21"/>
        </w:rPr>
        <w:t>Карта рынка (Heatmap) — визуализация изменений цен и оборотов акций по секторам.</w:t>
      </w:r>
    </w:p>
    <w:p>
      <w:pPr>
        <w:pStyle w:val="ListBullet"/>
        <w:spacing w:before="20" w:after="60"/>
      </w:pPr>
      <w:r>
        <w:rPr>
          <w:sz w:val="21"/>
        </w:rPr>
        <w:t>СЧА фондов БПИФ — динамика стоимости чистых активов по категориям фондов (акции, облигации, золото, денежный рынок).</w:t>
      </w:r>
    </w:p>
    <w:p>
      <w:pPr>
        <w:spacing w:before="0" w:after="0" w:line="80" w:lineRule="exact"/>
      </w:pPr>
    </w:p>
    <w:p>
      <w:pPr>
        <w:spacing w:before="0" w:after="100"/>
        <w:jc w:val="both"/>
      </w:pPr>
      <w:r>
        <w:rPr>
          <w:b w:val="0"/>
          <w:sz w:val="21"/>
        </w:rPr>
        <w:t>Подробное описание каждого индикатора с указанием используемых данных, источников и формул расчёта приведено в Приложении 1 к настоящему обращению.</w:t>
      </w:r>
    </w:p>
    <w:p>
      <w:pPr>
        <w:spacing w:before="0" w:after="60"/>
        <w:jc w:val="both"/>
      </w:pPr>
      <w:r>
        <w:rPr>
          <w:b/>
          <w:sz w:val="21"/>
        </w:rPr>
        <w:t>Статус проекта:</w:t>
      </w:r>
    </w:p>
    <w:p>
      <w:pPr>
        <w:pStyle w:val="ListBullet"/>
        <w:spacing w:before="20" w:after="60"/>
      </w:pPr>
      <w:r>
        <w:rPr>
          <w:sz w:val="21"/>
        </w:rPr>
        <w:t>Стадия: активная разработка, предзапуск.</w:t>
      </w:r>
    </w:p>
    <w:p>
      <w:pPr>
        <w:pStyle w:val="ListBullet"/>
        <w:spacing w:before="20" w:after="60"/>
      </w:pPr>
      <w:r>
        <w:rPr>
          <w:sz w:val="21"/>
        </w:rPr>
        <w:t>Команда: 2 человека (разработка и аналитика).</w:t>
      </w:r>
    </w:p>
    <w:p>
      <w:pPr>
        <w:pStyle w:val="ListBullet"/>
        <w:spacing w:before="20" w:after="60"/>
      </w:pPr>
      <w:r>
        <w:rPr>
          <w:sz w:val="21"/>
        </w:rPr>
        <w:t>Юридическая форма: Индивидуальный предприниматель.</w:t>
      </w:r>
    </w:p>
    <w:p>
      <w:pPr>
        <w:pStyle w:val="ListBullet"/>
        <w:spacing w:before="20" w:after="60"/>
      </w:pPr>
      <w:r>
        <w:rPr>
          <w:sz w:val="21"/>
        </w:rPr>
        <w:t>Продукт ориентирован исключительно на конечных пользователей — физических лиц. Перепродажа данных третьим лицам не предусмотрена и будет исключена условиями договора.</w:t>
      </w:r>
    </w:p>
    <w:p>
      <w:pPr>
        <w:pStyle w:val="Heading1"/>
        <w:spacing w:before="280" w:after="80"/>
      </w:pPr>
      <w:r>
        <w:rPr>
          <w:color w:val="1F3864"/>
          <w:sz w:val="26"/>
        </w:rPr>
        <w:t>3. Финансовое обоснование</w:t>
      </w:r>
    </w:p>
    <w:p>
      <w:pPr>
        <w:spacing w:before="0" w:after="100"/>
        <w:jc w:val="both"/>
      </w:pPr>
      <w:r>
        <w:rPr>
          <w:b w:val="0"/>
          <w:sz w:val="21"/>
        </w:rPr>
        <w:t>Проект реализуется на собственные средства основателей без привлечения внешнего финансирования. На стадии до запуска и в первые месяцы после запуска команда несёт следующие расходы:</w:t>
      </w:r>
    </w:p>
    <w:p>
      <w:pPr>
        <w:spacing w:before="0" w:after="0" w:line="80" w:lineRule="exact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vAlign w:val="center"/>
            <w:shd w:val="clear" w:color="auto" w:fill="2C477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Статья расходов</w:t>
            </w:r>
          </w:p>
        </w:tc>
        <w:tc>
          <w:tcPr>
            <w:tcW w:type="dxa" w:w="3324"/>
            <w:vAlign w:val="center"/>
            <w:shd w:val="clear" w:color="auto" w:fill="2C477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В месяц</w:t>
            </w:r>
          </w:p>
        </w:tc>
        <w:tc>
          <w:tcPr>
            <w:tcW w:type="dxa" w:w="3324"/>
            <w:vAlign w:val="center"/>
            <w:shd w:val="clear" w:color="auto" w:fill="2C477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В год</w:t>
            </w:r>
          </w:p>
        </w:tc>
      </w:tr>
      <w:tr>
        <w:tc>
          <w:tcPr>
            <w:tcW w:type="dxa" w:w="3324"/>
            <w:shd w:val="clear" w:color="auto" w:fill="FFFFFF"/>
          </w:tcPr>
          <w:p>
            <w:r>
              <w:rPr>
                <w:sz w:val="20"/>
              </w:rPr>
              <w:t>Серверная инфраструктура (VPS, БД)</w:t>
            </w:r>
          </w:p>
        </w:tc>
        <w:tc>
          <w:tcPr>
            <w:tcW w:type="dxa" w:w="3324"/>
            <w:shd w:val="clear" w:color="auto" w:fill="FFFFFF"/>
          </w:tcPr>
          <w:p>
            <w:pPr>
              <w:jc w:val="center"/>
            </w:pPr>
            <w:r>
              <w:rPr>
                <w:sz w:val="20"/>
              </w:rPr>
              <w:t>от [X] руб.</w:t>
            </w:r>
          </w:p>
        </w:tc>
        <w:tc>
          <w:tcPr>
            <w:tcW w:type="dxa" w:w="3324"/>
            <w:shd w:val="clear" w:color="auto" w:fill="FFFFFF"/>
          </w:tcPr>
          <w:p>
            <w:pPr>
              <w:jc w:val="center"/>
            </w:pPr>
            <w:r>
              <w:rPr>
                <w:sz w:val="20"/>
              </w:rPr>
              <w:t>от [X] руб.</w:t>
            </w:r>
          </w:p>
        </w:tc>
      </w:tr>
      <w:tr>
        <w:tc>
          <w:tcPr>
            <w:tcW w:type="dxa" w:w="3324"/>
            <w:shd w:val="clear" w:color="auto" w:fill="F5F7FA"/>
          </w:tcPr>
          <w:p>
            <w:r>
              <w:rPr>
                <w:sz w:val="20"/>
              </w:rPr>
              <w:t>Домен, SSL, CDN</w:t>
            </w:r>
          </w:p>
        </w:tc>
        <w:tc>
          <w:tcPr>
            <w:tcW w:type="dxa" w:w="3324"/>
            <w:shd w:val="clear" w:color="auto" w:fill="F5F7FA"/>
          </w:tcPr>
          <w:p>
            <w:pPr>
              <w:jc w:val="center"/>
            </w:pPr>
            <w:r>
              <w:rPr>
                <w:sz w:val="20"/>
              </w:rPr>
              <w:t xml:space="preserve">— </w:t>
            </w:r>
          </w:p>
        </w:tc>
        <w:tc>
          <w:tcPr>
            <w:tcW w:type="dxa" w:w="3324"/>
            <w:shd w:val="clear" w:color="auto" w:fill="F5F7FA"/>
          </w:tcPr>
          <w:p>
            <w:pPr>
              <w:jc w:val="center"/>
            </w:pPr>
            <w:r>
              <w:rPr>
                <w:sz w:val="20"/>
              </w:rPr>
              <w:t>[X] руб.</w:t>
            </w:r>
          </w:p>
        </w:tc>
      </w:tr>
      <w:tr>
        <w:tc>
          <w:tcPr>
            <w:tcW w:type="dxa" w:w="3324"/>
            <w:shd w:val="clear" w:color="auto" w:fill="FFFFFF"/>
          </w:tcPr>
          <w:p>
            <w:r>
              <w:rPr>
                <w:sz w:val="20"/>
              </w:rPr>
              <w:t>Прочие инструменты разработки</w:t>
            </w:r>
          </w:p>
        </w:tc>
        <w:tc>
          <w:tcPr>
            <w:tcW w:type="dxa" w:w="3324"/>
            <w:shd w:val="clear" w:color="auto" w:fill="FFFFFF"/>
          </w:tcPr>
          <w:p>
            <w:pPr>
              <w:jc w:val="center"/>
            </w:pPr>
            <w:r>
              <w:rPr>
                <w:sz w:val="20"/>
              </w:rPr>
              <w:t>от [X] руб.</w:t>
            </w:r>
          </w:p>
        </w:tc>
        <w:tc>
          <w:tcPr>
            <w:tcW w:type="dxa" w:w="3324"/>
            <w:shd w:val="clear" w:color="auto" w:fill="FFFFFF"/>
          </w:tcPr>
          <w:p>
            <w:pPr>
              <w:jc w:val="center"/>
            </w:pPr>
            <w:r>
              <w:rPr>
                <w:sz w:val="20"/>
              </w:rPr>
              <w:t>от [X] руб.</w:t>
            </w:r>
          </w:p>
        </w:tc>
      </w:tr>
      <w:tr>
        <w:tc>
          <w:tcPr>
            <w:tcW w:type="dxa" w:w="3324"/>
            <w:shd w:val="clear" w:color="auto" w:fill="F5F7FA"/>
          </w:tcPr>
          <w:p>
            <w:r>
              <w:rPr>
                <w:sz w:val="20"/>
              </w:rPr>
              <w:t>Данные MOEX BI (стандартный тариф)</w:t>
            </w:r>
          </w:p>
        </w:tc>
        <w:tc>
          <w:tcPr>
            <w:tcW w:type="dxa" w:w="3324"/>
            <w:shd w:val="clear" w:color="auto" w:fill="F5F7FA"/>
          </w:tcPr>
          <w:p>
            <w:pPr>
              <w:jc w:val="center"/>
            </w:pPr>
            <w:r>
              <w:rPr>
                <w:sz w:val="20"/>
              </w:rPr>
              <w:t>от [X] руб.</w:t>
            </w:r>
          </w:p>
        </w:tc>
        <w:tc>
          <w:tcPr>
            <w:tcW w:type="dxa" w:w="3324"/>
            <w:shd w:val="clear" w:color="auto" w:fill="F5F7FA"/>
          </w:tcPr>
          <w:p>
            <w:pPr>
              <w:jc w:val="center"/>
            </w:pPr>
            <w:r>
              <w:rPr>
                <w:sz w:val="20"/>
              </w:rPr>
              <w:t>от [X] руб.</w:t>
            </w:r>
          </w:p>
        </w:tc>
      </w:tr>
      <w:tr>
        <w:tc>
          <w:tcPr>
            <w:tcW w:type="dxa" w:w="3324"/>
            <w:shd w:val="clear" w:color="auto" w:fill="FFFFFF"/>
          </w:tcPr>
          <w:p>
            <w:r>
              <w:rPr>
                <w:b/>
                <w:sz w:val="20"/>
              </w:rPr>
              <w:t>ИТОГО (без данных MOEX / с данными)</w:t>
            </w:r>
          </w:p>
        </w:tc>
        <w:tc>
          <w:tcPr>
            <w:tcW w:type="dxa" w:w="3324"/>
            <w:shd w:val="clear" w:color="auto" w:fill="FFFFFF"/>
          </w:tcPr>
          <w:p>
            <w:pPr>
              <w:jc w:val="center"/>
            </w:pPr>
            <w:r>
              <w:rPr>
                <w:b/>
                <w:sz w:val="20"/>
              </w:rPr>
              <w:t xml:space="preserve">— </w:t>
            </w:r>
          </w:p>
        </w:tc>
        <w:tc>
          <w:tcPr>
            <w:tcW w:type="dxa" w:w="3324"/>
            <w:shd w:val="clear" w:color="auto" w:fill="FFFFFF"/>
          </w:tcPr>
          <w:p>
            <w:pPr>
              <w:jc w:val="center"/>
            </w:pPr>
            <w:r>
              <w:rPr>
                <w:b/>
                <w:sz w:val="20"/>
              </w:rPr>
              <w:t>[X] / [X] руб.</w:t>
            </w:r>
          </w:p>
        </w:tc>
      </w:tr>
    </w:tbl>
    <w:p>
      <w:pPr>
        <w:spacing w:before="0" w:after="0" w:line="120" w:lineRule="exact"/>
      </w:pPr>
    </w:p>
    <w:p>
      <w:pPr>
        <w:spacing w:before="0" w:after="100"/>
        <w:jc w:val="both"/>
      </w:pPr>
      <w:r>
        <w:rPr>
          <w:b w:val="0"/>
          <w:sz w:val="21"/>
        </w:rPr>
        <w:t>Стоимость данных по стандартному тарифу MOEX BI составляет значительную долю совокупных расходов проекта на стадии роста. При нулевой абонентской базе на старте полный тариф делает проект экономически нежизнеспособным в первые 12–18 месяцев. Именно поэтому льготный период является ключевым условием для запуска продукта.</w:t>
      </w:r>
    </w:p>
    <w:p>
      <w:pPr>
        <w:spacing w:before="0" w:after="100"/>
        <w:jc w:val="both"/>
      </w:pPr>
      <w:r>
        <w:rPr>
          <w:b w:val="0"/>
          <w:sz w:val="21"/>
        </w:rPr>
        <w:t>Стоимость архивных данных исчисляется миллионами рублей, что при единовременной оплате недоступно для команды стартапа. Рассрочка на 36 месяцев позволит обеспечить полноценную историческую глубину данных с первого дня работы платформы.</w:t>
      </w:r>
    </w:p>
    <w:p>
      <w:pPr>
        <w:pStyle w:val="Heading1"/>
        <w:spacing w:before="280" w:after="80"/>
      </w:pPr>
      <w:r>
        <w:rPr>
          <w:color w:val="1F3864"/>
          <w:sz w:val="26"/>
        </w:rPr>
        <w:t>4. Бизнес-модель и прогноз развития</w:t>
      </w:r>
    </w:p>
    <w:p>
      <w:pPr>
        <w:spacing w:before="0" w:after="60"/>
        <w:jc w:val="both"/>
      </w:pPr>
      <w:r>
        <w:rPr>
          <w:b/>
          <w:sz w:val="21"/>
        </w:rPr>
        <w:t>Монетизация:</w:t>
      </w:r>
    </w:p>
    <w:p>
      <w:pPr>
        <w:pStyle w:val="ListBullet"/>
        <w:spacing w:before="20" w:after="60"/>
      </w:pPr>
      <w:r>
        <w:rPr>
          <w:sz w:val="21"/>
        </w:rPr>
        <w:t>Модель: платная подписка для физических лиц.</w:t>
      </w:r>
    </w:p>
    <w:p>
      <w:pPr>
        <w:pStyle w:val="ListBullet"/>
        <w:spacing w:before="20" w:after="60"/>
      </w:pPr>
      <w:r>
        <w:rPr>
          <w:sz w:val="21"/>
        </w:rPr>
        <w:t>Тарифные планы: базовый и расширенный (конкретные цены определяются по результатам рыночного тестирования).</w:t>
      </w:r>
    </w:p>
    <w:p>
      <w:pPr>
        <w:pStyle w:val="ListBullet"/>
        <w:spacing w:before="20" w:after="60"/>
      </w:pPr>
      <w:r>
        <w:rPr>
          <w:sz w:val="21"/>
        </w:rPr>
        <w:t>Данные конечным пользователям предоставляются исключительно в агрегированном аналитическом виде; сырые биржевые данные не передаются и не перепродаются.</w:t>
      </w:r>
    </w:p>
    <w:p>
      <w:pPr>
        <w:spacing w:before="0" w:after="0" w:line="80" w:lineRule="exact"/>
      </w:pPr>
    </w:p>
    <w:p>
      <w:pPr>
        <w:spacing w:before="0" w:after="60"/>
        <w:jc w:val="both"/>
      </w:pPr>
      <w:r>
        <w:rPr>
          <w:b/>
          <w:sz w:val="21"/>
        </w:rPr>
        <w:t>Прогноз пользователей (консервативный сценарий):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2C477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Период</w:t>
            </w:r>
          </w:p>
        </w:tc>
        <w:tc>
          <w:tcPr>
            <w:tcW w:type="dxa" w:w="2493"/>
            <w:shd w:val="clear" w:color="auto" w:fill="2C477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Пользователей</w:t>
              <w:br/>
              <w:t>(платных)</w:t>
            </w:r>
          </w:p>
        </w:tc>
        <w:tc>
          <w:tcPr>
            <w:tcW w:type="dxa" w:w="2493"/>
            <w:shd w:val="clear" w:color="auto" w:fill="2C477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Среднемесячная</w:t>
              <w:br/>
              <w:t>выручка</w:t>
            </w:r>
          </w:p>
        </w:tc>
        <w:tc>
          <w:tcPr>
            <w:tcW w:type="dxa" w:w="2493"/>
            <w:shd w:val="clear" w:color="auto" w:fill="2C477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Статус</w:t>
            </w:r>
          </w:p>
        </w:tc>
      </w:tr>
      <w:tr>
        <w:tc>
          <w:tcPr>
            <w:tcW w:type="dxa" w:w="2493"/>
            <w:shd w:val="clear" w:color="auto" w:fill="FFFFFF"/>
          </w:tcPr>
          <w:p>
            <w:pPr>
              <w:jc w:val="center"/>
            </w:pPr>
            <w:r>
              <w:rPr>
                <w:sz w:val="20"/>
              </w:rPr>
              <w:t>2026 — 2027 (год 1)</w:t>
            </w:r>
          </w:p>
        </w:tc>
        <w:tc>
          <w:tcPr>
            <w:tcW w:type="dxa" w:w="2493"/>
            <w:shd w:val="clear" w:color="auto" w:fill="FFFFFF"/>
          </w:tcPr>
          <w:p>
            <w:pPr>
              <w:jc w:val="center"/>
            </w:pPr>
            <w:r>
              <w:rPr>
                <w:sz w:val="20"/>
              </w:rPr>
              <w:t>0 → [X]</w:t>
            </w:r>
          </w:p>
        </w:tc>
        <w:tc>
          <w:tcPr>
            <w:tcW w:type="dxa" w:w="2493"/>
            <w:shd w:val="clear" w:color="auto" w:fill="FFFFFF"/>
          </w:tcPr>
          <w:p>
            <w:pPr>
              <w:jc w:val="center"/>
            </w:pPr>
            <w:r>
              <w:rPr>
                <w:sz w:val="20"/>
              </w:rPr>
              <w:t>[X] руб.</w:t>
            </w:r>
          </w:p>
        </w:tc>
        <w:tc>
          <w:tcPr>
            <w:tcW w:type="dxa" w:w="2493"/>
            <w:shd w:val="clear" w:color="auto" w:fill="FFFFFF"/>
          </w:tcPr>
          <w:p>
            <w:pPr>
              <w:jc w:val="center"/>
            </w:pPr>
            <w:r>
              <w:rPr>
                <w:sz w:val="20"/>
              </w:rPr>
              <w:t>Льготный период</w:t>
            </w:r>
          </w:p>
        </w:tc>
      </w:tr>
      <w:tr>
        <w:tc>
          <w:tcPr>
            <w:tcW w:type="dxa" w:w="2493"/>
            <w:shd w:val="clear" w:color="auto" w:fill="F5F7FA"/>
          </w:tcPr>
          <w:p>
            <w:pPr>
              <w:jc w:val="center"/>
            </w:pPr>
            <w:r>
              <w:rPr>
                <w:sz w:val="20"/>
              </w:rPr>
              <w:t>2027 — 2028 (год 2)</w:t>
            </w:r>
          </w:p>
        </w:tc>
        <w:tc>
          <w:tcPr>
            <w:tcW w:type="dxa" w:w="2493"/>
            <w:shd w:val="clear" w:color="auto" w:fill="F5F7FA"/>
          </w:tcPr>
          <w:p>
            <w:pPr>
              <w:jc w:val="center"/>
            </w:pPr>
            <w:r>
              <w:rPr>
                <w:sz w:val="20"/>
              </w:rPr>
              <w:t>[X] → [X]</w:t>
            </w:r>
          </w:p>
        </w:tc>
        <w:tc>
          <w:tcPr>
            <w:tcW w:type="dxa" w:w="2493"/>
            <w:shd w:val="clear" w:color="auto" w:fill="F5F7FA"/>
          </w:tcPr>
          <w:p>
            <w:pPr>
              <w:jc w:val="center"/>
            </w:pPr>
            <w:r>
              <w:rPr>
                <w:sz w:val="20"/>
              </w:rPr>
              <w:t>[X] руб.</w:t>
            </w:r>
          </w:p>
        </w:tc>
        <w:tc>
          <w:tcPr>
            <w:tcW w:type="dxa" w:w="2493"/>
            <w:shd w:val="clear" w:color="auto" w:fill="F5F7FA"/>
          </w:tcPr>
          <w:p>
            <w:pPr>
              <w:jc w:val="center"/>
            </w:pPr>
            <w:r>
              <w:rPr>
                <w:sz w:val="20"/>
              </w:rPr>
              <w:t>Льготный период</w:t>
            </w:r>
          </w:p>
        </w:tc>
      </w:tr>
      <w:tr>
        <w:tc>
          <w:tcPr>
            <w:tcW w:type="dxa" w:w="2493"/>
            <w:shd w:val="clear" w:color="auto" w:fill="FFFFFF"/>
          </w:tcPr>
          <w:p>
            <w:pPr>
              <w:jc w:val="center"/>
            </w:pPr>
            <w:r>
              <w:rPr>
                <w:sz w:val="20"/>
              </w:rPr>
              <w:t>2028+ (год 3+)</w:t>
            </w:r>
          </w:p>
        </w:tc>
        <w:tc>
          <w:tcPr>
            <w:tcW w:type="dxa" w:w="2493"/>
            <w:shd w:val="clear" w:color="auto" w:fill="FFFFFF"/>
          </w:tcPr>
          <w:p>
            <w:pPr>
              <w:jc w:val="center"/>
            </w:pPr>
            <w:r>
              <w:rPr>
                <w:sz w:val="20"/>
              </w:rPr>
              <w:t>[X]+</w:t>
            </w:r>
          </w:p>
        </w:tc>
        <w:tc>
          <w:tcPr>
            <w:tcW w:type="dxa" w:w="2493"/>
            <w:shd w:val="clear" w:color="auto" w:fill="FFFFFF"/>
          </w:tcPr>
          <w:p>
            <w:pPr>
              <w:jc w:val="center"/>
            </w:pPr>
            <w:r>
              <w:rPr>
                <w:sz w:val="20"/>
              </w:rPr>
              <w:t>[X]+ руб.</w:t>
            </w:r>
          </w:p>
        </w:tc>
        <w:tc>
          <w:tcPr>
            <w:tcW w:type="dxa" w:w="2493"/>
            <w:shd w:val="clear" w:color="auto" w:fill="FFFFFF"/>
          </w:tcPr>
          <w:p>
            <w:pPr>
              <w:jc w:val="center"/>
            </w:pPr>
            <w:r>
              <w:rPr>
                <w:sz w:val="20"/>
              </w:rPr>
              <w:t>Стандартный тариф</w:t>
            </w:r>
          </w:p>
        </w:tc>
      </w:tr>
    </w:tbl>
    <w:p>
      <w:pPr>
        <w:spacing w:before="0" w:after="0" w:line="120" w:lineRule="exact"/>
      </w:pPr>
    </w:p>
    <w:p>
      <w:pPr>
        <w:spacing w:before="0" w:after="100"/>
        <w:jc w:val="both"/>
      </w:pPr>
      <w:r>
        <w:rPr>
          <w:b w:val="0"/>
          <w:sz w:val="21"/>
        </w:rPr>
        <w:t>По окончании льготного периода (2 года) проект планирует перейти на стандартные коммерческие условия. Наличие абонентской базы и выручки к этому моменту обеспечит финансовую устойчивость для полноценных расчётов за данные.</w:t>
      </w:r>
    </w:p>
    <w:p>
      <w:pPr>
        <w:pStyle w:val="Heading1"/>
        <w:spacing w:before="280" w:after="80"/>
      </w:pPr>
      <w:r>
        <w:rPr>
          <w:color w:val="1F3864"/>
          <w:sz w:val="26"/>
        </w:rPr>
        <w:t>5. Выгода для ПАО Московская Биржа</w:t>
      </w:r>
    </w:p>
    <w:p>
      <w:pPr>
        <w:spacing w:before="0" w:after="100"/>
        <w:jc w:val="both"/>
      </w:pPr>
      <w:r>
        <w:rPr>
          <w:b w:val="0"/>
          <w:sz w:val="21"/>
        </w:rPr>
        <w:t>Платформа «Фрейм» является инструментом экосистемы МосБиржи: она не конкурирует с биржей, а формирует дополнительную аудиторию активных частных инвесторов, торгующих на российском рынке.</w:t>
      </w:r>
    </w:p>
    <w:p>
      <w:pPr>
        <w:pStyle w:val="ListBullet"/>
        <w:spacing w:before="20" w:after="60"/>
      </w:pPr>
      <w:r>
        <w:rPr>
          <w:sz w:val="21"/>
        </w:rPr>
        <w:t>Расширение аудитории. Аналитические инструменты платформы снижают порог входа для начинающих инвесторов и стимулируют более осознанное участие в торгах на МосБирже.</w:t>
      </w:r>
    </w:p>
    <w:p>
      <w:pPr>
        <w:pStyle w:val="ListBullet"/>
        <w:spacing w:before="20" w:after="60"/>
      </w:pPr>
      <w:r>
        <w:rPr>
          <w:sz w:val="21"/>
        </w:rPr>
        <w:t>Рост активности. Пользователи, работающие с индикаторами (ОИ, Heatmap, Market Breadth), принимают более обоснованные торговые решения — что ведёт к росту числа сделок.</w:t>
      </w:r>
    </w:p>
    <w:p>
      <w:pPr>
        <w:pStyle w:val="ListBullet"/>
        <w:spacing w:before="20" w:after="60"/>
      </w:pPr>
      <w:r>
        <w:rPr>
          <w:sz w:val="21"/>
        </w:rPr>
        <w:t>Популяризация срочного рынка. Отдельный блок по открытому интересу фьючерсов помогает розничным инвесторам разобраться в инструментах срочного рынка и начать с ними работать.</w:t>
      </w:r>
    </w:p>
    <w:p>
      <w:pPr>
        <w:pStyle w:val="ListBullet"/>
        <w:spacing w:before="20" w:after="60"/>
      </w:pPr>
      <w:r>
        <w:rPr>
          <w:sz w:val="21"/>
        </w:rPr>
        <w:t>Обратная связь. Стартап в роли активного потребителя данных формирует полезную обратную связь по качеству и составу предоставляемых данных.</w:t>
      </w:r>
    </w:p>
    <w:p>
      <w:pPr>
        <w:pStyle w:val="Heading1"/>
        <w:spacing w:before="280" w:after="80"/>
      </w:pPr>
      <w:r>
        <w:rPr>
          <w:color w:val="1F3864"/>
          <w:sz w:val="26"/>
        </w:rPr>
        <w:t>6. Запрашиваемые условия</w:t>
      </w:r>
    </w:p>
    <w:p>
      <w:pPr>
        <w:spacing w:before="0" w:after="60"/>
        <w:jc w:val="both"/>
      </w:pPr>
      <w:r>
        <w:rPr>
          <w:b/>
          <w:sz w:val="21"/>
        </w:rPr>
        <w:t>6.1. Льготный доступ к текущим данным</w:t>
      </w:r>
    </w:p>
    <w:p>
      <w:pPr>
        <w:pStyle w:val="ListBullet"/>
        <w:spacing w:before="20" w:after="60"/>
      </w:pPr>
      <w:r>
        <w:rPr>
          <w:sz w:val="21"/>
        </w:rPr>
        <w:t>Объём: данные MOEX BI по срочному рынку (FORTS), рынку акций (TQBR) и индексам.</w:t>
      </w:r>
    </w:p>
    <w:p>
      <w:pPr>
        <w:pStyle w:val="ListBullet"/>
        <w:spacing w:before="20" w:after="60"/>
      </w:pPr>
      <w:r>
        <w:rPr>
          <w:sz w:val="21"/>
        </w:rPr>
        <w:t>Срок: 24 (двадцать четыре) месяца с даты подписания договора.</w:t>
      </w:r>
    </w:p>
    <w:p>
      <w:pPr>
        <w:pStyle w:val="ListBullet"/>
        <w:spacing w:before="20" w:after="60"/>
      </w:pPr>
      <w:r>
        <w:rPr>
          <w:sz w:val="21"/>
        </w:rPr>
        <w:t>Стоимость в льготный период: 0 рублей.</w:t>
      </w:r>
    </w:p>
    <w:p>
      <w:pPr>
        <w:pStyle w:val="ListBullet"/>
        <w:spacing w:before="20" w:after="60"/>
      </w:pPr>
      <w:r>
        <w:rPr>
          <w:sz w:val="21"/>
        </w:rPr>
        <w:t>По истечении льготного периода — переход на действующий коммерческий тариф МосБиржи.</w:t>
      </w:r>
    </w:p>
    <w:p>
      <w:pPr>
        <w:spacing w:before="0" w:after="0" w:line="80" w:lineRule="exact"/>
      </w:pPr>
    </w:p>
    <w:p>
      <w:pPr>
        <w:spacing w:before="0" w:after="60"/>
        <w:jc w:val="both"/>
      </w:pPr>
      <w:r>
        <w:rPr>
          <w:b/>
          <w:sz w:val="21"/>
        </w:rPr>
        <w:t>6.2. Рассрочка на архивные данные</w:t>
      </w:r>
    </w:p>
    <w:p>
      <w:pPr>
        <w:pStyle w:val="ListBullet"/>
        <w:spacing w:before="20" w:after="60"/>
      </w:pPr>
      <w:r>
        <w:rPr>
          <w:sz w:val="21"/>
        </w:rPr>
        <w:t>Объём: исторические данные по срочному рынку, рынку акций и индексам (глубина и точный состав — по результатам переговоров).</w:t>
      </w:r>
    </w:p>
    <w:p>
      <w:pPr>
        <w:pStyle w:val="ListBullet"/>
        <w:spacing w:before="20" w:after="60"/>
      </w:pPr>
      <w:r>
        <w:rPr>
          <w:sz w:val="21"/>
        </w:rPr>
        <w:t>Срок рассрочки: 36 (тридцать шесть) месяцев.</w:t>
      </w:r>
    </w:p>
    <w:p>
      <w:pPr>
        <w:pStyle w:val="ListBullet"/>
        <w:spacing w:before="20" w:after="60"/>
      </w:pPr>
      <w:r>
        <w:rPr>
          <w:sz w:val="21"/>
        </w:rPr>
        <w:t>Периодичность платежей: ежемесячно, равными долями.</w:t>
      </w:r>
    </w:p>
    <w:p>
      <w:pPr>
        <w:pStyle w:val="ListBullet"/>
        <w:spacing w:before="20" w:after="60"/>
      </w:pPr>
      <w:r>
        <w:rPr>
          <w:sz w:val="21"/>
        </w:rPr>
        <w:t>Первый платёж: через 24 месяца с даты договора (по окончании льготного периода по текущим данным).</w:t>
      </w:r>
    </w:p>
    <w:p>
      <w:pPr>
        <w:spacing w:before="0" w:after="0" w:line="120" w:lineRule="exact"/>
      </w:pPr>
    </w:p>
    <w:p>
      <w:pPr>
        <w:spacing w:before="0" w:after="100"/>
        <w:jc w:val="both"/>
      </w:pPr>
      <w:r>
        <w:rPr>
          <w:b w:val="0"/>
          <w:sz w:val="21"/>
        </w:rPr>
        <w:t>Готовы рассмотреть альтернативные форматы сотрудничества, предложенные МосБиржей, в рамках программ поддержки финтех-стартапов и развития экосистемы биржи.</w:t>
      </w:r>
    </w:p>
    <w:p>
      <w:pPr>
        <w:pStyle w:val="Heading1"/>
        <w:spacing w:before="280" w:after="80"/>
      </w:pPr>
      <w:r>
        <w:rPr>
          <w:color w:val="1F3864"/>
          <w:sz w:val="26"/>
        </w:rPr>
        <w:t>7. Обязательства со стороны проекта «Фрейм»</w:t>
      </w:r>
    </w:p>
    <w:p>
      <w:pPr>
        <w:pStyle w:val="ListBullet"/>
        <w:spacing w:before="20" w:after="60"/>
      </w:pPr>
      <w:r>
        <w:rPr>
          <w:sz w:val="21"/>
        </w:rPr>
        <w:t>Не осуществлять перепродажу, передачу или трансляцию сырых биржевых данных третьим лицам в любой форме.</w:t>
      </w:r>
    </w:p>
    <w:p>
      <w:pPr>
        <w:pStyle w:val="ListBullet"/>
        <w:spacing w:before="20" w:after="60"/>
      </w:pPr>
      <w:r>
        <w:rPr>
          <w:sz w:val="21"/>
        </w:rPr>
        <w:t>Использовать данные исключительно для расчёта аналитических индикаторов и отображения агрегированных результатов конечным пользователям-физлицам.</w:t>
      </w:r>
    </w:p>
    <w:p>
      <w:pPr>
        <w:pStyle w:val="ListBullet"/>
        <w:spacing w:before="20" w:after="60"/>
      </w:pPr>
      <w:r>
        <w:rPr>
          <w:sz w:val="21"/>
        </w:rPr>
        <w:t>Указывать ПАО Московская Биржа как источник данных на платформе и в маркетинговых материалах.</w:t>
      </w:r>
    </w:p>
    <w:p>
      <w:pPr>
        <w:pStyle w:val="ListBullet"/>
        <w:spacing w:before="20" w:after="60"/>
      </w:pPr>
      <w:r>
        <w:rPr>
          <w:sz w:val="21"/>
        </w:rPr>
        <w:t>Предоставлять МосБирже ежеквартальную отчётность о количестве пользователей и динамике роста в течение льготного периода.</w:t>
      </w:r>
    </w:p>
    <w:p>
      <w:pPr>
        <w:pStyle w:val="ListBullet"/>
        <w:spacing w:before="20" w:after="60"/>
      </w:pPr>
      <w:r>
        <w:rPr>
          <w:sz w:val="21"/>
        </w:rPr>
        <w:t>Перейти на стандартный коммерческий тариф по истечении 24-месячного льготного периода.</w:t>
      </w:r>
    </w:p>
    <w:p>
      <w:pPr>
        <w:pStyle w:val="Heading1"/>
        <w:spacing w:before="280" w:after="80"/>
      </w:pPr>
      <w:r>
        <w:rPr>
          <w:color w:val="1F3864"/>
          <w:sz w:val="26"/>
        </w:rPr>
        <w:t>Заключение</w:t>
      </w:r>
    </w:p>
    <w:p>
      <w:pPr>
        <w:spacing w:before="0" w:after="100"/>
        <w:jc w:val="both"/>
      </w:pPr>
      <w:r>
        <w:rPr>
          <w:b w:val="0"/>
          <w:sz w:val="21"/>
        </w:rPr>
        <w:t>Просим рассмотреть настоящее обращение и сообщить о возможности предоставления указанных льготных условий либо предложить альтернативные форматы сотрудничества.</w:t>
      </w:r>
    </w:p>
    <w:p>
      <w:pPr>
        <w:spacing w:before="0" w:after="100"/>
        <w:jc w:val="both"/>
      </w:pPr>
      <w:r>
        <w:rPr>
          <w:b w:val="0"/>
          <w:sz w:val="21"/>
        </w:rPr>
        <w:t>Готовы предоставить дополнительные материалы, провести презентацию продукта или встретиться для обсуждения деталей в удобное для вас время.</w:t>
      </w:r>
    </w:p>
    <w:p>
      <w:pPr>
        <w:spacing w:before="0" w:after="0" w:line="280" w:lineRule="exact"/>
      </w:pPr>
    </w:p>
    <w:p>
      <w:pPr>
        <w:spacing w:after="80"/>
        <w:jc w:val="left"/>
      </w:pPr>
      <w:r>
        <w:rPr>
          <w:sz w:val="21"/>
        </w:rPr>
        <w:t>С уважением,</w:t>
        <w:br/>
        <w:br/>
        <w:t>Индивидуальный предприниматель</w:t>
        <w:br/>
        <w:t>[ФИО]  _________________ /подпись/</w:t>
        <w:br/>
        <w:br/>
        <w:t>«___» ____________ 2026 г.</w:t>
      </w:r>
    </w:p>
    <w:p>
      <w:pPr>
        <w:spacing w:before="0" w:after="0" w:line="280" w:lineRule="exact"/>
      </w:pPr>
    </w:p>
    <w:p>
      <w:r>
        <w:br w:type="page"/>
      </w:r>
    </w:p>
    <w:p>
      <w:pPr>
        <w:spacing w:after="80"/>
        <w:jc w:val="center"/>
      </w:pPr>
      <w:r>
        <w:rPr>
          <w:b/>
          <w:sz w:val="24"/>
        </w:rPr>
        <w:t>ПРИЛОЖЕНИЕ 1</w:t>
      </w:r>
    </w:p>
    <w:p>
      <w:pPr>
        <w:spacing w:after="240"/>
        <w:jc w:val="center"/>
      </w:pPr>
      <w:r>
        <w:rPr>
          <w:i/>
          <w:sz w:val="22"/>
        </w:rPr>
        <w:t>к обращению ИП [ФИО]</w:t>
        <w:br/>
        <w:t>об условиях доступа к данным для платформы «Фрейм»</w:t>
      </w:r>
    </w:p>
    <w:p>
      <w:pPr>
        <w:spacing w:before="0" w:after="160"/>
        <w:jc w:val="both"/>
      </w:pPr>
      <w:r>
        <w:rPr>
          <w:b w:val="0"/>
          <w:sz w:val="21"/>
        </w:rPr>
        <w:t>Описание аналитических индикаторов платформы «Фрейм» с указанием используемых данных, источников и методологии расчёта — см. файл «MOEX_Indicators_For_Submission_v2.xlsx», прилагаемый к настоящему обращению.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2C477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Индикатор</w:t>
            </w:r>
          </w:p>
        </w:tc>
        <w:tc>
          <w:tcPr>
            <w:tcW w:type="dxa" w:w="3324"/>
            <w:shd w:val="clear" w:color="auto" w:fill="2C477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Данные MOEX</w:t>
            </w:r>
          </w:p>
        </w:tc>
        <w:tc>
          <w:tcPr>
            <w:tcW w:type="dxa" w:w="3324"/>
            <w:shd w:val="clear" w:color="auto" w:fill="2C477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Таймфрейм</w:t>
            </w:r>
          </w:p>
        </w:tc>
      </w:tr>
      <w:tr>
        <w:tc>
          <w:tcPr>
            <w:tcW w:type="dxa" w:w="3324"/>
            <w:shd w:val="clear" w:color="auto" w:fill="FFFFFF"/>
          </w:tcPr>
          <w:p>
            <w:r>
              <w:rPr>
                <w:sz w:val="20"/>
              </w:rPr>
              <w:t>MCFTR / M2</w:t>
            </w:r>
          </w:p>
        </w:tc>
        <w:tc>
          <w:tcPr>
            <w:tcW w:type="dxa" w:w="3324"/>
            <w:shd w:val="clear" w:color="auto" w:fill="FFFFFF"/>
          </w:tcPr>
          <w:p>
            <w:r>
              <w:rPr>
                <w:sz w:val="20"/>
              </w:rPr>
              <w:t>Индекс MCFTR (ISS MOEX)</w:t>
            </w:r>
          </w:p>
        </w:tc>
        <w:tc>
          <w:tcPr>
            <w:tcW w:type="dxa" w:w="3324"/>
            <w:shd w:val="clear" w:color="auto" w:fill="FFFFFF"/>
          </w:tcPr>
          <w:p>
            <w:r>
              <w:rPr>
                <w:sz w:val="20"/>
              </w:rPr>
              <w:t>Ежедневно</w:t>
            </w:r>
          </w:p>
        </w:tc>
      </w:tr>
      <w:tr>
        <w:tc>
          <w:tcPr>
            <w:tcW w:type="dxa" w:w="3324"/>
            <w:shd w:val="clear" w:color="auto" w:fill="F5F7FA"/>
          </w:tcPr>
          <w:p>
            <w:r>
              <w:rPr>
                <w:sz w:val="20"/>
              </w:rPr>
              <w:t>Открытый интерес</w:t>
            </w:r>
          </w:p>
        </w:tc>
        <w:tc>
          <w:tcPr>
            <w:tcW w:type="dxa" w:w="3324"/>
            <w:shd w:val="clear" w:color="auto" w:fill="F5F7FA"/>
          </w:tcPr>
          <w:p>
            <w:r>
              <w:rPr>
                <w:sz w:val="20"/>
              </w:rPr>
              <w:t>Данные BI по срочному рынку (FORTS)</w:t>
            </w:r>
          </w:p>
        </w:tc>
        <w:tc>
          <w:tcPr>
            <w:tcW w:type="dxa" w:w="3324"/>
            <w:shd w:val="clear" w:color="auto" w:fill="F5F7FA"/>
          </w:tcPr>
          <w:p>
            <w:r>
              <w:rPr>
                <w:sz w:val="20"/>
              </w:rPr>
              <w:t>5м / 60м / дневные</w:t>
            </w:r>
          </w:p>
        </w:tc>
      </w:tr>
      <w:tr>
        <w:tc>
          <w:tcPr>
            <w:tcW w:type="dxa" w:w="3324"/>
            <w:shd w:val="clear" w:color="auto" w:fill="FFFFFF"/>
          </w:tcPr>
          <w:p>
            <w:r>
              <w:rPr>
                <w:sz w:val="20"/>
              </w:rPr>
              <w:t>Market Breadth</w:t>
            </w:r>
          </w:p>
        </w:tc>
        <w:tc>
          <w:tcPr>
            <w:tcW w:type="dxa" w:w="3324"/>
            <w:shd w:val="clear" w:color="auto" w:fill="FFFFFF"/>
          </w:tcPr>
          <w:p>
            <w:r>
              <w:rPr>
                <w:sz w:val="20"/>
              </w:rPr>
              <w:t>Свечи акций (BI, TQBR)</w:t>
            </w:r>
          </w:p>
        </w:tc>
        <w:tc>
          <w:tcPr>
            <w:tcW w:type="dxa" w:w="3324"/>
            <w:shd w:val="clear" w:color="auto" w:fill="FFFFFF"/>
          </w:tcPr>
          <w:p>
            <w:r>
              <w:rPr>
                <w:sz w:val="20"/>
              </w:rPr>
              <w:t>Дневные</w:t>
            </w:r>
          </w:p>
        </w:tc>
      </w:tr>
      <w:tr>
        <w:tc>
          <w:tcPr>
            <w:tcW w:type="dxa" w:w="3324"/>
            <w:shd w:val="clear" w:color="auto" w:fill="F5F7FA"/>
          </w:tcPr>
          <w:p>
            <w:r>
              <w:rPr>
                <w:sz w:val="20"/>
              </w:rPr>
              <w:t>Карта рынка</w:t>
            </w:r>
          </w:p>
        </w:tc>
        <w:tc>
          <w:tcPr>
            <w:tcW w:type="dxa" w:w="3324"/>
            <w:shd w:val="clear" w:color="auto" w:fill="F5F7FA"/>
          </w:tcPr>
          <w:p>
            <w:r>
              <w:rPr>
                <w:sz w:val="20"/>
              </w:rPr>
              <w:t>Свечи акций (BI, TQBR)</w:t>
            </w:r>
          </w:p>
        </w:tc>
        <w:tc>
          <w:tcPr>
            <w:tcW w:type="dxa" w:w="3324"/>
            <w:shd w:val="clear" w:color="auto" w:fill="F5F7FA"/>
          </w:tcPr>
          <w:p>
            <w:r>
              <w:rPr>
                <w:sz w:val="20"/>
              </w:rPr>
              <w:t>Дневные</w:t>
            </w:r>
          </w:p>
        </w:tc>
      </w:tr>
      <w:tr>
        <w:tc>
          <w:tcPr>
            <w:tcW w:type="dxa" w:w="3324"/>
            <w:shd w:val="clear" w:color="auto" w:fill="FFFFFF"/>
          </w:tcPr>
          <w:p>
            <w:r>
              <w:rPr>
                <w:sz w:val="20"/>
              </w:rPr>
              <w:t>СЧА фондов БПИФ</w:t>
            </w:r>
          </w:p>
        </w:tc>
        <w:tc>
          <w:tcPr>
            <w:tcW w:type="dxa" w:w="3324"/>
            <w:shd w:val="clear" w:color="auto" w:fill="FFFFFF"/>
          </w:tcPr>
          <w:p>
            <w:r>
              <w:rPr>
                <w:sz w:val="20"/>
              </w:rPr>
              <w:t>Данные БПИФ и индексы (ISS MOEX)</w:t>
            </w:r>
          </w:p>
        </w:tc>
        <w:tc>
          <w:tcPr>
            <w:tcW w:type="dxa" w:w="3324"/>
            <w:shd w:val="clear" w:color="auto" w:fill="FFFFFF"/>
          </w:tcPr>
          <w:p>
            <w:r>
              <w:rPr>
                <w:sz w:val="20"/>
              </w:rPr>
              <w:t>Ежедневно</w:t>
            </w:r>
          </w:p>
        </w:tc>
      </w:tr>
    </w:tbl>
    <w:sectPr w:rsidR="00FC693F" w:rsidRPr="0006063C" w:rsidSect="00034616">
      <w:pgSz w:w="12240" w:h="15840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