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BA9E" w14:textId="4AC7BF81" w:rsidR="001C75A8" w:rsidRDefault="001C75A8" w:rsidP="001C75A8">
      <w:pPr>
        <w:spacing w:after="0"/>
        <w:rPr>
          <w:b/>
          <w:bCs/>
        </w:rPr>
      </w:pPr>
      <w:r>
        <w:rPr>
          <w:b/>
          <w:bCs/>
        </w:rPr>
        <w:t>Collection Times:</w:t>
      </w:r>
    </w:p>
    <w:p w14:paraId="6A4871CC" w14:textId="16FAA8D5" w:rsidR="001C75A8" w:rsidRDefault="001C75A8" w:rsidP="001C75A8">
      <w:pPr>
        <w:spacing w:after="0"/>
        <w:rPr>
          <w:b/>
          <w:bCs/>
        </w:rPr>
      </w:pPr>
      <w:r>
        <w:rPr>
          <w:b/>
          <w:bCs/>
        </w:rPr>
        <w:t>June 2025: Q4 2021- Q3-2023</w:t>
      </w:r>
    </w:p>
    <w:p w14:paraId="098D7E2B" w14:textId="77777777" w:rsidR="001C75A8" w:rsidRDefault="001C75A8" w:rsidP="001C75A8">
      <w:pPr>
        <w:spacing w:after="0"/>
        <w:rPr>
          <w:b/>
          <w:bCs/>
        </w:rPr>
      </w:pPr>
    </w:p>
    <w:p w14:paraId="7533F1DF" w14:textId="0AB822DA" w:rsidR="00CB79A8" w:rsidRDefault="006602C6" w:rsidP="00CB79A8">
      <w:pPr>
        <w:spacing w:after="0"/>
        <w:jc w:val="center"/>
        <w:rPr>
          <w:b/>
          <w:bCs/>
        </w:rPr>
      </w:pPr>
      <w:r w:rsidRPr="006602C6">
        <w:rPr>
          <w:b/>
          <w:bCs/>
        </w:rPr>
        <w:t>IRF-PAI Assessment-Based Measures</w:t>
      </w:r>
    </w:p>
    <w:p w14:paraId="20211277" w14:textId="2858439A" w:rsidR="00CB79A8" w:rsidRPr="00CB79A8" w:rsidRDefault="00CB79A8" w:rsidP="00CB79A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Keeping ones related to functional capability</w:t>
      </w:r>
    </w:p>
    <w:p w14:paraId="356811A8" w14:textId="77777777" w:rsidR="006602C6" w:rsidRPr="006602C6" w:rsidRDefault="006602C6" w:rsidP="006602C6">
      <w:pPr>
        <w:spacing w:after="0"/>
      </w:pPr>
    </w:p>
    <w:p w14:paraId="0ADF7ADD" w14:textId="77777777" w:rsidR="001C75A8" w:rsidRPr="00B31452" w:rsidRDefault="006602C6" w:rsidP="001C75A8">
      <w:pPr>
        <w:pStyle w:val="ListParagraph"/>
        <w:numPr>
          <w:ilvl w:val="0"/>
          <w:numId w:val="3"/>
        </w:numPr>
        <w:spacing w:after="0"/>
        <w:rPr>
          <w:strike/>
        </w:rPr>
      </w:pPr>
      <w:r w:rsidRPr="00B31452">
        <w:rPr>
          <w:strike/>
        </w:rPr>
        <w:t>IRF QRP Measure #1: Application of Percent of Residents Experiencing One or More Falls with Major Injury (Long Stay) [CMIT Measure ID #00520 (not endorsed)]</w:t>
      </w:r>
    </w:p>
    <w:p w14:paraId="79C74285" w14:textId="03AC7A61" w:rsidR="00C05116" w:rsidRPr="00B31452" w:rsidRDefault="00C05116" w:rsidP="001C75A8">
      <w:pPr>
        <w:pStyle w:val="ListParagraph"/>
        <w:numPr>
          <w:ilvl w:val="1"/>
          <w:numId w:val="3"/>
        </w:numPr>
        <w:spacing w:after="0"/>
        <w:rPr>
          <w:strike/>
        </w:rPr>
      </w:pPr>
      <w:r w:rsidRPr="00B31452">
        <w:rPr>
          <w:strike/>
        </w:rPr>
        <w:t xml:space="preserve">CMS </w:t>
      </w:r>
      <w:proofErr w:type="gramStart"/>
      <w:r w:rsidRPr="00B31452">
        <w:rPr>
          <w:strike/>
        </w:rPr>
        <w:t>ID:I</w:t>
      </w:r>
      <w:proofErr w:type="gramEnd"/>
      <w:r w:rsidRPr="00B31452">
        <w:rPr>
          <w:strike/>
        </w:rPr>
        <w:t>022.01</w:t>
      </w:r>
    </w:p>
    <w:p w14:paraId="5BF2F5C8" w14:textId="71BF0736" w:rsidR="00175206" w:rsidRPr="00B31452" w:rsidRDefault="00175206" w:rsidP="00175206">
      <w:pPr>
        <w:pStyle w:val="ListParagraph"/>
        <w:numPr>
          <w:ilvl w:val="2"/>
          <w:numId w:val="3"/>
        </w:numPr>
        <w:spacing w:after="0"/>
        <w:rPr>
          <w:strike/>
        </w:rPr>
      </w:pPr>
      <w:r w:rsidRPr="00B31452">
        <w:rPr>
          <w:strike/>
          <w:highlight w:val="yellow"/>
        </w:rPr>
        <w:t>I_013_01_OBS_RATE</w:t>
      </w:r>
      <w:r w:rsidRPr="00B31452">
        <w:rPr>
          <w:strike/>
        </w:rPr>
        <w:t>; facility rate</w:t>
      </w:r>
    </w:p>
    <w:p w14:paraId="47578568" w14:textId="7414B63B" w:rsidR="006602C6" w:rsidRPr="00B31452" w:rsidRDefault="00175206" w:rsidP="006602C6">
      <w:pPr>
        <w:pStyle w:val="ListParagraph"/>
        <w:numPr>
          <w:ilvl w:val="2"/>
          <w:numId w:val="3"/>
        </w:numPr>
        <w:spacing w:after="0"/>
        <w:rPr>
          <w:strike/>
        </w:rPr>
      </w:pPr>
      <w:r w:rsidRPr="00B31452">
        <w:rPr>
          <w:strike/>
          <w:highlight w:val="green"/>
        </w:rPr>
        <w:t>I_013_01_NATL_OBS_RATE;</w:t>
      </w:r>
      <w:r w:rsidRPr="00B31452">
        <w:rPr>
          <w:strike/>
        </w:rPr>
        <w:t xml:space="preserve"> national rate</w:t>
      </w:r>
    </w:p>
    <w:p w14:paraId="64DF2B28" w14:textId="520E701E" w:rsidR="00752A37" w:rsidRPr="00B31452" w:rsidRDefault="00752A37" w:rsidP="00752A37">
      <w:pPr>
        <w:pStyle w:val="ListParagraph"/>
        <w:numPr>
          <w:ilvl w:val="3"/>
          <w:numId w:val="3"/>
        </w:numPr>
        <w:spacing w:after="0"/>
        <w:rPr>
          <w:strike/>
        </w:rPr>
      </w:pPr>
      <w:r w:rsidRPr="00B31452">
        <w:rPr>
          <w:strike/>
        </w:rPr>
        <w:t>2025= 0.2</w:t>
      </w:r>
    </w:p>
    <w:p w14:paraId="41D1F70B" w14:textId="77777777" w:rsidR="001C75A8" w:rsidRDefault="006602C6" w:rsidP="001C75A8">
      <w:pPr>
        <w:pStyle w:val="ListParagraph"/>
        <w:numPr>
          <w:ilvl w:val="0"/>
          <w:numId w:val="3"/>
        </w:numPr>
        <w:spacing w:after="0"/>
      </w:pPr>
      <w:r w:rsidRPr="006602C6">
        <w:t xml:space="preserve">IRF QRP Measure #2: IRF Functional Outcome Measure: Discharge </w:t>
      </w:r>
      <w:r w:rsidRPr="001F03F2">
        <w:rPr>
          <w:highlight w:val="magenta"/>
        </w:rPr>
        <w:t>Self-Care</w:t>
      </w:r>
      <w:r w:rsidRPr="006602C6">
        <w:t xml:space="preserve"> Score for Medical Rehabilitation Patients [CMIT Measure ID #00404 (CBE-endorsed)]</w:t>
      </w:r>
    </w:p>
    <w:p w14:paraId="21A6C766" w14:textId="0D5CF28E" w:rsidR="006602C6" w:rsidRDefault="00C05116" w:rsidP="001C75A8">
      <w:pPr>
        <w:pStyle w:val="ListParagraph"/>
        <w:numPr>
          <w:ilvl w:val="1"/>
          <w:numId w:val="3"/>
        </w:numPr>
        <w:spacing w:after="0"/>
      </w:pPr>
      <w:r>
        <w:t>CMS ID: I011.05</w:t>
      </w:r>
    </w:p>
    <w:p w14:paraId="53E589D2" w14:textId="5744AA86" w:rsidR="0097038D" w:rsidRDefault="0097038D" w:rsidP="0097038D">
      <w:pPr>
        <w:pStyle w:val="ListParagraph"/>
        <w:numPr>
          <w:ilvl w:val="2"/>
          <w:numId w:val="3"/>
        </w:numPr>
        <w:spacing w:after="0"/>
        <w:rPr>
          <w:highlight w:val="yellow"/>
        </w:rPr>
      </w:pPr>
      <w:r w:rsidRPr="0097038D">
        <w:rPr>
          <w:highlight w:val="yellow"/>
        </w:rPr>
        <w:t>I_011_05_OBS_RATE</w:t>
      </w:r>
    </w:p>
    <w:p w14:paraId="051D8584" w14:textId="6C62CC4F" w:rsidR="00175206" w:rsidRPr="00175206" w:rsidRDefault="00175206" w:rsidP="00175206">
      <w:pPr>
        <w:pStyle w:val="ListParagraph"/>
        <w:numPr>
          <w:ilvl w:val="2"/>
          <w:numId w:val="3"/>
        </w:numPr>
        <w:spacing w:after="0"/>
        <w:rPr>
          <w:highlight w:val="green"/>
        </w:rPr>
      </w:pPr>
      <w:r w:rsidRPr="00175206">
        <w:rPr>
          <w:highlight w:val="green"/>
        </w:rPr>
        <w:t>I_011_05_NATL_OBS_RATE</w:t>
      </w:r>
    </w:p>
    <w:p w14:paraId="6D1A7422" w14:textId="77777777" w:rsidR="00C05116" w:rsidRPr="006602C6" w:rsidRDefault="00C05116" w:rsidP="00C05116">
      <w:pPr>
        <w:pStyle w:val="ListParagraph"/>
        <w:spacing w:after="0"/>
      </w:pPr>
    </w:p>
    <w:p w14:paraId="15750F60" w14:textId="77777777" w:rsidR="001C75A8" w:rsidRDefault="006602C6" w:rsidP="001C75A8">
      <w:pPr>
        <w:pStyle w:val="ListParagraph"/>
        <w:numPr>
          <w:ilvl w:val="0"/>
          <w:numId w:val="3"/>
        </w:numPr>
        <w:spacing w:after="0"/>
      </w:pPr>
      <w:r w:rsidRPr="006602C6">
        <w:t xml:space="preserve">IRF QRP Measure #3: IRF Functional Outcome Measure: Discharge </w:t>
      </w:r>
      <w:r w:rsidRPr="001F03F2">
        <w:rPr>
          <w:highlight w:val="magenta"/>
        </w:rPr>
        <w:t>Mobility</w:t>
      </w:r>
      <w:r w:rsidRPr="006602C6">
        <w:t xml:space="preserve"> Score for Medical Rehabilitation Patients [CMIT Measure ID #00403 (CBE-endorsed)]</w:t>
      </w:r>
    </w:p>
    <w:p w14:paraId="6F900383" w14:textId="1EA40589" w:rsidR="006602C6" w:rsidRDefault="00C05116" w:rsidP="001C75A8">
      <w:pPr>
        <w:pStyle w:val="ListParagraph"/>
        <w:numPr>
          <w:ilvl w:val="1"/>
          <w:numId w:val="3"/>
        </w:numPr>
        <w:spacing w:after="0"/>
      </w:pPr>
      <w:r>
        <w:t>CMS ID: I012.05</w:t>
      </w:r>
    </w:p>
    <w:p w14:paraId="473376E8" w14:textId="7E62AB65" w:rsidR="0097038D" w:rsidRDefault="0097038D" w:rsidP="0097038D">
      <w:pPr>
        <w:pStyle w:val="ListParagraph"/>
        <w:numPr>
          <w:ilvl w:val="2"/>
          <w:numId w:val="3"/>
        </w:numPr>
        <w:spacing w:after="0"/>
        <w:rPr>
          <w:highlight w:val="yellow"/>
        </w:rPr>
      </w:pPr>
      <w:r w:rsidRPr="0097038D">
        <w:rPr>
          <w:highlight w:val="yellow"/>
        </w:rPr>
        <w:t>I_01</w:t>
      </w:r>
      <w:r>
        <w:rPr>
          <w:highlight w:val="yellow"/>
        </w:rPr>
        <w:t>2</w:t>
      </w:r>
      <w:r w:rsidRPr="0097038D">
        <w:rPr>
          <w:highlight w:val="yellow"/>
        </w:rPr>
        <w:t>_05_OBS_RATE</w:t>
      </w:r>
    </w:p>
    <w:p w14:paraId="3F0FF54A" w14:textId="15B82555" w:rsidR="001F03F2" w:rsidRPr="00175206" w:rsidRDefault="001F03F2" w:rsidP="001F03F2">
      <w:pPr>
        <w:pStyle w:val="ListParagraph"/>
        <w:numPr>
          <w:ilvl w:val="2"/>
          <w:numId w:val="3"/>
        </w:numPr>
        <w:spacing w:after="0"/>
        <w:rPr>
          <w:highlight w:val="green"/>
        </w:rPr>
      </w:pPr>
      <w:r w:rsidRPr="00175206">
        <w:rPr>
          <w:highlight w:val="green"/>
        </w:rPr>
        <w:t>I_01</w:t>
      </w:r>
      <w:r>
        <w:rPr>
          <w:highlight w:val="green"/>
        </w:rPr>
        <w:t>2</w:t>
      </w:r>
      <w:r w:rsidRPr="00175206">
        <w:rPr>
          <w:highlight w:val="green"/>
        </w:rPr>
        <w:t>_05_NATL_OBS_RATE</w:t>
      </w:r>
    </w:p>
    <w:p w14:paraId="597AD5B3" w14:textId="77777777" w:rsidR="00C05116" w:rsidRPr="006602C6" w:rsidRDefault="00C05116" w:rsidP="001F03F2">
      <w:pPr>
        <w:spacing w:after="0"/>
      </w:pPr>
    </w:p>
    <w:p w14:paraId="770BC673" w14:textId="77777777" w:rsidR="001C75A8" w:rsidRDefault="006602C6" w:rsidP="001C75A8">
      <w:pPr>
        <w:pStyle w:val="ListParagraph"/>
        <w:numPr>
          <w:ilvl w:val="0"/>
          <w:numId w:val="3"/>
        </w:numPr>
        <w:spacing w:after="0"/>
      </w:pPr>
      <w:r w:rsidRPr="006602C6">
        <w:t>IRF QRP Measure #8: Discharge Function Score [CMIT Measure ID #01698 (not endorsed)]</w:t>
      </w:r>
    </w:p>
    <w:p w14:paraId="7F7624C9" w14:textId="6C64EE02" w:rsidR="006602C6" w:rsidRDefault="00C05116" w:rsidP="001C75A8">
      <w:pPr>
        <w:pStyle w:val="ListParagraph"/>
        <w:numPr>
          <w:ilvl w:val="1"/>
          <w:numId w:val="3"/>
        </w:numPr>
        <w:spacing w:after="0"/>
      </w:pPr>
      <w:r>
        <w:t>CMS ID: I026.01</w:t>
      </w:r>
    </w:p>
    <w:p w14:paraId="483BE0E7" w14:textId="26D6BCA8" w:rsidR="00D42324" w:rsidRDefault="00D42324" w:rsidP="00D42324">
      <w:pPr>
        <w:pStyle w:val="ListParagraph"/>
        <w:numPr>
          <w:ilvl w:val="2"/>
          <w:numId w:val="3"/>
        </w:numPr>
        <w:spacing w:after="0"/>
      </w:pPr>
      <w:r w:rsidRPr="00D42324">
        <w:rPr>
          <w:highlight w:val="yellow"/>
        </w:rPr>
        <w:t>I_026_01_OBS_RATE</w:t>
      </w:r>
      <w:r>
        <w:t>; facility rate. % of patients who are at or above an expected ability to care for themselves and move around at d/c</w:t>
      </w:r>
    </w:p>
    <w:p w14:paraId="23EF7D5D" w14:textId="4505D1BD" w:rsidR="001F03F2" w:rsidRPr="00175206" w:rsidRDefault="001F03F2" w:rsidP="001F03F2">
      <w:pPr>
        <w:pStyle w:val="ListParagraph"/>
        <w:numPr>
          <w:ilvl w:val="2"/>
          <w:numId w:val="3"/>
        </w:numPr>
        <w:spacing w:after="0"/>
        <w:rPr>
          <w:highlight w:val="green"/>
        </w:rPr>
      </w:pPr>
      <w:r w:rsidRPr="00175206">
        <w:rPr>
          <w:highlight w:val="green"/>
        </w:rPr>
        <w:t>I_0</w:t>
      </w:r>
      <w:r>
        <w:rPr>
          <w:highlight w:val="green"/>
        </w:rPr>
        <w:t>26</w:t>
      </w:r>
      <w:r w:rsidRPr="00175206">
        <w:rPr>
          <w:highlight w:val="green"/>
        </w:rPr>
        <w:t>_05_NATL_OBS_RATE</w:t>
      </w:r>
    </w:p>
    <w:p w14:paraId="5E6A0284" w14:textId="77777777" w:rsidR="001F03F2" w:rsidRPr="006602C6" w:rsidRDefault="001F03F2" w:rsidP="001F03F2">
      <w:pPr>
        <w:pStyle w:val="ListParagraph"/>
        <w:spacing w:after="0"/>
        <w:ind w:left="2160"/>
      </w:pPr>
    </w:p>
    <w:p w14:paraId="07A1AF9D" w14:textId="77777777" w:rsidR="006602C6" w:rsidRDefault="006602C6" w:rsidP="006602C6">
      <w:pPr>
        <w:spacing w:after="0"/>
        <w:rPr>
          <w:b/>
          <w:bCs/>
        </w:rPr>
      </w:pPr>
    </w:p>
    <w:p w14:paraId="30027C72" w14:textId="549CB145" w:rsidR="006602C6" w:rsidRDefault="006602C6" w:rsidP="006602C6">
      <w:pPr>
        <w:spacing w:after="0"/>
        <w:jc w:val="center"/>
        <w:rPr>
          <w:b/>
          <w:bCs/>
        </w:rPr>
      </w:pPr>
      <w:r>
        <w:rPr>
          <w:b/>
          <w:bCs/>
        </w:rPr>
        <w:t>Medicare Fee For Service Claims Based Measures</w:t>
      </w:r>
    </w:p>
    <w:p w14:paraId="27358DB8" w14:textId="77777777" w:rsidR="001C75A8" w:rsidRPr="00BC532C" w:rsidRDefault="006602C6" w:rsidP="001C75A8">
      <w:pPr>
        <w:pStyle w:val="ListParagraph"/>
        <w:numPr>
          <w:ilvl w:val="0"/>
          <w:numId w:val="4"/>
        </w:numPr>
        <w:spacing w:after="0"/>
        <w:rPr>
          <w:strike/>
        </w:rPr>
      </w:pPr>
      <w:r w:rsidRPr="00BC532C">
        <w:rPr>
          <w:strike/>
        </w:rPr>
        <w:t>IRF QRP Measure #14: Medicare Spending per Beneficiary (MSPB)–Post-Acute Care (PAC) IRF QRP [CMIT Measure ID #00434 (CBE-endorsed)]</w:t>
      </w:r>
    </w:p>
    <w:p w14:paraId="7288176E" w14:textId="348681FD" w:rsidR="006602C6" w:rsidRPr="00BC532C" w:rsidRDefault="001C75A8" w:rsidP="001C75A8">
      <w:pPr>
        <w:pStyle w:val="ListParagraph"/>
        <w:numPr>
          <w:ilvl w:val="1"/>
          <w:numId w:val="4"/>
        </w:numPr>
        <w:spacing w:after="0"/>
        <w:rPr>
          <w:strike/>
        </w:rPr>
      </w:pPr>
      <w:r w:rsidRPr="00BC532C">
        <w:rPr>
          <w:strike/>
        </w:rPr>
        <w:t>CMS ID: I020.01</w:t>
      </w:r>
    </w:p>
    <w:p w14:paraId="14DA7B94" w14:textId="3DD7B5A0" w:rsidR="00D42324" w:rsidRPr="00BC532C" w:rsidRDefault="00D42324" w:rsidP="00D42324">
      <w:pPr>
        <w:pStyle w:val="ListParagraph"/>
        <w:numPr>
          <w:ilvl w:val="2"/>
          <w:numId w:val="4"/>
        </w:numPr>
        <w:spacing w:after="0"/>
        <w:rPr>
          <w:strike/>
          <w:highlight w:val="yellow"/>
        </w:rPr>
      </w:pPr>
      <w:r w:rsidRPr="00BC532C">
        <w:rPr>
          <w:strike/>
          <w:highlight w:val="yellow"/>
        </w:rPr>
        <w:t>I_020_01_MSPB_SCORE</w:t>
      </w:r>
    </w:p>
    <w:p w14:paraId="21783CBA" w14:textId="547F6E8A" w:rsidR="001F03F2" w:rsidRPr="00BC532C" w:rsidRDefault="001F03F2" w:rsidP="001F03F2">
      <w:pPr>
        <w:pStyle w:val="ListParagraph"/>
        <w:numPr>
          <w:ilvl w:val="2"/>
          <w:numId w:val="4"/>
        </w:numPr>
        <w:spacing w:after="0"/>
        <w:rPr>
          <w:strike/>
          <w:highlight w:val="green"/>
        </w:rPr>
      </w:pPr>
      <w:r w:rsidRPr="00BC532C">
        <w:rPr>
          <w:strike/>
          <w:highlight w:val="green"/>
        </w:rPr>
        <w:t>I_020_01_NATL_MSPB_SCORE</w:t>
      </w:r>
      <w:r w:rsidR="00F801C2" w:rsidRPr="00BC532C">
        <w:rPr>
          <w:strike/>
          <w:highlight w:val="green"/>
        </w:rPr>
        <w:t xml:space="preserve"> </w:t>
      </w:r>
      <w:r w:rsidR="00F801C2" w:rsidRPr="00BC532C">
        <w:rPr>
          <w:strike/>
        </w:rPr>
        <w:t xml:space="preserve">  = 1</w:t>
      </w:r>
    </w:p>
    <w:p w14:paraId="5C1B617F" w14:textId="77777777" w:rsidR="001F03F2" w:rsidRPr="00D42324" w:rsidRDefault="001F03F2" w:rsidP="001F03F2">
      <w:pPr>
        <w:pStyle w:val="ListParagraph"/>
        <w:spacing w:after="0"/>
        <w:ind w:left="2160"/>
        <w:rPr>
          <w:highlight w:val="yellow"/>
        </w:rPr>
      </w:pPr>
    </w:p>
    <w:p w14:paraId="48BAFC92" w14:textId="77777777" w:rsidR="00D42324" w:rsidRDefault="00D42324" w:rsidP="00D42324">
      <w:pPr>
        <w:pStyle w:val="ListParagraph"/>
        <w:numPr>
          <w:ilvl w:val="2"/>
          <w:numId w:val="4"/>
        </w:numPr>
        <w:spacing w:after="0"/>
      </w:pPr>
      <w:r w:rsidRPr="00D42324">
        <w:t>a measure used to assess how efficiently a hospital or clinician manages Medicare spending for a patient's episode of care</w:t>
      </w:r>
    </w:p>
    <w:p w14:paraId="15C67B96" w14:textId="5342E794" w:rsidR="00D42324" w:rsidRPr="00D42324" w:rsidRDefault="00D42324" w:rsidP="00D42324">
      <w:pPr>
        <w:pStyle w:val="ListParagraph"/>
        <w:numPr>
          <w:ilvl w:val="2"/>
          <w:numId w:val="4"/>
        </w:numPr>
        <w:spacing w:after="0"/>
      </w:pPr>
      <w:r w:rsidRPr="00D42324">
        <w:rPr>
          <w:rFonts w:ascii="Times New Roman" w:eastAsia="Times New Roman" w:hAnsi="Times New Roman" w:cs="Times New Roman"/>
          <w:kern w:val="0"/>
          <w14:ligatures w14:val="none"/>
        </w:rPr>
        <w:t>A score of 1 indicates average spending, while scores below or above 1 indicate lower or higher spending, respectively, compared to the national average. </w:t>
      </w:r>
    </w:p>
    <w:p w14:paraId="2B817DED" w14:textId="77777777" w:rsidR="00D42324" w:rsidRPr="00D42324" w:rsidRDefault="00D42324" w:rsidP="00D4232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3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Incentivizing Efficiency:</w:t>
      </w:r>
      <w:r w:rsidRPr="00D42324">
        <w:rPr>
          <w:rFonts w:ascii="Times New Roman" w:eastAsia="Times New Roman" w:hAnsi="Times New Roman" w:cs="Times New Roman"/>
          <w:kern w:val="0"/>
          <w14:ligatures w14:val="none"/>
        </w:rPr>
        <w:t xml:space="preserve"> CMS uses the MSPB score to identify areas where hospitals and clinicians can improve efficiency and reduce costs. </w:t>
      </w:r>
    </w:p>
    <w:p w14:paraId="15ADB208" w14:textId="16193AF7" w:rsidR="00D42324" w:rsidRPr="007B02D5" w:rsidRDefault="007B02D5" w:rsidP="007B02D5">
      <w:pPr>
        <w:spacing w:after="0"/>
        <w:rPr>
          <w:b/>
          <w:bCs/>
        </w:rPr>
      </w:pPr>
      <w:r w:rsidRPr="007B02D5">
        <w:rPr>
          <w:b/>
          <w:bCs/>
        </w:rPr>
        <w:t>Take Aways:</w:t>
      </w:r>
    </w:p>
    <w:p w14:paraId="1C452F8F" w14:textId="5EF88EB8" w:rsidR="007B02D5" w:rsidRDefault="007B02D5" w:rsidP="007B02D5">
      <w:pPr>
        <w:pStyle w:val="ListParagraph"/>
        <w:numPr>
          <w:ilvl w:val="0"/>
          <w:numId w:val="2"/>
        </w:numPr>
        <w:spacing w:after="0"/>
      </w:pPr>
      <w:r>
        <w:t>CMS regions generally show a downward, or improved, efficiency in spending from 2020-2025.</w:t>
      </w:r>
    </w:p>
    <w:p w14:paraId="53EC6BCC" w14:textId="5329E8D3" w:rsidR="007B02D5" w:rsidRDefault="007B02D5" w:rsidP="007B02D5">
      <w:pPr>
        <w:pStyle w:val="ListParagraph"/>
        <w:numPr>
          <w:ilvl w:val="0"/>
          <w:numId w:val="2"/>
        </w:numPr>
        <w:spacing w:after="0"/>
      </w:pPr>
      <w:r>
        <w:t xml:space="preserve">2020 generally was the least efficient for spending across all regions, </w:t>
      </w:r>
      <w:proofErr w:type="gramStart"/>
      <w:r>
        <w:t>with the exception of</w:t>
      </w:r>
      <w:proofErr w:type="gramEnd"/>
      <w:r>
        <w:t xml:space="preserve"> region 2</w:t>
      </w:r>
    </w:p>
    <w:p w14:paraId="7CCD65E4" w14:textId="27169704" w:rsidR="007B02D5" w:rsidRDefault="007B02D5" w:rsidP="007B02D5">
      <w:pPr>
        <w:pStyle w:val="ListParagraph"/>
        <w:numPr>
          <w:ilvl w:val="0"/>
          <w:numId w:val="2"/>
        </w:numPr>
        <w:spacing w:after="0"/>
      </w:pPr>
      <w:r>
        <w:t>Region 2 shows an upward trend since 2020, indicating increased spending/beneficiary and less efficiency</w:t>
      </w:r>
    </w:p>
    <w:tbl>
      <w:tblPr>
        <w:tblW w:w="6200" w:type="dxa"/>
        <w:tblInd w:w="1590" w:type="dxa"/>
        <w:tblLook w:val="04A0" w:firstRow="1" w:lastRow="0" w:firstColumn="1" w:lastColumn="0" w:noHBand="0" w:noVBand="1"/>
      </w:tblPr>
      <w:tblGrid>
        <w:gridCol w:w="6200"/>
      </w:tblGrid>
      <w:tr w:rsidR="007B02D5" w:rsidRPr="007B02D5" w14:paraId="23E627FC" w14:textId="77777777" w:rsidTr="007B02D5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AF8C3" w14:textId="77777777" w:rsidR="007B02D5" w:rsidRPr="007B02D5" w:rsidRDefault="007B02D5" w:rsidP="007B02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New York:</w:t>
            </w:r>
          </w:p>
        </w:tc>
      </w:tr>
      <w:tr w:rsidR="007B02D5" w:rsidRPr="007B02D5" w14:paraId="2EF9A16E" w14:textId="77777777" w:rsidTr="007B02D5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8AB8A" w14:textId="77777777" w:rsidR="007B02D5" w:rsidRPr="007B02D5" w:rsidRDefault="007B02D5" w:rsidP="007B02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New Jersey, New York, Puerto Rico, Virgin</w:t>
            </w:r>
          </w:p>
        </w:tc>
      </w:tr>
      <w:tr w:rsidR="007B02D5" w:rsidRPr="007B02D5" w14:paraId="188ADF79" w14:textId="77777777" w:rsidTr="007B02D5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2B9B3" w14:textId="77777777" w:rsidR="007B02D5" w:rsidRPr="007B02D5" w:rsidRDefault="007B02D5" w:rsidP="007B02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Islands</w:t>
            </w:r>
          </w:p>
        </w:tc>
      </w:tr>
    </w:tbl>
    <w:p w14:paraId="58DBC7FA" w14:textId="5208BD31" w:rsidR="007B02D5" w:rsidRDefault="007B02D5" w:rsidP="007B02D5">
      <w:pPr>
        <w:pStyle w:val="ListParagraph"/>
        <w:numPr>
          <w:ilvl w:val="0"/>
          <w:numId w:val="2"/>
        </w:numPr>
        <w:spacing w:after="0"/>
      </w:pPr>
      <w:r>
        <w:t xml:space="preserve">Region 6 also consistently inefficient </w:t>
      </w:r>
    </w:p>
    <w:tbl>
      <w:tblPr>
        <w:tblW w:w="6200" w:type="dxa"/>
        <w:tblInd w:w="1589" w:type="dxa"/>
        <w:tblLook w:val="04A0" w:firstRow="1" w:lastRow="0" w:firstColumn="1" w:lastColumn="0" w:noHBand="0" w:noVBand="1"/>
      </w:tblPr>
      <w:tblGrid>
        <w:gridCol w:w="6200"/>
      </w:tblGrid>
      <w:tr w:rsidR="007B02D5" w:rsidRPr="007B02D5" w14:paraId="3B7BB07B" w14:textId="77777777" w:rsidTr="007B02D5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531C91" w14:textId="77777777" w:rsidR="007B02D5" w:rsidRPr="007B02D5" w:rsidRDefault="007B02D5" w:rsidP="007B02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Dallas:</w:t>
            </w:r>
          </w:p>
        </w:tc>
      </w:tr>
      <w:tr w:rsidR="007B02D5" w:rsidRPr="007B02D5" w14:paraId="6EBFA3E9" w14:textId="77777777" w:rsidTr="007B02D5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E354E" w14:textId="77777777" w:rsidR="007B02D5" w:rsidRPr="007B02D5" w:rsidRDefault="007B02D5" w:rsidP="007B02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Arkansas, Louisiana, New Mexico, Oklahoma,</w:t>
            </w:r>
          </w:p>
        </w:tc>
      </w:tr>
    </w:tbl>
    <w:p w14:paraId="4312D9AA" w14:textId="77777777" w:rsidR="007B02D5" w:rsidRDefault="007B02D5" w:rsidP="007B02D5">
      <w:pPr>
        <w:spacing w:after="0"/>
      </w:pPr>
    </w:p>
    <w:p w14:paraId="20F219E9" w14:textId="578E397B" w:rsidR="007B02D5" w:rsidRDefault="007B02D5" w:rsidP="007B02D5">
      <w:pPr>
        <w:pStyle w:val="ListParagraph"/>
        <w:numPr>
          <w:ilvl w:val="0"/>
          <w:numId w:val="2"/>
        </w:numPr>
        <w:spacing w:after="0"/>
      </w:pPr>
      <w:r>
        <w:t xml:space="preserve">Region 10 shows </w:t>
      </w:r>
      <w:proofErr w:type="gramStart"/>
      <w:r>
        <w:t>overall the best</w:t>
      </w:r>
      <w:proofErr w:type="gramEnd"/>
      <w:r>
        <w:t xml:space="preserve"> in terms of efficiency from year to year</w:t>
      </w:r>
    </w:p>
    <w:tbl>
      <w:tblPr>
        <w:tblW w:w="6200" w:type="dxa"/>
        <w:tblInd w:w="1589" w:type="dxa"/>
        <w:tblLook w:val="04A0" w:firstRow="1" w:lastRow="0" w:firstColumn="1" w:lastColumn="0" w:noHBand="0" w:noVBand="1"/>
      </w:tblPr>
      <w:tblGrid>
        <w:gridCol w:w="6200"/>
      </w:tblGrid>
      <w:tr w:rsidR="007B02D5" w:rsidRPr="007B02D5" w14:paraId="28824A7B" w14:textId="77777777" w:rsidTr="007B02D5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BAC6A" w14:textId="77777777" w:rsidR="007B02D5" w:rsidRPr="007B02D5" w:rsidRDefault="007B02D5" w:rsidP="007B02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Seattle:</w:t>
            </w:r>
          </w:p>
        </w:tc>
      </w:tr>
      <w:tr w:rsidR="007B02D5" w:rsidRPr="007B02D5" w14:paraId="4DA3994B" w14:textId="77777777" w:rsidTr="007B02D5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7020B5" w14:textId="77777777" w:rsidR="007B02D5" w:rsidRPr="007B02D5" w:rsidRDefault="007B02D5" w:rsidP="007B02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Alaska, Idaho, Oregon, Washington</w:t>
            </w:r>
          </w:p>
        </w:tc>
      </w:tr>
    </w:tbl>
    <w:p w14:paraId="629FB050" w14:textId="77777777" w:rsidR="007B02D5" w:rsidRDefault="007B02D5" w:rsidP="007B02D5">
      <w:pPr>
        <w:pStyle w:val="ListParagraph"/>
        <w:numPr>
          <w:ilvl w:val="1"/>
          <w:numId w:val="2"/>
        </w:numPr>
        <w:spacing w:after="0"/>
      </w:pPr>
    </w:p>
    <w:p w14:paraId="7309BC99" w14:textId="77777777" w:rsidR="007B02D5" w:rsidRPr="00CB79A8" w:rsidRDefault="007B02D5" w:rsidP="001C75A8">
      <w:pPr>
        <w:pStyle w:val="ListParagraph"/>
        <w:spacing w:after="0"/>
      </w:pPr>
    </w:p>
    <w:p w14:paraId="21F3FFB5" w14:textId="77777777" w:rsidR="001C75A8" w:rsidRPr="00431642" w:rsidRDefault="006602C6" w:rsidP="001C75A8">
      <w:pPr>
        <w:pStyle w:val="ListParagraph"/>
        <w:numPr>
          <w:ilvl w:val="0"/>
          <w:numId w:val="4"/>
        </w:numPr>
        <w:spacing w:after="0"/>
        <w:rPr>
          <w:strike/>
        </w:rPr>
      </w:pPr>
      <w:r w:rsidRPr="00431642">
        <w:rPr>
          <w:strike/>
        </w:rPr>
        <w:t>IRF QRP Measure #15: Discharge to Community–PAC IRF QRP [CMIT Measure ID #00210 (CBE-endorsed)]</w:t>
      </w:r>
    </w:p>
    <w:p w14:paraId="1C8A001B" w14:textId="6C01F3D4" w:rsidR="00CB79A8" w:rsidRPr="00431642" w:rsidRDefault="001C75A8" w:rsidP="001C75A8">
      <w:pPr>
        <w:pStyle w:val="ListParagraph"/>
        <w:numPr>
          <w:ilvl w:val="1"/>
          <w:numId w:val="4"/>
        </w:numPr>
        <w:spacing w:after="0"/>
        <w:rPr>
          <w:strike/>
        </w:rPr>
      </w:pPr>
      <w:r w:rsidRPr="00431642">
        <w:rPr>
          <w:strike/>
        </w:rPr>
        <w:t>CMS ID: 1019.02</w:t>
      </w:r>
    </w:p>
    <w:p w14:paraId="2DB6680D" w14:textId="02315751" w:rsidR="0097038D" w:rsidRPr="00431642" w:rsidRDefault="0097038D" w:rsidP="0097038D">
      <w:pPr>
        <w:pStyle w:val="ListParagraph"/>
        <w:numPr>
          <w:ilvl w:val="2"/>
          <w:numId w:val="4"/>
        </w:numPr>
        <w:spacing w:after="0"/>
        <w:rPr>
          <w:strike/>
        </w:rPr>
      </w:pPr>
      <w:r w:rsidRPr="00431642">
        <w:rPr>
          <w:strike/>
          <w:highlight w:val="yellow"/>
        </w:rPr>
        <w:t>I_019_02_DTC_OBS_RATE;</w:t>
      </w:r>
      <w:r w:rsidRPr="00431642">
        <w:rPr>
          <w:strike/>
        </w:rPr>
        <w:t xml:space="preserve"> observed d/c to community rate</w:t>
      </w:r>
    </w:p>
    <w:p w14:paraId="0A5D25E8" w14:textId="0C050D1B" w:rsidR="001F03F2" w:rsidRPr="00431642" w:rsidRDefault="001F03F2" w:rsidP="0097038D">
      <w:pPr>
        <w:pStyle w:val="ListParagraph"/>
        <w:numPr>
          <w:ilvl w:val="2"/>
          <w:numId w:val="4"/>
        </w:numPr>
        <w:spacing w:after="0"/>
        <w:rPr>
          <w:strike/>
          <w:highlight w:val="green"/>
        </w:rPr>
      </w:pPr>
      <w:r w:rsidRPr="00431642">
        <w:rPr>
          <w:strike/>
          <w:highlight w:val="green"/>
        </w:rPr>
        <w:t>I_019_02_NATL_DTC_OBS_</w:t>
      </w:r>
      <w:proofErr w:type="gramStart"/>
      <w:r w:rsidRPr="00431642">
        <w:rPr>
          <w:strike/>
          <w:highlight w:val="green"/>
        </w:rPr>
        <w:t>RATE;</w:t>
      </w:r>
      <w:proofErr w:type="gramEnd"/>
    </w:p>
    <w:p w14:paraId="3016C5DD" w14:textId="77777777" w:rsidR="001C75A8" w:rsidRPr="00CB79A8" w:rsidRDefault="001C75A8" w:rsidP="001C75A8">
      <w:pPr>
        <w:pStyle w:val="ListParagraph"/>
        <w:spacing w:after="0"/>
      </w:pPr>
    </w:p>
    <w:p w14:paraId="751D52D6" w14:textId="77777777" w:rsidR="001C75A8" w:rsidRDefault="00CB79A8" w:rsidP="001C75A8">
      <w:pPr>
        <w:pStyle w:val="ListParagraph"/>
        <w:numPr>
          <w:ilvl w:val="0"/>
          <w:numId w:val="4"/>
        </w:numPr>
        <w:spacing w:after="0"/>
      </w:pPr>
      <w:r w:rsidRPr="00CB79A8">
        <w:t>IRF QRP Measures #16: Potentially Preventable 30-Day Post-Discharge Readmission Measure for IRF QRP [CMIT Measure ID #00575 (not endorsed)]</w:t>
      </w:r>
    </w:p>
    <w:p w14:paraId="5E6735B8" w14:textId="34EFF882" w:rsidR="00CB79A8" w:rsidRDefault="001C75A8" w:rsidP="001C75A8">
      <w:pPr>
        <w:pStyle w:val="ListParagraph"/>
        <w:numPr>
          <w:ilvl w:val="1"/>
          <w:numId w:val="4"/>
        </w:numPr>
        <w:spacing w:after="0"/>
      </w:pPr>
      <w:r>
        <w:t>CMS ID: I017.01</w:t>
      </w:r>
    </w:p>
    <w:p w14:paraId="46EEE52F" w14:textId="7F2EACDB" w:rsidR="0097038D" w:rsidRDefault="0097038D" w:rsidP="0097038D">
      <w:pPr>
        <w:pStyle w:val="ListParagraph"/>
        <w:numPr>
          <w:ilvl w:val="2"/>
          <w:numId w:val="4"/>
        </w:numPr>
        <w:spacing w:after="0"/>
      </w:pPr>
      <w:r w:rsidRPr="0097038D">
        <w:rPr>
          <w:highlight w:val="yellow"/>
        </w:rPr>
        <w:t>I_017_01_PPR_PD_OBS_</w:t>
      </w:r>
      <w:r>
        <w:rPr>
          <w:highlight w:val="yellow"/>
        </w:rPr>
        <w:t>RATE</w:t>
      </w:r>
      <w:r w:rsidRPr="0097038D">
        <w:rPr>
          <w:highlight w:val="yellow"/>
        </w:rPr>
        <w:t>;</w:t>
      </w:r>
      <w:r>
        <w:t xml:space="preserve"> unadjusted PPR</w:t>
      </w:r>
      <w:r w:rsidR="001F03F2">
        <w:t xml:space="preserve"> readmission</w:t>
      </w:r>
      <w:r>
        <w:t xml:space="preserve"> rate</w:t>
      </w:r>
    </w:p>
    <w:p w14:paraId="2E3CDDE7" w14:textId="3C7AE91E" w:rsidR="001C75A8" w:rsidRPr="001F03F2" w:rsidRDefault="001F03F2" w:rsidP="001F03F2">
      <w:pPr>
        <w:pStyle w:val="ListParagraph"/>
        <w:numPr>
          <w:ilvl w:val="2"/>
          <w:numId w:val="4"/>
        </w:numPr>
        <w:spacing w:after="0"/>
        <w:rPr>
          <w:highlight w:val="green"/>
        </w:rPr>
      </w:pPr>
      <w:r w:rsidRPr="001F03F2">
        <w:rPr>
          <w:highlight w:val="green"/>
        </w:rPr>
        <w:t>I_017_01_PPR_PD_NATL_OBS_</w:t>
      </w:r>
      <w:proofErr w:type="gramStart"/>
      <w:r w:rsidRPr="001F03F2">
        <w:rPr>
          <w:highlight w:val="green"/>
        </w:rPr>
        <w:t>RATE</w:t>
      </w:r>
      <w:r>
        <w:rPr>
          <w:highlight w:val="green"/>
        </w:rPr>
        <w:t>;</w:t>
      </w:r>
      <w:r w:rsidRPr="001F03F2">
        <w:t xml:space="preserve">  </w:t>
      </w:r>
      <w:r>
        <w:t>national</w:t>
      </w:r>
      <w:proofErr w:type="gramEnd"/>
      <w:r>
        <w:t xml:space="preserve"> unadjusted PPR readmission rate</w:t>
      </w:r>
    </w:p>
    <w:p w14:paraId="1ADC3D49" w14:textId="77777777" w:rsidR="001C75A8" w:rsidRPr="007B02D5" w:rsidRDefault="00CB79A8" w:rsidP="001C75A8">
      <w:pPr>
        <w:pStyle w:val="ListParagraph"/>
        <w:numPr>
          <w:ilvl w:val="0"/>
          <w:numId w:val="4"/>
        </w:numPr>
        <w:spacing w:after="0"/>
        <w:rPr>
          <w:strike/>
        </w:rPr>
      </w:pPr>
      <w:r w:rsidRPr="007B02D5">
        <w:rPr>
          <w:strike/>
        </w:rPr>
        <w:lastRenderedPageBreak/>
        <w:t>IRF QRP Measure #17: Potentially Preventable Within Stay Readmission Measure [CMIT Measure ID #00576 (not endorsed)]</w:t>
      </w:r>
    </w:p>
    <w:p w14:paraId="27CE623E" w14:textId="21321F01" w:rsidR="00CB79A8" w:rsidRPr="007B02D5" w:rsidRDefault="001C75A8" w:rsidP="001C75A8">
      <w:pPr>
        <w:pStyle w:val="ListParagraph"/>
        <w:numPr>
          <w:ilvl w:val="1"/>
          <w:numId w:val="4"/>
        </w:numPr>
        <w:spacing w:after="0"/>
        <w:rPr>
          <w:strike/>
        </w:rPr>
      </w:pPr>
      <w:r w:rsidRPr="007B02D5">
        <w:rPr>
          <w:strike/>
        </w:rPr>
        <w:t>CMS ID: I018.01</w:t>
      </w:r>
    </w:p>
    <w:p w14:paraId="6083D492" w14:textId="598A7838" w:rsidR="0097038D" w:rsidRPr="007B02D5" w:rsidRDefault="0097038D" w:rsidP="0097038D">
      <w:pPr>
        <w:pStyle w:val="ListParagraph"/>
        <w:numPr>
          <w:ilvl w:val="2"/>
          <w:numId w:val="4"/>
        </w:numPr>
        <w:spacing w:after="0"/>
        <w:rPr>
          <w:strike/>
        </w:rPr>
      </w:pPr>
      <w:r w:rsidRPr="007B02D5">
        <w:rPr>
          <w:strike/>
          <w:highlight w:val="yellow"/>
        </w:rPr>
        <w:t>I_018_01_PPR_WI_OBS_RATE;</w:t>
      </w:r>
      <w:r w:rsidRPr="007B02D5">
        <w:rPr>
          <w:strike/>
        </w:rPr>
        <w:t xml:space="preserve"> unadjusted potentially preventable readmission rate</w:t>
      </w:r>
    </w:p>
    <w:p w14:paraId="52C6E4F4" w14:textId="077A25CC" w:rsidR="008A4827" w:rsidRPr="007B02D5" w:rsidRDefault="008A4827" w:rsidP="0097038D">
      <w:pPr>
        <w:pStyle w:val="ListParagraph"/>
        <w:numPr>
          <w:ilvl w:val="2"/>
          <w:numId w:val="4"/>
        </w:numPr>
        <w:spacing w:after="0"/>
        <w:rPr>
          <w:strike/>
          <w:highlight w:val="green"/>
        </w:rPr>
      </w:pPr>
      <w:r w:rsidRPr="007B02D5">
        <w:rPr>
          <w:strike/>
          <w:highlight w:val="green"/>
        </w:rPr>
        <w:t>I_018_01_PPR_WI_NATL_OBS_RATE</w:t>
      </w:r>
      <w:r w:rsidR="0080129B" w:rsidRPr="007B02D5">
        <w:rPr>
          <w:strike/>
        </w:rPr>
        <w:t xml:space="preserve">= </w:t>
      </w:r>
    </w:p>
    <w:p w14:paraId="0FDB1871" w14:textId="302D311B" w:rsidR="00A15FB1" w:rsidRDefault="00A15FB1" w:rsidP="00A15FB1">
      <w:pPr>
        <w:pStyle w:val="ListParagraph"/>
        <w:numPr>
          <w:ilvl w:val="3"/>
          <w:numId w:val="4"/>
        </w:numPr>
        <w:spacing w:after="0"/>
      </w:pPr>
      <w:r>
        <w:t>2025= 4.75</w:t>
      </w:r>
    </w:p>
    <w:p w14:paraId="3296147A" w14:textId="5CC92426" w:rsidR="00A15FB1" w:rsidRDefault="00A15FB1" w:rsidP="00A15FB1">
      <w:pPr>
        <w:pStyle w:val="ListParagraph"/>
        <w:numPr>
          <w:ilvl w:val="3"/>
          <w:numId w:val="4"/>
        </w:numPr>
        <w:spacing w:after="0"/>
      </w:pPr>
      <w:r>
        <w:t>2024= 4.89</w:t>
      </w:r>
    </w:p>
    <w:p w14:paraId="694434BF" w14:textId="0547FCAE" w:rsidR="00A15FB1" w:rsidRDefault="00A15FB1" w:rsidP="00A15FB1">
      <w:pPr>
        <w:pStyle w:val="ListParagraph"/>
        <w:numPr>
          <w:ilvl w:val="3"/>
          <w:numId w:val="4"/>
        </w:numPr>
        <w:spacing w:after="0"/>
      </w:pPr>
      <w:r>
        <w:t>2023= 4.24</w:t>
      </w:r>
    </w:p>
    <w:p w14:paraId="0A31A498" w14:textId="20FCDE66" w:rsidR="00A15FB1" w:rsidRDefault="00A15FB1" w:rsidP="00A15FB1">
      <w:pPr>
        <w:pStyle w:val="ListParagraph"/>
        <w:numPr>
          <w:ilvl w:val="3"/>
          <w:numId w:val="4"/>
        </w:numPr>
        <w:spacing w:after="0"/>
      </w:pPr>
      <w:r>
        <w:t>2022= 4.24</w:t>
      </w:r>
    </w:p>
    <w:p w14:paraId="557A1DB0" w14:textId="1CB4296B" w:rsidR="00A15FB1" w:rsidRPr="00A15FB1" w:rsidRDefault="00A15FB1" w:rsidP="00A15FB1">
      <w:pPr>
        <w:pStyle w:val="ListParagraph"/>
        <w:numPr>
          <w:ilvl w:val="3"/>
          <w:numId w:val="4"/>
        </w:numPr>
        <w:spacing w:after="0"/>
      </w:pPr>
      <w:r>
        <w:t>2020= 4.26</w:t>
      </w:r>
    </w:p>
    <w:p w14:paraId="162B71F7" w14:textId="2B6B6805" w:rsidR="0097038D" w:rsidRPr="0097038D" w:rsidRDefault="0097038D" w:rsidP="0097038D">
      <w:pPr>
        <w:pStyle w:val="ListParagraph"/>
        <w:numPr>
          <w:ilvl w:val="0"/>
          <w:numId w:val="2"/>
        </w:numPr>
        <w:spacing w:after="0"/>
      </w:pPr>
    </w:p>
    <w:p w14:paraId="28D97FC7" w14:textId="77777777" w:rsidR="0097038D" w:rsidRDefault="0097038D" w:rsidP="006602C6">
      <w:pPr>
        <w:spacing w:after="0"/>
        <w:rPr>
          <w:b/>
          <w:bCs/>
        </w:rPr>
      </w:pPr>
    </w:p>
    <w:p w14:paraId="46979A6A" w14:textId="1BBFD19F" w:rsidR="006602C6" w:rsidRPr="006602C6" w:rsidRDefault="006602C6" w:rsidP="006602C6">
      <w:pPr>
        <w:spacing w:after="0"/>
        <w:rPr>
          <w:b/>
          <w:bCs/>
        </w:rPr>
      </w:pPr>
      <w:r w:rsidRPr="006602C6">
        <w:rPr>
          <w:b/>
          <w:bCs/>
        </w:rPr>
        <w:t>https://www.cms.gov/medicare/quality/inpatient-rehabilitation-facility/irf-quality-reporting-measures-information</w:t>
      </w:r>
    </w:p>
    <w:p w14:paraId="2510F261" w14:textId="77777777" w:rsidR="006602C6" w:rsidRDefault="006602C6" w:rsidP="006602C6">
      <w:pPr>
        <w:spacing w:after="0"/>
        <w:rPr>
          <w:b/>
          <w:bCs/>
        </w:rPr>
      </w:pPr>
    </w:p>
    <w:p w14:paraId="60040CB1" w14:textId="10E41225" w:rsidR="0043162F" w:rsidRDefault="0043162F" w:rsidP="006602C6">
      <w:pPr>
        <w:spacing w:after="0"/>
        <w:rPr>
          <w:b/>
          <w:bCs/>
        </w:rPr>
      </w:pPr>
      <w:r>
        <w:rPr>
          <w:b/>
          <w:bCs/>
        </w:rPr>
        <w:t>**** 2021 IRF Data Not Available****</w:t>
      </w:r>
    </w:p>
    <w:p w14:paraId="48E93AC6" w14:textId="77777777" w:rsidR="006602C6" w:rsidRDefault="006602C6" w:rsidP="006602C6">
      <w:pPr>
        <w:spacing w:after="0"/>
        <w:rPr>
          <w:b/>
          <w:bCs/>
        </w:rPr>
      </w:pPr>
    </w:p>
    <w:p w14:paraId="48F8888B" w14:textId="77777777" w:rsidR="006602C6" w:rsidRDefault="006602C6" w:rsidP="006602C6">
      <w:pPr>
        <w:spacing w:after="0"/>
      </w:pPr>
    </w:p>
    <w:p w14:paraId="7181EA89" w14:textId="77777777" w:rsidR="00F801C2" w:rsidRDefault="00F801C2" w:rsidP="006602C6">
      <w:pPr>
        <w:spacing w:after="0"/>
      </w:pPr>
    </w:p>
    <w:p w14:paraId="3B0706B1" w14:textId="77777777" w:rsidR="00431642" w:rsidRPr="00431642" w:rsidRDefault="00431642" w:rsidP="00431642">
      <w:pPr>
        <w:spacing w:after="0"/>
        <w:ind w:left="360"/>
      </w:pPr>
      <w:r w:rsidRPr="00431642">
        <w:t xml:space="preserve">Here are the 13 qualifying conditions: </w:t>
      </w:r>
    </w:p>
    <w:p w14:paraId="06D6DD28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r w:rsidRPr="00431642">
        <w:rPr>
          <w:b/>
          <w:bCs/>
        </w:rPr>
        <w:t>Stroke:</w:t>
      </w:r>
      <w:r w:rsidRPr="00431642">
        <w:t xml:space="preserve"> </w:t>
      </w:r>
      <w:proofErr w:type="gramStart"/>
      <w:r w:rsidRPr="00431642">
        <w:t xml:space="preserve">  </w:t>
      </w:r>
      <w:r w:rsidRPr="00431642">
        <w:t></w:t>
      </w:r>
      <w:proofErr w:type="gramEnd"/>
      <w:r w:rsidRPr="00431642">
        <w:t xml:space="preserve">  </w:t>
      </w:r>
    </w:p>
    <w:p w14:paraId="1EEB1571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hyperlink r:id="rId5" w:tgtFrame="_blank" w:history="1">
        <w:r w:rsidRPr="00431642">
          <w:rPr>
            <w:rStyle w:val="Hyperlink"/>
            <w:b/>
            <w:bCs/>
          </w:rPr>
          <w:t xml:space="preserve">Spinal Cord </w:t>
        </w:r>
        <w:proofErr w:type="spellStart"/>
        <w:r w:rsidRPr="00431642">
          <w:rPr>
            <w:rStyle w:val="Hyperlink"/>
            <w:b/>
            <w:bCs/>
          </w:rPr>
          <w:t>Injury</w:t>
        </w:r>
      </w:hyperlink>
      <w:proofErr w:type="spellEnd"/>
    </w:p>
    <w:p w14:paraId="0643EE57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hyperlink r:id="rId6" w:tgtFrame="_blank" w:history="1">
        <w:r w:rsidRPr="00431642">
          <w:rPr>
            <w:rStyle w:val="Hyperlink"/>
            <w:b/>
            <w:bCs/>
          </w:rPr>
          <w:t>Congenital Deformity</w:t>
        </w:r>
      </w:hyperlink>
      <w:r w:rsidRPr="00431642">
        <w:rPr>
          <w:b/>
          <w:bCs/>
        </w:rPr>
        <w:t>:</w:t>
      </w:r>
      <w:r w:rsidRPr="00431642">
        <w:t xml:space="preserve"> </w:t>
      </w:r>
      <w:proofErr w:type="gramStart"/>
      <w:r w:rsidRPr="00431642">
        <w:t xml:space="preserve">  </w:t>
      </w:r>
      <w:r w:rsidRPr="00431642">
        <w:t></w:t>
      </w:r>
      <w:proofErr w:type="gramEnd"/>
      <w:r w:rsidRPr="00431642">
        <w:t xml:space="preserve"> </w:t>
      </w:r>
    </w:p>
    <w:p w14:paraId="4DC28655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hyperlink r:id="rId7" w:tgtFrame="_blank" w:history="1">
        <w:r w:rsidRPr="00431642">
          <w:rPr>
            <w:rStyle w:val="Hyperlink"/>
            <w:b/>
            <w:bCs/>
          </w:rPr>
          <w:t>Amputation</w:t>
        </w:r>
      </w:hyperlink>
      <w:r w:rsidRPr="00431642">
        <w:rPr>
          <w:b/>
          <w:bCs/>
        </w:rPr>
        <w:t>:</w:t>
      </w:r>
      <w:r w:rsidRPr="00431642">
        <w:t xml:space="preserve"> The surgical removal of a limb or part of a limb. </w:t>
      </w:r>
    </w:p>
    <w:p w14:paraId="3F3463F2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hyperlink r:id="rId8" w:tgtFrame="_blank" w:history="1">
        <w:r w:rsidRPr="00431642">
          <w:rPr>
            <w:rStyle w:val="Hyperlink"/>
            <w:b/>
            <w:bCs/>
          </w:rPr>
          <w:t>Major Multiple Trauma</w:t>
        </w:r>
      </w:hyperlink>
      <w:r w:rsidRPr="00431642">
        <w:rPr>
          <w:b/>
          <w:bCs/>
        </w:rPr>
        <w:t>:</w:t>
      </w:r>
      <w:r w:rsidRPr="00431642">
        <w:t xml:space="preserve"> Injuries to multiple body systems, often resulting from a major accident. </w:t>
      </w:r>
    </w:p>
    <w:p w14:paraId="6F5BA099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r w:rsidRPr="00431642">
        <w:rPr>
          <w:b/>
          <w:bCs/>
        </w:rPr>
        <w:t>Fracture of Femur (</w:t>
      </w:r>
      <w:hyperlink r:id="rId9" w:tgtFrame="_blank" w:history="1">
        <w:r w:rsidRPr="00431642">
          <w:rPr>
            <w:rStyle w:val="Hyperlink"/>
            <w:b/>
            <w:bCs/>
          </w:rPr>
          <w:t>Hip Fracture</w:t>
        </w:r>
      </w:hyperlink>
      <w:r w:rsidRPr="00431642">
        <w:rPr>
          <w:b/>
          <w:bCs/>
        </w:rPr>
        <w:t>):</w:t>
      </w:r>
      <w:r w:rsidRPr="00431642">
        <w:t xml:space="preserve"> A break in the thigh bone, often requiring surgery and rehabilitation. </w:t>
      </w:r>
    </w:p>
    <w:p w14:paraId="3F3DA074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hyperlink r:id="rId10" w:tgtFrame="_blank" w:history="1">
        <w:r w:rsidRPr="00431642">
          <w:rPr>
            <w:rStyle w:val="Hyperlink"/>
            <w:b/>
            <w:bCs/>
          </w:rPr>
          <w:t>Brain Injury</w:t>
        </w:r>
      </w:hyperlink>
      <w:r w:rsidRPr="00431642">
        <w:rPr>
          <w:b/>
          <w:bCs/>
        </w:rPr>
        <w:t>:</w:t>
      </w:r>
      <w:r w:rsidRPr="00431642">
        <w:t xml:space="preserve"> Damage to the brain, which can be traumatic (e.g., from a blow to the head) or non-traumatic (e.g., stroke or infection). </w:t>
      </w:r>
    </w:p>
    <w:p w14:paraId="2ECE5C01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hyperlink r:id="rId11" w:tgtFrame="_blank" w:history="1">
        <w:r w:rsidRPr="00431642">
          <w:rPr>
            <w:rStyle w:val="Hyperlink"/>
            <w:b/>
            <w:bCs/>
          </w:rPr>
          <w:t>Neurological Disorders</w:t>
        </w:r>
      </w:hyperlink>
      <w:r w:rsidRPr="00431642">
        <w:rPr>
          <w:b/>
          <w:bCs/>
        </w:rPr>
        <w:t>:</w:t>
      </w:r>
      <w:r w:rsidRPr="00431642">
        <w:t xml:space="preserve"> A range of conditions affecting the nervous system, including multiple sclerosis, motor neuron diseases, polyneuropathy, muscular dystrophy, and Parkinson's disease. </w:t>
      </w:r>
    </w:p>
    <w:p w14:paraId="78CA08A4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r w:rsidRPr="00431642">
        <w:t xml:space="preserve"> </w:t>
      </w:r>
      <w:hyperlink r:id="rId12" w:tgtFrame="_blank" w:history="1">
        <w:r w:rsidRPr="00431642">
          <w:rPr>
            <w:rStyle w:val="Hyperlink"/>
            <w:b/>
            <w:bCs/>
          </w:rPr>
          <w:t>Burns</w:t>
        </w:r>
      </w:hyperlink>
      <w:r w:rsidRPr="00431642">
        <w:rPr>
          <w:b/>
          <w:bCs/>
        </w:rPr>
        <w:t>:</w:t>
      </w:r>
      <w:r w:rsidRPr="00431642">
        <w:t xml:space="preserve"> Tissue damage caused by heat, chemicals, or electricity. </w:t>
      </w:r>
    </w:p>
    <w:p w14:paraId="267E3F1E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r w:rsidRPr="00431642">
        <w:rPr>
          <w:b/>
          <w:bCs/>
        </w:rPr>
        <w:t>Active, polyarticular rheumatoid arthritis, psoriatic arthritis, and seronegative arthropathies:</w:t>
      </w:r>
      <w:r w:rsidRPr="00431642">
        <w:t xml:space="preserve"> These are inflammatory conditions affecting multiple joints, where outpatient therapy has not been successful. </w:t>
      </w:r>
    </w:p>
    <w:p w14:paraId="7B26C1FB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r w:rsidRPr="00431642">
        <w:rPr>
          <w:b/>
          <w:bCs/>
        </w:rPr>
        <w:lastRenderedPageBreak/>
        <w:t>Hip or Knee Replacement:</w:t>
      </w:r>
      <w:r w:rsidRPr="00431642">
        <w:t xml:space="preserve"> Specifically, when it is bilateral, the patient's body mass index (BMI) is greater than or equal to 50, or the patient is 85 years or older. </w:t>
      </w:r>
    </w:p>
    <w:p w14:paraId="46129206" w14:textId="77777777" w:rsidR="00431642" w:rsidRDefault="00431642" w:rsidP="00431642">
      <w:pPr>
        <w:numPr>
          <w:ilvl w:val="0"/>
          <w:numId w:val="5"/>
        </w:numPr>
        <w:spacing w:after="0"/>
        <w:ind w:left="360"/>
      </w:pPr>
      <w:hyperlink r:id="rId13" w:tgtFrame="_blank" w:history="1">
        <w:r w:rsidRPr="00431642">
          <w:rPr>
            <w:rStyle w:val="Hyperlink"/>
            <w:b/>
            <w:bCs/>
          </w:rPr>
          <w:t>Systemic Vasculitis</w:t>
        </w:r>
      </w:hyperlink>
      <w:r w:rsidRPr="00431642">
        <w:rPr>
          <w:b/>
          <w:bCs/>
        </w:rPr>
        <w:t xml:space="preserve"> with Joint Involvement:</w:t>
      </w:r>
      <w:r w:rsidRPr="00431642">
        <w:t xml:space="preserve"> Inflammation of blood vessels that </w:t>
      </w:r>
      <w:proofErr w:type="gramStart"/>
      <w:r w:rsidRPr="00431642">
        <w:t>affects</w:t>
      </w:r>
      <w:proofErr w:type="gramEnd"/>
      <w:r w:rsidRPr="00431642">
        <w:t xml:space="preserve"> the joints. </w:t>
      </w:r>
    </w:p>
    <w:p w14:paraId="5E208FA8" w14:textId="5104F407" w:rsidR="00431642" w:rsidRPr="00431642" w:rsidRDefault="00431642" w:rsidP="00431642">
      <w:pPr>
        <w:numPr>
          <w:ilvl w:val="0"/>
          <w:numId w:val="5"/>
        </w:numPr>
        <w:spacing w:after="0"/>
        <w:ind w:left="360"/>
      </w:pPr>
      <w:hyperlink r:id="rId14" w:tgtFrame="_blank" w:history="1">
        <w:r w:rsidRPr="00431642">
          <w:rPr>
            <w:rStyle w:val="Hyperlink"/>
            <w:b/>
            <w:bCs/>
          </w:rPr>
          <w:t>Severe or Advanced Osteoarthritis</w:t>
        </w:r>
      </w:hyperlink>
      <w:r w:rsidRPr="00431642">
        <w:rPr>
          <w:b/>
          <w:bCs/>
        </w:rPr>
        <w:t>:</w:t>
      </w:r>
      <w:r w:rsidRPr="00431642">
        <w:t xml:space="preserve"> Degeneration of the joints that severely </w:t>
      </w:r>
      <w:proofErr w:type="gramStart"/>
      <w:r w:rsidRPr="00431642">
        <w:t>impairs</w:t>
      </w:r>
      <w:proofErr w:type="gramEnd"/>
      <w:r w:rsidRPr="00431642">
        <w:t xml:space="preserve"> mobility and function. </w:t>
      </w:r>
    </w:p>
    <w:p w14:paraId="757D2832" w14:textId="31380E77" w:rsidR="006602C6" w:rsidRDefault="006602C6" w:rsidP="00F801C2">
      <w:pPr>
        <w:spacing w:after="0"/>
        <w:ind w:left="360"/>
      </w:pPr>
    </w:p>
    <w:p w14:paraId="15D04233" w14:textId="77777777" w:rsidR="00714710" w:rsidRDefault="00714710" w:rsidP="00F801C2">
      <w:pPr>
        <w:spacing w:after="0"/>
        <w:ind w:left="360"/>
      </w:pPr>
    </w:p>
    <w:p w14:paraId="1465D18F" w14:textId="77777777" w:rsidR="00714710" w:rsidRDefault="00714710" w:rsidP="00F801C2">
      <w:pPr>
        <w:spacing w:after="0"/>
        <w:ind w:left="360"/>
      </w:pPr>
    </w:p>
    <w:p w14:paraId="24FAC508" w14:textId="77777777" w:rsidR="00714710" w:rsidRDefault="00714710" w:rsidP="00F801C2">
      <w:pPr>
        <w:spacing w:after="0"/>
        <w:ind w:left="360"/>
      </w:pPr>
    </w:p>
    <w:p w14:paraId="291FDF91" w14:textId="77777777" w:rsidR="00714710" w:rsidRDefault="00714710" w:rsidP="00F801C2">
      <w:pPr>
        <w:spacing w:after="0"/>
        <w:ind w:left="360"/>
      </w:pPr>
    </w:p>
    <w:p w14:paraId="4660AD87" w14:textId="77777777" w:rsidR="00714710" w:rsidRDefault="00714710" w:rsidP="00F801C2">
      <w:pPr>
        <w:spacing w:after="0"/>
        <w:ind w:left="360"/>
      </w:pPr>
    </w:p>
    <w:p w14:paraId="154177F7" w14:textId="77777777" w:rsidR="00714710" w:rsidRDefault="00714710" w:rsidP="00F801C2">
      <w:pPr>
        <w:spacing w:after="0"/>
        <w:ind w:left="360"/>
      </w:pPr>
    </w:p>
    <w:p w14:paraId="2BB22B60" w14:textId="574D34BD" w:rsidR="00714710" w:rsidRDefault="00714710" w:rsidP="00F801C2">
      <w:pPr>
        <w:spacing w:after="0"/>
        <w:ind w:left="360"/>
      </w:pPr>
      <w:r>
        <w:t>Read Me:</w:t>
      </w:r>
    </w:p>
    <w:p w14:paraId="6CC9EE3B" w14:textId="77777777" w:rsidR="00714710" w:rsidRDefault="00714710" w:rsidP="00F801C2">
      <w:pPr>
        <w:spacing w:after="0"/>
        <w:ind w:left="360"/>
      </w:pPr>
    </w:p>
    <w:sectPr w:rsidR="0071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0D2E"/>
    <w:multiLevelType w:val="hybridMultilevel"/>
    <w:tmpl w:val="C5F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E48CF"/>
    <w:multiLevelType w:val="multilevel"/>
    <w:tmpl w:val="0750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B46F9"/>
    <w:multiLevelType w:val="hybridMultilevel"/>
    <w:tmpl w:val="2DB60F82"/>
    <w:lvl w:ilvl="0" w:tplc="6EF675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4750D"/>
    <w:multiLevelType w:val="hybridMultilevel"/>
    <w:tmpl w:val="22DE1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34F5C"/>
    <w:multiLevelType w:val="hybridMultilevel"/>
    <w:tmpl w:val="16F2C120"/>
    <w:lvl w:ilvl="0" w:tplc="211473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86415">
    <w:abstractNumId w:val="2"/>
  </w:num>
  <w:num w:numId="2" w16cid:durableId="1589458403">
    <w:abstractNumId w:val="4"/>
  </w:num>
  <w:num w:numId="3" w16cid:durableId="1886864327">
    <w:abstractNumId w:val="0"/>
  </w:num>
  <w:num w:numId="4" w16cid:durableId="1953825835">
    <w:abstractNumId w:val="3"/>
  </w:num>
  <w:num w:numId="5" w16cid:durableId="159632858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1B"/>
    <w:rsid w:val="000615F2"/>
    <w:rsid w:val="00080F9C"/>
    <w:rsid w:val="00175206"/>
    <w:rsid w:val="001C75A8"/>
    <w:rsid w:val="001F03F2"/>
    <w:rsid w:val="0043162F"/>
    <w:rsid w:val="00431642"/>
    <w:rsid w:val="004917BA"/>
    <w:rsid w:val="006602C6"/>
    <w:rsid w:val="006D7661"/>
    <w:rsid w:val="00714710"/>
    <w:rsid w:val="00752A37"/>
    <w:rsid w:val="007B02D5"/>
    <w:rsid w:val="0080129B"/>
    <w:rsid w:val="008A4827"/>
    <w:rsid w:val="008C3FF1"/>
    <w:rsid w:val="0097038D"/>
    <w:rsid w:val="00A15FB1"/>
    <w:rsid w:val="00AB10C6"/>
    <w:rsid w:val="00B31452"/>
    <w:rsid w:val="00BC532C"/>
    <w:rsid w:val="00C05116"/>
    <w:rsid w:val="00CB79A8"/>
    <w:rsid w:val="00D42324"/>
    <w:rsid w:val="00F61D1B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A77D"/>
  <w15:chartTrackingRefBased/>
  <w15:docId w15:val="{D0EFE55A-C9A8-4D74-981E-A538616C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1B"/>
    <w:rPr>
      <w:b/>
      <w:bCs/>
      <w:smallCaps/>
      <w:color w:val="0F4761" w:themeColor="accent1" w:themeShade="BF"/>
      <w:spacing w:val="5"/>
    </w:rPr>
  </w:style>
  <w:style w:type="character" w:customStyle="1" w:styleId="oxzekf">
    <w:name w:val="oxzekf"/>
    <w:basedOn w:val="DefaultParagraphFont"/>
    <w:rsid w:val="00D42324"/>
  </w:style>
  <w:style w:type="character" w:customStyle="1" w:styleId="uv3um">
    <w:name w:val="uv3um"/>
    <w:basedOn w:val="DefaultParagraphFont"/>
    <w:rsid w:val="00D42324"/>
  </w:style>
  <w:style w:type="character" w:styleId="Strong">
    <w:name w:val="Strong"/>
    <w:basedOn w:val="DefaultParagraphFont"/>
    <w:uiPriority w:val="22"/>
    <w:qFormat/>
    <w:rsid w:val="00D42324"/>
    <w:rPr>
      <w:b/>
      <w:bCs/>
    </w:rPr>
  </w:style>
  <w:style w:type="table" w:styleId="TableGrid">
    <w:name w:val="Table Grid"/>
    <w:basedOn w:val="TableNormal"/>
    <w:uiPriority w:val="39"/>
    <w:rsid w:val="00F8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1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1-d&amp;cs=0&amp;sca_esv=55a910f019e63594&amp;sxsrf=AE3TifOzkm5u5CqLZHRjAdsdTLngBJ1WKw%3A1755127109886&amp;q=Major+Multiple+Trauma&amp;sa=X&amp;ved=2ahUKEwicioD_9YiPAxValokEHez8FRYQxccNegQIKh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13" Type="http://schemas.openxmlformats.org/officeDocument/2006/relationships/hyperlink" Target="https://www.google.com/search?client=firefox-b-1-d&amp;cs=0&amp;sca_esv=55a910f019e63594&amp;sxsrf=AE3TifOzkm5u5CqLZHRjAdsdTLngBJ1WKw%3A1755127109886&amp;q=Systemic+Vasculitis&amp;sa=X&amp;ved=2ahUKEwicioD_9YiPAxValokEHez8FRYQxccNegQIEh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1-d&amp;cs=0&amp;sca_esv=55a910f019e63594&amp;sxsrf=AE3TifOzkm5u5CqLZHRjAdsdTLngBJ1WKw%3A1755127109886&amp;q=Amputation&amp;sa=X&amp;ved=2ahUKEwicioD_9YiPAxValokEHez8FRYQxccNegQIEx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12" Type="http://schemas.openxmlformats.org/officeDocument/2006/relationships/hyperlink" Target="https://www.google.com/search?client=firefox-b-1-d&amp;cs=0&amp;sca_esv=55a910f019e63594&amp;sxsrf=AE3TifOzkm5u5CqLZHRjAdsdTLngBJ1WKw%3A1755127109886&amp;q=Burns&amp;sa=X&amp;ved=2ahUKEwicioD_9YiPAxValokEHez8FRYQxccNegQIFB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-1-d&amp;cs=0&amp;sca_esv=55a910f019e63594&amp;sxsrf=AE3TifOzkm5u5CqLZHRjAdsdTLngBJ1WKw%3A1755127109886&amp;q=Congenital+Deformity&amp;sa=X&amp;ved=2ahUKEwicioD_9YiPAxValokEHez8FRYQxccNegQIDR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11" Type="http://schemas.openxmlformats.org/officeDocument/2006/relationships/hyperlink" Target="https://www.google.com/search?client=firefox-b-1-d&amp;cs=0&amp;sca_esv=55a910f019e63594&amp;sxsrf=AE3TifOzkm5u5CqLZHRjAdsdTLngBJ1WKw%3A1755127109886&amp;q=Neurological+Disorders&amp;sa=X&amp;ved=2ahUKEwicioD_9YiPAxValokEHez8FRYQxccNegQIDh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5" Type="http://schemas.openxmlformats.org/officeDocument/2006/relationships/hyperlink" Target="https://www.google.com/search?client=firefox-b-1-d&amp;cs=0&amp;sca_esv=55a910f019e63594&amp;sxsrf=AE3TifOzkm5u5CqLZHRjAdsdTLngBJ1WKw%3A1755127109886&amp;q=Spinal+Cord+Injury&amp;sa=X&amp;ved=2ahUKEwicioD_9YiPAxValokEHez8FRYQxccNegQIJx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client=firefox-b-1-d&amp;cs=0&amp;sca_esv=55a910f019e63594&amp;sxsrf=AE3TifOzkm5u5CqLZHRjAdsdTLngBJ1WKw%3A1755127109886&amp;q=Brain+Injury&amp;sa=X&amp;ved=2ahUKEwicioD_9YiPAxValokEHez8FRYQxccNegQIDx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firefox-b-1-d&amp;cs=0&amp;sca_esv=55a910f019e63594&amp;sxsrf=AE3TifOzkm5u5CqLZHRjAdsdTLngBJ1WKw%3A1755127109886&amp;q=Hip+Fracture&amp;sa=X&amp;ved=2ahUKEwicioD_9YiPAxValokEHez8FRYQxccNegQIOB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Relationship Id="rId14" Type="http://schemas.openxmlformats.org/officeDocument/2006/relationships/hyperlink" Target="https://www.google.com/search?client=firefox-b-1-d&amp;cs=0&amp;sca_esv=55a910f019e63594&amp;sxsrf=AE3TifOzkm5u5CqLZHRjAdsdTLngBJ1WKw%3A1755127109886&amp;q=Severe+or+Advanced+Osteoarthritis&amp;sa=X&amp;ved=2ahUKEwicioD_9YiPAxValokEHez8FRYQxccNegQIEBAB&amp;mstk=AUtExfCsCArKnV4UT5A0gcoSpCrPNMov2_nREPbAg0LMXAvecidstjQD3UJBufNGlL8spyJLmeuK3059KkfVVj0RxQqOzWez-fC46Art-otTOFk1zegSIFyPQIN1-k11nZDiQqv6edWZTYp4Nm21hDgka-eKVN_S95nqDna8uILLXDcmYO_Bd96EHn3kEMIogIJVMdShHdt7Lhy_iIwKQkIK4F2KRwtxbpSDyov7-OGki1pN-qMfuyqBPBjSkDDAe-kJXkWoSzS8HkGc7KYbBShAPpxvJHaEZ0zsZ29F4tNOrAhOQw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10638</TotalTime>
  <Pages>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Carter</dc:creator>
  <cp:keywords/>
  <dc:description/>
  <cp:lastModifiedBy>Virginia Carter</cp:lastModifiedBy>
  <cp:revision>9</cp:revision>
  <dcterms:created xsi:type="dcterms:W3CDTF">2025-08-06T19:23:00Z</dcterms:created>
  <dcterms:modified xsi:type="dcterms:W3CDTF">2025-08-15T14:14:00Z</dcterms:modified>
</cp:coreProperties>
</file>