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color w:val="1AA7B8"/>
          <w:spacing w:val="30"/>
          <w:sz w:val="26"/>
          <w:szCs w:val="26"/>
        </w:rPr>
        <w:t xml:space="preserve">RETAIL SALES INTELLIGENCE</w:t>
      </w:r>
    </w:p>
    <w:p>
      <w:pPr>
        <w:spacing w:after="300" w:before="120"/>
        <w:jc w:val="center"/>
      </w:pPr>
      <w:r>
        <w:rPr>
          <w:b/>
          <w:bCs/>
          <w:color w:val="0B0E24"/>
          <w:sz w:val="52"/>
          <w:szCs w:val="52"/>
        </w:rPr>
        <w:t xml:space="preserve">&amp; CUSTOMER ANALYTICS PLATFORM</w:t>
      </w:r>
    </w:p>
    <w:p>
      <w:pPr>
        <w:spacing w:after="500"/>
        <w:jc w:val="center"/>
      </w:pPr>
      <w:r>
        <w:rPr>
          <w:i/>
          <w:iCs/>
          <w:color w:val="5B6291"/>
          <w:sz w:val="26"/>
          <w:szCs w:val="26"/>
        </w:rPr>
        <w:t xml:space="preserve">Project Report — Business Intelligence Concept Note</w:t>
      </w:r>
    </w:p>
    <w:p>
      <w:pPr>
        <w:spacing w:after="60" w:before="800"/>
        <w:jc w:val="center"/>
      </w:pPr>
      <w:r>
        <w:rPr>
          <w:color w:val="5B6291"/>
          <w:sz w:val="22"/>
          <w:szCs w:val="22"/>
        </w:rPr>
        <w:t xml:space="preserve">Data Analytics Internship — Final Project Submission</w:t>
      </w:r>
    </w:p>
    <w:p>
      <w:pPr>
        <w:spacing w:after="60"/>
        <w:jc w:val="center"/>
      </w:pPr>
      <w:r>
        <w:rPr>
          <w:color w:val="5B6291"/>
          <w:sz w:val="20"/>
          <w:szCs w:val="20"/>
        </w:rPr>
        <w:t xml:space="preserve">Dataset: retail_sales_dataset.csv  ·  4,310 order-level retail transactions</w:t>
      </w:r>
    </w:p>
    <w:p>
      <w:pPr>
        <w:jc w:val="center"/>
      </w:pPr>
      <w:r>
        <w:rPr>
          <w:color w:val="5B6291"/>
          <w:sz w:val="20"/>
          <w:szCs w:val="20"/>
        </w:rPr>
        <w:t xml:space="preserve">23 September 2026</w:t>
      </w:r>
    </w:p>
    <w:p>
      <w:r>
        <w:br w:type="page"/>
      </w:r>
    </w:p>
    <w:p>
      <w:pPr>
        <w:pStyle w:val="Heading1"/>
        <w:spacing w:after="200" w:before="400"/>
      </w:pPr>
      <w:r>
        <w:t xml:space="preserve">1. Executive Summary</w:t>
      </w:r>
    </w:p>
    <w:p>
      <w:pPr>
        <w:spacing w:after="160" w:line="300"/>
      </w:pPr>
      <w:r>
        <w:rPr>
          <w:sz w:val="22"/>
          <w:szCs w:val="22"/>
        </w:rPr>
        <w:t xml:space="preserve">This project builds a complete Business Intelligence platform on top of a raw, real-world-messy retail transactions dataset. Rather than producing an isolated notebook of charts, the deliverable follows the BI flow taught in the masterclass — Data → Information → Insight → Decision → Action — culminating in specific, data-derived recommendations rather than decoration.</w:t>
      </w:r>
    </w:p>
    <w:p>
      <w:pPr>
        <w:spacing w:after="160" w:line="300"/>
      </w:pPr>
      <w:r>
        <w:rPr>
          <w:sz w:val="22"/>
          <w:szCs w:val="22"/>
        </w:rPr>
        <w:t xml:space="preserve">After validation and cleaning, the dataset yields 4,200 usable order records spanning January 2020 to December 2024, across 5 regions, 20 cities, 7 product categories, and 6 payment methods. The platform totals ₹26.43 Crore in gross sales and ₹4.95 Crore in profit at an 18.74% blended margin, delivered through 4,200 orders from 4,112 unique customers.</w:t>
      </w:r>
    </w:p>
    <w:p>
      <w:pPr>
        <w:spacing w:after="160" w:line="300"/>
      </w:pPr>
      <w:r>
        <w:rPr>
          <w:sz w:val="22"/>
          <w:szCs w:val="22"/>
        </w:rPr>
        <w:t xml:space="preserve">The strongest finding in the dataset is a retention gap: repeat customers make up only 2.12% of the customer base, yet they spend roughly 2.6× more per order (₹1,54,616 vs ₹58,935 average order value) than one-time buyers. This single insight — detailed in Section 5 — anchors the platform's top business recommendation.</w:t>
      </w:r>
    </w:p>
    <w:p>
      <w:pPr>
        <w:pStyle w:val="Heading1"/>
        <w:spacing w:after="200" w:before="400"/>
      </w:pPr>
      <w:r>
        <w:t xml:space="preserve">2. Business Problem &amp; Objective</w:t>
      </w:r>
    </w:p>
    <w:p>
      <w:pPr>
        <w:spacing w:after="160" w:line="300"/>
      </w:pPr>
      <w:r>
        <w:rPr>
          <w:sz w:val="22"/>
          <w:szCs w:val="22"/>
        </w:rPr>
        <w:t xml:space="preserve">Objective: convert raw, order-level retail transaction data into a decision-ready view of where revenue and profit come from, which segments carry risk, and what concrete actions would improve business performance.</w:t>
      </w:r>
    </w:p>
    <w:p>
      <w:pPr>
        <w:spacing w:after="160" w:line="300"/>
      </w:pPr>
      <w:r>
        <w:rPr>
          <w:sz w:val="22"/>
          <w:szCs w:val="22"/>
        </w:rPr>
        <w:t xml:space="preserve">Guiding principle (per the masterclass): complexity is not quality. The platform intentionally organizes analysis around a small set of high-signal KPIs per audience rather than maximizing chart count — an executive can get their answer from the Executive Overview page alone, while an analyst can drill into Statistical EDA and the full Data Quality log.</w:t>
      </w:r>
    </w:p>
    <w:p>
      <w:pPr>
        <w:pStyle w:val="Heading1"/>
        <w:spacing w:after="200" w:before="400"/>
      </w:pPr>
      <w:r>
        <w:t xml:space="preserve">3. Dataset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0E24" w:val="clear"/>
            <w:tcMar>
              <w:top w:type="dxa" w:w="80"/>
              <w:left w:type="dxa" w:w="100"/>
              <w:bottom w:type="dxa" w:w="80"/>
              <w:right w:type="dxa" w:w="100"/>
            </w:tcMar>
          </w:tcPr>
          <w:p>
            <w:pPr>
              <w:jc w:val="left"/>
            </w:pPr>
            <w:r>
              <w:rPr>
                <w:b/>
                <w:bCs/>
                <w:color w:val="FFFFFF"/>
                <w:sz w:val="20"/>
                <w:szCs w:val="20"/>
              </w:rPr>
              <w:t xml:space="preserve">Attribute</w:t>
            </w:r>
          </w:p>
        </w:tc>
        <w:tc>
          <w:tcPr>
            <w:tcW w:type="dxa" w:w="6150"/>
            <w:shd w:fill="0B0E24" w:val="clear"/>
            <w:tcMar>
              <w:top w:type="dxa" w:w="80"/>
              <w:left w:type="dxa" w:w="100"/>
              <w:bottom w:type="dxa" w:w="80"/>
              <w:right w:type="dxa" w:w="100"/>
            </w:tcMar>
          </w:tcPr>
          <w:p>
            <w:pPr>
              <w:jc w:val="left"/>
            </w:pPr>
            <w:r>
              <w:rPr>
                <w:b/>
                <w:bCs/>
                <w:color w:val="FFFFFF"/>
                <w:sz w:val="20"/>
                <w:szCs w:val="20"/>
              </w:rPr>
              <w:t xml:space="preserve">Value</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Raw records</w:t>
            </w:r>
          </w:p>
        </w:tc>
        <w:tc>
          <w:tcPr>
            <w:tcW w:type="dxa" w:w="6150"/>
            <w:tcMar>
              <w:top w:type="dxa" w:w="80"/>
              <w:left w:type="dxa" w:w="100"/>
              <w:bottom w:type="dxa" w:w="80"/>
              <w:right w:type="dxa" w:w="100"/>
            </w:tcMar>
          </w:tcPr>
          <w:p>
            <w:pPr>
              <w:jc w:val="left"/>
            </w:pPr>
            <w:r>
              <w:rPr>
                <w:b w:val="false"/>
                <w:bCs w:val="false"/>
                <w:color w:val="000000"/>
                <w:sz w:val="20"/>
                <w:szCs w:val="20"/>
              </w:rPr>
              <w:t xml:space="preserve">4,310 rows × 21 columns</w:t>
            </w:r>
          </w:p>
        </w:tc>
      </w:tr>
      <w:tr>
        <w:tc>
          <w:tcPr>
            <w:tcW w:type="dxa" w:w="3200"/>
            <w:shd w:fill="F2F1FB" w:val="clear"/>
            <w:tcMar>
              <w:top w:type="dxa" w:w="80"/>
              <w:left w:type="dxa" w:w="100"/>
              <w:bottom w:type="dxa" w:w="80"/>
              <w:right w:type="dxa" w:w="100"/>
            </w:tcMar>
          </w:tcPr>
          <w:p>
            <w:pPr>
              <w:jc w:val="left"/>
            </w:pPr>
            <w:r>
              <w:rPr>
                <w:b w:val="false"/>
                <w:bCs w:val="false"/>
                <w:color w:val="000000"/>
                <w:sz w:val="20"/>
                <w:szCs w:val="20"/>
              </w:rPr>
              <w:t xml:space="preserve">Grain</w:t>
            </w:r>
          </w:p>
        </w:tc>
        <w:tc>
          <w:tcPr>
            <w:tcW w:type="dxa" w:w="6150"/>
            <w:shd w:fill="F2F1FB" w:val="clear"/>
            <w:tcMar>
              <w:top w:type="dxa" w:w="80"/>
              <w:left w:type="dxa" w:w="100"/>
              <w:bottom w:type="dxa" w:w="80"/>
              <w:right w:type="dxa" w:w="100"/>
            </w:tcMar>
          </w:tcPr>
          <w:p>
            <w:pPr>
              <w:jc w:val="left"/>
            </w:pPr>
            <w:r>
              <w:rPr>
                <w:b w:val="false"/>
                <w:bCs w:val="false"/>
                <w:color w:val="000000"/>
                <w:sz w:val="20"/>
                <w:szCs w:val="20"/>
              </w:rPr>
              <w:t xml:space="preserve">One row per order line item</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Time span</w:t>
            </w:r>
          </w:p>
        </w:tc>
        <w:tc>
          <w:tcPr>
            <w:tcW w:type="dxa" w:w="6150"/>
            <w:tcMar>
              <w:top w:type="dxa" w:w="80"/>
              <w:left w:type="dxa" w:w="100"/>
              <w:bottom w:type="dxa" w:w="80"/>
              <w:right w:type="dxa" w:w="100"/>
            </w:tcMar>
          </w:tcPr>
          <w:p>
            <w:pPr>
              <w:jc w:val="left"/>
            </w:pPr>
            <w:r>
              <w:rPr>
                <w:b w:val="false"/>
                <w:bCs w:val="false"/>
                <w:color w:val="000000"/>
                <w:sz w:val="20"/>
                <w:szCs w:val="20"/>
              </w:rPr>
              <w:t xml:space="preserve">1 Jan 2020 – 30 Dec 2024</w:t>
            </w:r>
          </w:p>
        </w:tc>
      </w:tr>
      <w:tr>
        <w:tc>
          <w:tcPr>
            <w:tcW w:type="dxa" w:w="3200"/>
            <w:shd w:fill="F2F1FB" w:val="clear"/>
            <w:tcMar>
              <w:top w:type="dxa" w:w="80"/>
              <w:left w:type="dxa" w:w="100"/>
              <w:bottom w:type="dxa" w:w="80"/>
              <w:right w:type="dxa" w:w="100"/>
            </w:tcMar>
          </w:tcPr>
          <w:p>
            <w:pPr>
              <w:jc w:val="left"/>
            </w:pPr>
            <w:r>
              <w:rPr>
                <w:b w:val="false"/>
                <w:bCs w:val="false"/>
                <w:color w:val="000000"/>
                <w:sz w:val="20"/>
                <w:szCs w:val="20"/>
              </w:rPr>
              <w:t xml:space="preserve">Geography</w:t>
            </w:r>
          </w:p>
        </w:tc>
        <w:tc>
          <w:tcPr>
            <w:tcW w:type="dxa" w:w="6150"/>
            <w:shd w:fill="F2F1FB" w:val="clear"/>
            <w:tcMar>
              <w:top w:type="dxa" w:w="80"/>
              <w:left w:type="dxa" w:w="100"/>
              <w:bottom w:type="dxa" w:w="80"/>
              <w:right w:type="dxa" w:w="100"/>
            </w:tcMar>
          </w:tcPr>
          <w:p>
            <w:pPr>
              <w:jc w:val="left"/>
            </w:pPr>
            <w:r>
              <w:rPr>
                <w:b w:val="false"/>
                <w:bCs w:val="false"/>
                <w:color w:val="000000"/>
                <w:sz w:val="20"/>
                <w:szCs w:val="20"/>
              </w:rPr>
              <w:t xml:space="preserve">5 regions, 20 Indian cities</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Product categories</w:t>
            </w:r>
          </w:p>
        </w:tc>
        <w:tc>
          <w:tcPr>
            <w:tcW w:type="dxa" w:w="6150"/>
            <w:tcMar>
              <w:top w:type="dxa" w:w="80"/>
              <w:left w:type="dxa" w:w="100"/>
              <w:bottom w:type="dxa" w:w="80"/>
              <w:right w:type="dxa" w:w="100"/>
            </w:tcMar>
          </w:tcPr>
          <w:p>
            <w:pPr>
              <w:jc w:val="left"/>
            </w:pPr>
            <w:r>
              <w:rPr>
                <w:b w:val="false"/>
                <w:bCs w:val="false"/>
                <w:color w:val="000000"/>
                <w:sz w:val="20"/>
                <w:szCs w:val="20"/>
              </w:rPr>
              <w:t xml:space="preserve">7 (Electronics, Furniture, Sports, Clothing, Beauty, Books, Groceries)</w:t>
            </w:r>
          </w:p>
        </w:tc>
      </w:tr>
      <w:tr>
        <w:tc>
          <w:tcPr>
            <w:tcW w:type="dxa" w:w="3200"/>
            <w:shd w:fill="F2F1FB" w:val="clear"/>
            <w:tcMar>
              <w:top w:type="dxa" w:w="80"/>
              <w:left w:type="dxa" w:w="100"/>
              <w:bottom w:type="dxa" w:w="80"/>
              <w:right w:type="dxa" w:w="100"/>
            </w:tcMar>
          </w:tcPr>
          <w:p>
            <w:pPr>
              <w:jc w:val="left"/>
            </w:pPr>
            <w:r>
              <w:rPr>
                <w:b w:val="false"/>
                <w:bCs w:val="false"/>
                <w:color w:val="000000"/>
                <w:sz w:val="20"/>
                <w:szCs w:val="20"/>
              </w:rPr>
              <w:t xml:space="preserve">Payment methods</w:t>
            </w:r>
          </w:p>
        </w:tc>
        <w:tc>
          <w:tcPr>
            <w:tcW w:type="dxa" w:w="6150"/>
            <w:shd w:fill="F2F1FB" w:val="clear"/>
            <w:tcMar>
              <w:top w:type="dxa" w:w="80"/>
              <w:left w:type="dxa" w:w="100"/>
              <w:bottom w:type="dxa" w:w="80"/>
              <w:right w:type="dxa" w:w="100"/>
            </w:tcMar>
          </w:tcPr>
          <w:p>
            <w:pPr>
              <w:jc w:val="left"/>
            </w:pPr>
            <w:r>
              <w:rPr>
                <w:b w:val="false"/>
                <w:bCs w:val="false"/>
                <w:color w:val="000000"/>
                <w:sz w:val="20"/>
                <w:szCs w:val="20"/>
              </w:rPr>
              <w:t xml:space="preserve">6 (UPI, Credit Card, Debit Card, Cash on Delivery, EMI, Net Banking)</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Key measures</w:t>
            </w:r>
          </w:p>
        </w:tc>
        <w:tc>
          <w:tcPr>
            <w:tcW w:type="dxa" w:w="6150"/>
            <w:tcMar>
              <w:top w:type="dxa" w:w="80"/>
              <w:left w:type="dxa" w:w="100"/>
              <w:bottom w:type="dxa" w:w="80"/>
              <w:right w:type="dxa" w:w="100"/>
            </w:tcMar>
          </w:tcPr>
          <w:p>
            <w:pPr>
              <w:jc w:val="left"/>
            </w:pPr>
            <w:r>
              <w:rPr>
                <w:b w:val="false"/>
                <w:bCs w:val="false"/>
                <w:color w:val="000000"/>
                <w:sz w:val="20"/>
                <w:szCs w:val="20"/>
              </w:rPr>
              <w:t xml:space="preserve">Quantity, Unit Price, Discount %, Sales Amount, Profit, Shipping Cost, Customer Satisfaction (1-5), Days to Ship</w:t>
            </w:r>
          </w:p>
        </w:tc>
      </w:tr>
    </w:tbl>
    <w:p>
      <w:pPr>
        <w:spacing w:after="120"/>
      </w:pPr>
    </w:p>
    <w:p>
      <w:pPr>
        <w:spacing w:after="160" w:line="300"/>
      </w:pPr>
      <w:r>
        <w:rPr>
          <w:sz w:val="22"/>
          <w:szCs w:val="22"/>
        </w:rPr>
        <w:t xml:space="preserve">This is not the dataset used during the masterclass sessions, satisfying the plagiarism/originality constraint in the submission rules.</w:t>
      </w:r>
    </w:p>
    <w:p>
      <w:pPr>
        <w:pStyle w:val="Heading1"/>
        <w:spacing w:after="200" w:before="400"/>
      </w:pPr>
      <w:r>
        <w:t xml:space="preserve">4. Methodology: Validation &amp; Cleaning</w:t>
      </w:r>
    </w:p>
    <w:p>
      <w:pPr>
        <w:spacing w:after="160" w:line="300"/>
      </w:pPr>
      <w:r>
        <w:rPr>
          <w:sz w:val="22"/>
          <w:szCs w:val="22"/>
        </w:rPr>
        <w:t xml:space="preserve">A core design principle of this platform: raw data is never silently modified. Every transformation is computed, logged, and shown to the user inside the app's Data Quality page before any chart uses the cleaned data.</w:t>
      </w:r>
    </w:p>
    <w:p>
      <w:pPr>
        <w:pStyle w:val="Heading2"/>
        <w:spacing w:after="160" w:before="300"/>
      </w:pPr>
      <w:r>
        <w:t xml:space="preserve">4.1 Data Quality Findings (Raw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0B0E24" w:val="clear"/>
            <w:tcMar>
              <w:top w:type="dxa" w:w="80"/>
              <w:left w:type="dxa" w:w="100"/>
              <w:bottom w:type="dxa" w:w="80"/>
              <w:right w:type="dxa" w:w="100"/>
            </w:tcMar>
          </w:tcPr>
          <w:p>
            <w:pPr>
              <w:jc w:val="left"/>
            </w:pPr>
            <w:r>
              <w:rPr>
                <w:b/>
                <w:bCs/>
                <w:color w:val="FFFFFF"/>
                <w:sz w:val="20"/>
                <w:szCs w:val="20"/>
              </w:rPr>
              <w:t xml:space="preserve">Issue</w:t>
            </w:r>
          </w:p>
        </w:tc>
        <w:tc>
          <w:tcPr>
            <w:tcW w:type="dxa" w:w="5950"/>
            <w:shd w:fill="0B0E24" w:val="clear"/>
            <w:tcMar>
              <w:top w:type="dxa" w:w="80"/>
              <w:left w:type="dxa" w:w="100"/>
              <w:bottom w:type="dxa" w:w="80"/>
              <w:right w:type="dxa" w:w="100"/>
            </w:tcMar>
          </w:tcPr>
          <w:p>
            <w:pPr>
              <w:jc w:val="left"/>
            </w:pPr>
            <w:r>
              <w:rPr>
                <w:b/>
                <w:bCs/>
                <w:color w:val="FFFFFF"/>
                <w:sz w:val="20"/>
                <w:szCs w:val="20"/>
              </w:rPr>
              <w:t xml:space="preserve">Count / Detail</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Total missing cells</w:t>
            </w:r>
          </w:p>
        </w:tc>
        <w:tc>
          <w:tcPr>
            <w:tcW w:type="dxa" w:w="5950"/>
            <w:tcMar>
              <w:top w:type="dxa" w:w="80"/>
              <w:left w:type="dxa" w:w="100"/>
              <w:bottom w:type="dxa" w:w="80"/>
              <w:right w:type="dxa" w:w="100"/>
            </w:tcMar>
          </w:tcPr>
          <w:p>
            <w:pPr>
              <w:jc w:val="left"/>
            </w:pPr>
            <w:r>
              <w:rPr>
                <w:b w:val="false"/>
                <w:bCs w:val="false"/>
                <w:color w:val="000000"/>
                <w:sz w:val="20"/>
                <w:szCs w:val="20"/>
              </w:rPr>
              <w:t xml:space="preserve">1,455 cells across 14 of 21 columns (98.39% overall completeness)</w:t>
            </w:r>
          </w:p>
        </w:tc>
      </w:tr>
      <w:tr>
        <w:tc>
          <w:tcPr>
            <w:tcW w:type="dxa" w:w="3400"/>
            <w:shd w:fill="F2F1FB" w:val="clear"/>
            <w:tcMar>
              <w:top w:type="dxa" w:w="80"/>
              <w:left w:type="dxa" w:w="100"/>
              <w:bottom w:type="dxa" w:w="80"/>
              <w:right w:type="dxa" w:w="100"/>
            </w:tcMar>
          </w:tcPr>
          <w:p>
            <w:pPr>
              <w:jc w:val="left"/>
            </w:pPr>
            <w:r>
              <w:rPr>
                <w:b w:val="false"/>
                <w:bCs w:val="false"/>
                <w:color w:val="000000"/>
                <w:sz w:val="20"/>
                <w:szCs w:val="20"/>
              </w:rPr>
              <w:t xml:space="preserve">Exact duplicate rows</w:t>
            </w:r>
          </w:p>
        </w:tc>
        <w:tc>
          <w:tcPr>
            <w:tcW w:type="dxa" w:w="5950"/>
            <w:shd w:fill="F2F1FB" w:val="clear"/>
            <w:tcMar>
              <w:top w:type="dxa" w:w="80"/>
              <w:left w:type="dxa" w:w="100"/>
              <w:bottom w:type="dxa" w:w="80"/>
              <w:right w:type="dxa" w:w="100"/>
            </w:tcMar>
          </w:tcPr>
          <w:p>
            <w:pPr>
              <w:jc w:val="left"/>
            </w:pPr>
            <w:r>
              <w:rPr>
                <w:b w:val="false"/>
                <w:bCs w:val="false"/>
                <w:color w:val="000000"/>
                <w:sz w:val="20"/>
                <w:szCs w:val="20"/>
              </w:rPr>
              <w:t xml:space="preserve">109 rows (2.5% of raw data)</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Mixed date formats</w:t>
            </w:r>
          </w:p>
        </w:tc>
        <w:tc>
          <w:tcPr>
            <w:tcW w:type="dxa" w:w="5950"/>
            <w:tcMar>
              <w:top w:type="dxa" w:w="80"/>
              <w:left w:type="dxa" w:w="100"/>
              <w:bottom w:type="dxa" w:w="80"/>
              <w:right w:type="dxa" w:w="100"/>
            </w:tcMar>
          </w:tcPr>
          <w:p>
            <w:pPr>
              <w:jc w:val="left"/>
            </w:pPr>
            <w:r>
              <w:rPr>
                <w:b w:val="false"/>
                <w:bCs w:val="false"/>
                <w:color w:val="000000"/>
                <w:sz w:val="20"/>
                <w:szCs w:val="20"/>
              </w:rPr>
              <w:t xml:space="preserve">3 formats co-mingled: ISO (YYYY-MM-DD), long-form ("Month DD, YYYY"), day-first (DD/MM/YYYY)</w:t>
            </w:r>
          </w:p>
        </w:tc>
      </w:tr>
      <w:tr>
        <w:tc>
          <w:tcPr>
            <w:tcW w:type="dxa" w:w="3400"/>
            <w:shd w:fill="F2F1FB" w:val="clear"/>
            <w:tcMar>
              <w:top w:type="dxa" w:w="80"/>
              <w:left w:type="dxa" w:w="100"/>
              <w:bottom w:type="dxa" w:w="80"/>
              <w:right w:type="dxa" w:w="100"/>
            </w:tcMar>
          </w:tcPr>
          <w:p>
            <w:pPr>
              <w:jc w:val="left"/>
            </w:pPr>
            <w:r>
              <w:rPr>
                <w:b w:val="false"/>
                <w:bCs w:val="false"/>
                <w:color w:val="000000"/>
                <w:sz w:val="20"/>
                <w:szCs w:val="20"/>
              </w:rPr>
              <w:t xml:space="preserve">Invalid age values</w:t>
            </w:r>
          </w:p>
        </w:tc>
        <w:tc>
          <w:tcPr>
            <w:tcW w:type="dxa" w:w="5950"/>
            <w:shd w:fill="F2F1FB" w:val="clear"/>
            <w:tcMar>
              <w:top w:type="dxa" w:w="80"/>
              <w:left w:type="dxa" w:w="100"/>
              <w:bottom w:type="dxa" w:w="80"/>
              <w:right w:type="dxa" w:w="100"/>
            </w:tcMar>
          </w:tcPr>
          <w:p>
            <w:pPr>
              <w:jc w:val="left"/>
            </w:pPr>
            <w:r>
              <w:rPr>
                <w:b w:val="false"/>
                <w:bCs w:val="false"/>
                <w:color w:val="000000"/>
                <w:sz w:val="20"/>
                <w:szCs w:val="20"/>
              </w:rPr>
              <w:t xml:space="preserve">45 rows (sentinel value 999, or negative ages)</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Invalid quantity values</w:t>
            </w:r>
          </w:p>
        </w:tc>
        <w:tc>
          <w:tcPr>
            <w:tcW w:type="dxa" w:w="5950"/>
            <w:tcMar>
              <w:top w:type="dxa" w:w="80"/>
              <w:left w:type="dxa" w:w="100"/>
              <w:bottom w:type="dxa" w:w="80"/>
              <w:right w:type="dxa" w:w="100"/>
            </w:tcMar>
          </w:tcPr>
          <w:p>
            <w:pPr>
              <w:jc w:val="left"/>
            </w:pPr>
            <w:r>
              <w:rPr>
                <w:b w:val="false"/>
                <w:bCs w:val="false"/>
                <w:color w:val="000000"/>
                <w:sz w:val="20"/>
                <w:szCs w:val="20"/>
              </w:rPr>
              <w:t xml:space="preserve">26 rows (sentinel value 999, or zero/negative quantity)</w:t>
            </w:r>
          </w:p>
        </w:tc>
      </w:tr>
      <w:tr>
        <w:tc>
          <w:tcPr>
            <w:tcW w:type="dxa" w:w="3400"/>
            <w:shd w:fill="F2F1FB" w:val="clear"/>
            <w:tcMar>
              <w:top w:type="dxa" w:w="80"/>
              <w:left w:type="dxa" w:w="100"/>
              <w:bottom w:type="dxa" w:w="80"/>
              <w:right w:type="dxa" w:w="100"/>
            </w:tcMar>
          </w:tcPr>
          <w:p>
            <w:pPr>
              <w:jc w:val="left"/>
            </w:pPr>
            <w:r>
              <w:rPr>
                <w:b w:val="false"/>
                <w:bCs w:val="false"/>
                <w:color w:val="000000"/>
                <w:sz w:val="20"/>
                <w:szCs w:val="20"/>
              </w:rPr>
              <w:t xml:space="preserve">Negative shipping cost</w:t>
            </w:r>
          </w:p>
        </w:tc>
        <w:tc>
          <w:tcPr>
            <w:tcW w:type="dxa" w:w="5950"/>
            <w:shd w:fill="F2F1FB" w:val="clear"/>
            <w:tcMar>
              <w:top w:type="dxa" w:w="80"/>
              <w:left w:type="dxa" w:w="100"/>
              <w:bottom w:type="dxa" w:w="80"/>
              <w:right w:type="dxa" w:w="100"/>
            </w:tcMar>
          </w:tcPr>
          <w:p>
            <w:pPr>
              <w:jc w:val="left"/>
            </w:pPr>
            <w:r>
              <w:rPr>
                <w:b w:val="false"/>
                <w:bCs w:val="false"/>
                <w:color w:val="000000"/>
                <w:sz w:val="20"/>
                <w:szCs w:val="20"/>
              </w:rPr>
              <w:t xml:space="preserve">2 rows</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Negative days-to-ship</w:t>
            </w:r>
          </w:p>
        </w:tc>
        <w:tc>
          <w:tcPr>
            <w:tcW w:type="dxa" w:w="5950"/>
            <w:tcMar>
              <w:top w:type="dxa" w:w="80"/>
              <w:left w:type="dxa" w:w="100"/>
              <w:bottom w:type="dxa" w:w="80"/>
              <w:right w:type="dxa" w:w="100"/>
            </w:tcMar>
          </w:tcPr>
          <w:p>
            <w:pPr>
              <w:jc w:val="left"/>
            </w:pPr>
            <w:r>
              <w:rPr>
                <w:b w:val="false"/>
                <w:bCs w:val="false"/>
                <w:color w:val="000000"/>
                <w:sz w:val="20"/>
                <w:szCs w:val="20"/>
              </w:rPr>
              <w:t xml:space="preserve">5 rows</w:t>
            </w:r>
          </w:p>
        </w:tc>
      </w:tr>
      <w:tr>
        <w:tc>
          <w:tcPr>
            <w:tcW w:type="dxa" w:w="3400"/>
            <w:shd w:fill="F2F1FB" w:val="clear"/>
            <w:tcMar>
              <w:top w:type="dxa" w:w="80"/>
              <w:left w:type="dxa" w:w="100"/>
              <w:bottom w:type="dxa" w:w="80"/>
              <w:right w:type="dxa" w:w="100"/>
            </w:tcMar>
          </w:tcPr>
          <w:p>
            <w:pPr>
              <w:jc w:val="left"/>
            </w:pPr>
            <w:r>
              <w:rPr>
                <w:b w:val="false"/>
                <w:bCs w:val="false"/>
                <w:color w:val="000000"/>
                <w:sz w:val="20"/>
                <w:szCs w:val="20"/>
              </w:rPr>
              <w:t xml:space="preserve">Inconsistent text casing</w:t>
            </w:r>
          </w:p>
        </w:tc>
        <w:tc>
          <w:tcPr>
            <w:tcW w:type="dxa" w:w="5950"/>
            <w:shd w:fill="F2F1FB" w:val="clear"/>
            <w:tcMar>
              <w:top w:type="dxa" w:w="80"/>
              <w:left w:type="dxa" w:w="100"/>
              <w:bottom w:type="dxa" w:w="80"/>
              <w:right w:type="dxa" w:w="100"/>
            </w:tcMar>
          </w:tcPr>
          <w:p>
            <w:pPr>
              <w:jc w:val="left"/>
            </w:pPr>
            <w:r>
              <w:rPr>
                <w:b w:val="false"/>
                <w:bCs w:val="false"/>
                <w:color w:val="000000"/>
                <w:sz w:val="20"/>
                <w:szCs w:val="20"/>
              </w:rPr>
              <w:t xml:space="preserve">Gender (12 variants: 'M', 'f', 'FEMALE'...), Order Status (mixed case)</w:t>
            </w:r>
          </w:p>
        </w:tc>
      </w:tr>
    </w:tbl>
    <w:p>
      <w:pPr>
        <w:spacing w:after="120"/>
      </w:pPr>
    </w:p>
    <w:p>
      <w:pPr>
        <w:pStyle w:val="Heading2"/>
        <w:spacing w:after="160" w:before="300"/>
      </w:pPr>
      <w:r>
        <w:t xml:space="preserve">4.2 Cleaning Actions Taken</w:t>
      </w:r>
    </w:p>
    <w:p>
      <w:pPr>
        <w:pStyle w:val="ListParagraph"/>
        <w:numPr>
          <w:ilvl w:val="0"/>
          <w:numId w:val="2"/>
        </w:numPr>
        <w:spacing w:after="90"/>
      </w:pPr>
      <w:r>
        <w:rPr>
          <w:sz w:val="22"/>
          <w:szCs w:val="22"/>
        </w:rPr>
        <w:t xml:space="preserve">Removed 109 exact duplicate rows and 1 row with a missing order ID.</w:t>
      </w:r>
    </w:p>
    <w:p>
      <w:pPr>
        <w:pStyle w:val="ListParagraph"/>
        <w:numPr>
          <w:ilvl w:val="0"/>
          <w:numId w:val="2"/>
        </w:numPr>
        <w:spacing w:after="90"/>
      </w:pPr>
      <w:r>
        <w:rPr>
          <w:sz w:val="22"/>
          <w:szCs w:val="22"/>
        </w:rPr>
        <w:t xml:space="preserve">Parsed order_date across all 3 mixed formats into a single consistent datetime column.</w:t>
      </w:r>
    </w:p>
    <w:p>
      <w:pPr>
        <w:pStyle w:val="ListParagraph"/>
        <w:numPr>
          <w:ilvl w:val="0"/>
          <w:numId w:val="2"/>
        </w:numPr>
        <w:spacing w:after="90"/>
      </w:pPr>
      <w:r>
        <w:rPr>
          <w:sz w:val="22"/>
          <w:szCs w:val="22"/>
        </w:rPr>
        <w:t xml:space="preserve">Normalized gender (12 raw variants → Male / Female / Other) and order_status casing.</w:t>
      </w:r>
    </w:p>
    <w:p>
      <w:pPr>
        <w:pStyle w:val="ListParagraph"/>
        <w:numPr>
          <w:ilvl w:val="0"/>
          <w:numId w:val="2"/>
        </w:numPr>
        <w:spacing w:after="90"/>
      </w:pPr>
      <w:r>
        <w:rPr>
          <w:sz w:val="22"/>
          <w:szCs w:val="22"/>
        </w:rPr>
        <w:t xml:space="preserve">Flagged sentinel/impossible numeric values (age, quantity, shipping cost, days-to-ship) as missing rather than guessing at replacement values — they are excluded from the relevant averages instead of being fabricated.</w:t>
      </w:r>
    </w:p>
    <w:p>
      <w:pPr>
        <w:pStyle w:val="ListParagraph"/>
        <w:numPr>
          <w:ilvl w:val="0"/>
          <w:numId w:val="2"/>
        </w:numPr>
        <w:spacing w:after="90"/>
      </w:pPr>
      <w:r>
        <w:rPr>
          <w:sz w:val="22"/>
          <w:szCs w:val="22"/>
        </w:rPr>
        <w:t xml:space="preserve">Filled 135 missing discount_pct values with 0, on the reasonable business assumption that an unrecorded discount means none was applied.</w:t>
      </w:r>
    </w:p>
    <w:p>
      <w:pPr>
        <w:pStyle w:val="ListParagraph"/>
        <w:numPr>
          <w:ilvl w:val="0"/>
          <w:numId w:val="2"/>
        </w:numPr>
        <w:spacing w:after="90"/>
      </w:pPr>
      <w:r>
        <w:rPr>
          <w:sz w:val="22"/>
          <w:szCs w:val="22"/>
        </w:rPr>
        <w:t xml:space="preserve">Removed rows with no sales_amount or product_category, since revenue cannot be attributed without them.</w:t>
      </w:r>
    </w:p>
    <w:p>
      <w:pPr>
        <w:spacing w:after="120"/>
      </w:pPr>
    </w:p>
    <w:p>
      <w:pPr>
        <w:spacing w:after="160" w:line="300"/>
      </w:pPr>
      <w:r>
        <w:rPr>
          <w:i/>
          <w:iCs/>
          <w:color w:val="5B6291"/>
          <w:sz w:val="22"/>
          <w:szCs w:val="22"/>
        </w:rPr>
        <w:t xml:space="preserve">Result: 4,200 clean records retained from 4,310 raw rows — a 97.4% retention rate. The full row-by-row cleaning log is reproduced live in the application's Data Quality page.</w:t>
      </w:r>
    </w:p>
    <w:p>
      <w:r>
        <w:br w:type="page"/>
      </w:r>
    </w:p>
    <w:p>
      <w:pPr>
        <w:pStyle w:val="Heading1"/>
        <w:spacing w:after="200" w:before="400"/>
      </w:pPr>
      <w:r>
        <w:t xml:space="preserve">5. Findings — The Insight Hierarchy</w:t>
      </w:r>
    </w:p>
    <w:p>
      <w:pPr>
        <w:spacing w:after="160" w:line="300"/>
      </w:pPr>
      <w:r>
        <w:rPr>
          <w:sz w:val="22"/>
          <w:szCs w:val="22"/>
        </w:rPr>
        <w:t xml:space="preserve">Following the masterclass framework, findings are organized in five escalating levels: what is happening, which direction it's going, why, what's at risk or ripe for growth, and finally what should be done about it.</w:t>
      </w:r>
    </w:p>
    <w:p>
      <w:pPr>
        <w:pStyle w:val="Heading2"/>
        <w:spacing w:after="160" w:before="300"/>
      </w:pPr>
      <w:r>
        <w:t xml:space="preserve">Level 1 — KPIs: What Is Happening?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0B0E24" w:val="clear"/>
            <w:tcMar>
              <w:top w:type="dxa" w:w="80"/>
              <w:left w:type="dxa" w:w="100"/>
              <w:bottom w:type="dxa" w:w="80"/>
              <w:right w:type="dxa" w:w="100"/>
            </w:tcMar>
          </w:tcPr>
          <w:p>
            <w:pPr>
              <w:jc w:val="left"/>
            </w:pPr>
            <w:r>
              <w:rPr>
                <w:b/>
                <w:bCs/>
                <w:color w:val="FFFFFF"/>
                <w:sz w:val="20"/>
                <w:szCs w:val="20"/>
              </w:rPr>
              <w:t xml:space="preserve">KPI</w:t>
            </w:r>
          </w:p>
        </w:tc>
        <w:tc>
          <w:tcPr>
            <w:tcW w:type="dxa" w:w="5150"/>
            <w:shd w:fill="0B0E24" w:val="clear"/>
            <w:tcMar>
              <w:top w:type="dxa" w:w="80"/>
              <w:left w:type="dxa" w:w="100"/>
              <w:bottom w:type="dxa" w:w="80"/>
              <w:right w:type="dxa" w:w="100"/>
            </w:tcMar>
          </w:tcPr>
          <w:p>
            <w:pPr>
              <w:jc w:val="left"/>
            </w:pPr>
            <w:r>
              <w:rPr>
                <w:b/>
                <w:bCs/>
                <w:color w:val="FFFFFF"/>
                <w:sz w:val="20"/>
                <w:szCs w:val="20"/>
              </w:rPr>
              <w:t xml:space="preserve">Value</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Total Sales</w:t>
            </w:r>
          </w:p>
        </w:tc>
        <w:tc>
          <w:tcPr>
            <w:tcW w:type="dxa" w:w="5150"/>
            <w:tcMar>
              <w:top w:type="dxa" w:w="80"/>
              <w:left w:type="dxa" w:w="100"/>
              <w:bottom w:type="dxa" w:w="80"/>
              <w:right w:type="dxa" w:w="100"/>
            </w:tcMar>
          </w:tcPr>
          <w:p>
            <w:pPr>
              <w:jc w:val="left"/>
            </w:pPr>
            <w:r>
              <w:rPr>
                <w:b w:val="false"/>
                <w:bCs w:val="false"/>
                <w:color w:val="000000"/>
                <w:sz w:val="20"/>
                <w:szCs w:val="20"/>
              </w:rPr>
              <w:t xml:space="preserve">₹26.43 Cr</w:t>
            </w:r>
          </w:p>
        </w:tc>
      </w:tr>
      <w:tr>
        <w:tc>
          <w:tcPr>
            <w:tcW w:type="dxa" w:w="4200"/>
            <w:shd w:fill="F2F1FB" w:val="clear"/>
            <w:tcMar>
              <w:top w:type="dxa" w:w="80"/>
              <w:left w:type="dxa" w:w="100"/>
              <w:bottom w:type="dxa" w:w="80"/>
              <w:right w:type="dxa" w:w="100"/>
            </w:tcMar>
          </w:tcPr>
          <w:p>
            <w:pPr>
              <w:jc w:val="left"/>
            </w:pPr>
            <w:r>
              <w:rPr>
                <w:b w:val="false"/>
                <w:bCs w:val="false"/>
                <w:color w:val="000000"/>
                <w:sz w:val="20"/>
                <w:szCs w:val="20"/>
              </w:rPr>
              <w:t xml:space="preserve">Total Profit</w:t>
            </w:r>
          </w:p>
        </w:tc>
        <w:tc>
          <w:tcPr>
            <w:tcW w:type="dxa" w:w="5150"/>
            <w:shd w:fill="F2F1FB" w:val="clear"/>
            <w:tcMar>
              <w:top w:type="dxa" w:w="80"/>
              <w:left w:type="dxa" w:w="100"/>
              <w:bottom w:type="dxa" w:w="80"/>
              <w:right w:type="dxa" w:w="100"/>
            </w:tcMar>
          </w:tcPr>
          <w:p>
            <w:pPr>
              <w:jc w:val="left"/>
            </w:pPr>
            <w:r>
              <w:rPr>
                <w:b w:val="false"/>
                <w:bCs w:val="false"/>
                <w:color w:val="000000"/>
                <w:sz w:val="20"/>
                <w:szCs w:val="20"/>
              </w:rPr>
              <w:t xml:space="preserve">₹4.95 Cr</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Profit Margin</w:t>
            </w:r>
          </w:p>
        </w:tc>
        <w:tc>
          <w:tcPr>
            <w:tcW w:type="dxa" w:w="5150"/>
            <w:tcMar>
              <w:top w:type="dxa" w:w="80"/>
              <w:left w:type="dxa" w:w="100"/>
              <w:bottom w:type="dxa" w:w="80"/>
              <w:right w:type="dxa" w:w="100"/>
            </w:tcMar>
          </w:tcPr>
          <w:p>
            <w:pPr>
              <w:jc w:val="left"/>
            </w:pPr>
            <w:r>
              <w:rPr>
                <w:b w:val="false"/>
                <w:bCs w:val="false"/>
                <w:color w:val="000000"/>
                <w:sz w:val="20"/>
                <w:szCs w:val="20"/>
              </w:rPr>
              <w:t xml:space="preserve">18.74%</w:t>
            </w:r>
          </w:p>
        </w:tc>
      </w:tr>
      <w:tr>
        <w:tc>
          <w:tcPr>
            <w:tcW w:type="dxa" w:w="4200"/>
            <w:shd w:fill="F2F1FB" w:val="clear"/>
            <w:tcMar>
              <w:top w:type="dxa" w:w="80"/>
              <w:left w:type="dxa" w:w="100"/>
              <w:bottom w:type="dxa" w:w="80"/>
              <w:right w:type="dxa" w:w="100"/>
            </w:tcMar>
          </w:tcPr>
          <w:p>
            <w:pPr>
              <w:jc w:val="left"/>
            </w:pPr>
            <w:r>
              <w:rPr>
                <w:b w:val="false"/>
                <w:bCs w:val="false"/>
                <w:color w:val="000000"/>
                <w:sz w:val="20"/>
                <w:szCs w:val="20"/>
              </w:rPr>
              <w:t xml:space="preserve">Total Orders</w:t>
            </w:r>
          </w:p>
        </w:tc>
        <w:tc>
          <w:tcPr>
            <w:tcW w:type="dxa" w:w="5150"/>
            <w:shd w:fill="F2F1FB" w:val="clear"/>
            <w:tcMar>
              <w:top w:type="dxa" w:w="80"/>
              <w:left w:type="dxa" w:w="100"/>
              <w:bottom w:type="dxa" w:w="80"/>
              <w:right w:type="dxa" w:w="100"/>
            </w:tcMar>
          </w:tcPr>
          <w:p>
            <w:pPr>
              <w:jc w:val="left"/>
            </w:pPr>
            <w:r>
              <w:rPr>
                <w:b w:val="false"/>
                <w:bCs w:val="false"/>
                <w:color w:val="000000"/>
                <w:sz w:val="20"/>
                <w:szCs w:val="20"/>
              </w:rPr>
              <w:t xml:space="preserve">4,200</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Total Customers</w:t>
            </w:r>
          </w:p>
        </w:tc>
        <w:tc>
          <w:tcPr>
            <w:tcW w:type="dxa" w:w="5150"/>
            <w:tcMar>
              <w:top w:type="dxa" w:w="80"/>
              <w:left w:type="dxa" w:w="100"/>
              <w:bottom w:type="dxa" w:w="80"/>
              <w:right w:type="dxa" w:w="100"/>
            </w:tcMar>
          </w:tcPr>
          <w:p>
            <w:pPr>
              <w:jc w:val="left"/>
            </w:pPr>
            <w:r>
              <w:rPr>
                <w:b w:val="false"/>
                <w:bCs w:val="false"/>
                <w:color w:val="000000"/>
                <w:sz w:val="20"/>
                <w:szCs w:val="20"/>
              </w:rPr>
              <w:t xml:space="preserve">4,112</w:t>
            </w:r>
          </w:p>
        </w:tc>
      </w:tr>
      <w:tr>
        <w:tc>
          <w:tcPr>
            <w:tcW w:type="dxa" w:w="4200"/>
            <w:shd w:fill="F2F1FB" w:val="clear"/>
            <w:tcMar>
              <w:top w:type="dxa" w:w="80"/>
              <w:left w:type="dxa" w:w="100"/>
              <w:bottom w:type="dxa" w:w="80"/>
              <w:right w:type="dxa" w:w="100"/>
            </w:tcMar>
          </w:tcPr>
          <w:p>
            <w:pPr>
              <w:jc w:val="left"/>
            </w:pPr>
            <w:r>
              <w:rPr>
                <w:b w:val="false"/>
                <w:bCs w:val="false"/>
                <w:color w:val="000000"/>
                <w:sz w:val="20"/>
                <w:szCs w:val="20"/>
              </w:rPr>
              <w:t xml:space="preserve">Average Order Value</w:t>
            </w:r>
          </w:p>
        </w:tc>
        <w:tc>
          <w:tcPr>
            <w:tcW w:type="dxa" w:w="5150"/>
            <w:shd w:fill="F2F1FB" w:val="clear"/>
            <w:tcMar>
              <w:top w:type="dxa" w:w="80"/>
              <w:left w:type="dxa" w:w="100"/>
              <w:bottom w:type="dxa" w:w="80"/>
              <w:right w:type="dxa" w:w="100"/>
            </w:tcMar>
          </w:tcPr>
          <w:p>
            <w:pPr>
              <w:jc w:val="left"/>
            </w:pPr>
            <w:r>
              <w:rPr>
                <w:b w:val="false"/>
                <w:bCs w:val="false"/>
                <w:color w:val="000000"/>
                <w:sz w:val="20"/>
                <w:szCs w:val="20"/>
              </w:rPr>
              <w:t xml:space="preserve">₹62,921</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Average Customer Satisfaction</w:t>
            </w:r>
          </w:p>
        </w:tc>
        <w:tc>
          <w:tcPr>
            <w:tcW w:type="dxa" w:w="5150"/>
            <w:tcMar>
              <w:top w:type="dxa" w:w="80"/>
              <w:left w:type="dxa" w:w="100"/>
              <w:bottom w:type="dxa" w:w="80"/>
              <w:right w:type="dxa" w:w="100"/>
            </w:tcMar>
          </w:tcPr>
          <w:p>
            <w:pPr>
              <w:jc w:val="left"/>
            </w:pPr>
            <w:r>
              <w:rPr>
                <w:b w:val="false"/>
                <w:bCs w:val="false"/>
                <w:color w:val="000000"/>
                <w:sz w:val="20"/>
                <w:szCs w:val="20"/>
              </w:rPr>
              <w:t xml:space="preserve">3.02 / 5</w:t>
            </w:r>
          </w:p>
        </w:tc>
      </w:tr>
      <w:tr>
        <w:tc>
          <w:tcPr>
            <w:tcW w:type="dxa" w:w="4200"/>
            <w:shd w:fill="F2F1FB" w:val="clear"/>
            <w:tcMar>
              <w:top w:type="dxa" w:w="80"/>
              <w:left w:type="dxa" w:w="100"/>
              <w:bottom w:type="dxa" w:w="80"/>
              <w:right w:type="dxa" w:w="100"/>
            </w:tcMar>
          </w:tcPr>
          <w:p>
            <w:pPr>
              <w:jc w:val="left"/>
            </w:pPr>
            <w:r>
              <w:rPr>
                <w:b w:val="false"/>
                <w:bCs w:val="false"/>
                <w:color w:val="000000"/>
                <w:sz w:val="20"/>
                <w:szCs w:val="20"/>
              </w:rPr>
              <w:t xml:space="preserve">Return Rate</w:t>
            </w:r>
          </w:p>
        </w:tc>
        <w:tc>
          <w:tcPr>
            <w:tcW w:type="dxa" w:w="5150"/>
            <w:shd w:fill="F2F1FB" w:val="clear"/>
            <w:tcMar>
              <w:top w:type="dxa" w:w="80"/>
              <w:left w:type="dxa" w:w="100"/>
              <w:bottom w:type="dxa" w:w="80"/>
              <w:right w:type="dxa" w:w="100"/>
            </w:tcMar>
          </w:tcPr>
          <w:p>
            <w:pPr>
              <w:jc w:val="left"/>
            </w:pPr>
            <w:r>
              <w:rPr>
                <w:b w:val="false"/>
                <w:bCs w:val="false"/>
                <w:color w:val="000000"/>
                <w:sz w:val="20"/>
                <w:szCs w:val="20"/>
              </w:rPr>
              <w:t xml:space="preserve">14.57%</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Cancellation Rate</w:t>
            </w:r>
          </w:p>
        </w:tc>
        <w:tc>
          <w:tcPr>
            <w:tcW w:type="dxa" w:w="5150"/>
            <w:tcMar>
              <w:top w:type="dxa" w:w="80"/>
              <w:left w:type="dxa" w:w="100"/>
              <w:bottom w:type="dxa" w:w="80"/>
              <w:right w:type="dxa" w:w="100"/>
            </w:tcMar>
          </w:tcPr>
          <w:p>
            <w:pPr>
              <w:jc w:val="left"/>
            </w:pPr>
            <w:r>
              <w:rPr>
                <w:b w:val="false"/>
                <w:bCs w:val="false"/>
                <w:color w:val="000000"/>
                <w:sz w:val="20"/>
                <w:szCs w:val="20"/>
              </w:rPr>
              <w:t xml:space="preserve">8.24%</w:t>
            </w:r>
          </w:p>
        </w:tc>
      </w:tr>
    </w:tbl>
    <w:p>
      <w:pPr>
        <w:spacing w:after="120"/>
      </w:pPr>
    </w:p>
    <w:p>
      <w:pPr>
        <w:pStyle w:val="Heading2"/>
        <w:spacing w:after="160" w:before="300"/>
      </w:pPr>
      <w:r>
        <w:t xml:space="preserve">Level 2 — Trends: Which Direction Is It Going?</w:t>
      </w:r>
    </w:p>
    <w:p>
      <w:pPr>
        <w:spacing w:after="160" w:line="300"/>
      </w:pPr>
      <w:r>
        <w:rPr>
          <w:sz w:val="22"/>
          <w:szCs w:val="22"/>
        </w:rPr>
        <w:t xml:space="preserve">Quarterly sales are volatile but net positive across the window: from ₹73.70 Lakh in Q1 2020 to ₹89.91 Lakh in Q4 2024 (+21.99% across the full 5-year span), with pronounced peaks in Q2 2021 (₹2.23 Cr) and Q1 2023 (₹2.62 Cr) rather than a smooth monotonic climb. This spikiness — rather than steady linear growth — is itself a signal that sales are driven by episodic factors (promotions, seasonality, or large B2B-style orders) rather than steady organic demand growth.</w:t>
      </w:r>
    </w:p>
    <w:p>
      <w:pPr>
        <w:pStyle w:val="Heading2"/>
        <w:spacing w:after="160" w:before="300"/>
      </w:pPr>
      <w:r>
        <w:t xml:space="preserve">Level 3 — Drivers: Why Is It Happening?</w:t>
      </w:r>
    </w:p>
    <w:p>
      <w:pPr>
        <w:pStyle w:val="ListParagraph"/>
        <w:numPr>
          <w:ilvl w:val="0"/>
          <w:numId w:val="2"/>
        </w:numPr>
        <w:spacing w:after="90"/>
      </w:pPr>
      <w:r>
        <w:rPr>
          <w:sz w:val="22"/>
          <w:szCs w:val="22"/>
        </w:rPr>
        <w:t xml:space="preserve">Electronics dominates revenue — ₹15.56 Cr, 58.9% of total sales — but converts to profit least efficiently of the major categories at just 12.28% margin, versus Beauty's 45.06% and Clothing's 36.16%. Revenue concentration and margin efficiency point in opposite directions.</w:t>
      </w:r>
    </w:p>
    <w:p>
      <w:pPr>
        <w:pStyle w:val="ListParagraph"/>
        <w:numPr>
          <w:ilvl w:val="0"/>
          <w:numId w:val="2"/>
        </w:numPr>
        <w:spacing w:after="90"/>
      </w:pPr>
      <w:r>
        <w:rPr>
          <w:sz w:val="22"/>
          <w:szCs w:val="22"/>
        </w:rPr>
        <w:t xml:space="preserve">EMI is the highest-revenue payment method (₹6.32 Cr, 23.92% of revenue) despite ranking only 4th by transaction count — its ₹92,559 average order value is far above any other method, meaning EMI is disproportionately used for large-ticket purchases.</w:t>
      </w:r>
    </w:p>
    <w:p>
      <w:pPr>
        <w:pStyle w:val="ListParagraph"/>
        <w:numPr>
          <w:ilvl w:val="0"/>
          <w:numId w:val="2"/>
        </w:numPr>
        <w:spacing w:after="90"/>
      </w:pPr>
      <w:r>
        <w:rPr>
          <w:sz w:val="22"/>
          <w:szCs w:val="22"/>
        </w:rPr>
        <w:t xml:space="preserve">UPI is the most-used payment method by transaction volume (749 orders, 17.83% share) but converts that volume into only 14.84% of revenue — the classic 'most used ≠ most valuable' pattern the masterclass calls out explicitly.</w:t>
      </w:r>
    </w:p>
    <w:p>
      <w:pPr>
        <w:pStyle w:val="ListParagraph"/>
        <w:numPr>
          <w:ilvl w:val="0"/>
          <w:numId w:val="2"/>
        </w:numPr>
        <w:spacing w:after="90"/>
      </w:pPr>
      <w:r>
        <w:rPr>
          <w:sz w:val="22"/>
          <w:szCs w:val="22"/>
        </w:rPr>
        <w:t xml:space="preserve">Discount % shows essentially no correlation with profit margin (r = 0.003) — discounting in this dataset is not the primary lever eroding profitability, which points the investigation toward cost structure (COGS/shipping) instead.</w:t>
      </w:r>
    </w:p>
    <w:p>
      <w:pPr>
        <w:spacing w:after="120"/>
      </w:pPr>
    </w:p>
    <w:p>
      <w:pPr>
        <w:pStyle w:val="Heading2"/>
        <w:spacing w:after="160" w:before="300"/>
      </w:pPr>
      <w:r>
        <w:t xml:space="preserve">Level 4 — Risk &amp; Opportunity</w:t>
      </w:r>
    </w:p>
    <w:tbl>
      <w:tblPr>
        <w:tblW w:type="dxa" w:w="9350"/>
        <w:tblBorders>
          <w:top w:val="single" w:color="E2E2EC" w:sz="4"/>
          <w:left w:val="single" w:color="C0392B" w:sz="24"/>
          <w:bottom w:val="single" w:color="E2E2EC" w:sz="4"/>
          <w:right w:val="single" w:color="E2E2EC" w:sz="4"/>
          <w:insideH w:val="single" w:color="auto" w:sz="4"/>
          <w:insideV w:val="single" w:color="auto" w:sz="4"/>
        </w:tblBorders>
      </w:tblPr>
      <w:tblGrid>
        <w:gridCol w:w="9350"/>
      </w:tblGrid>
      <w:tr>
        <w:tc>
          <w:tcPr>
            <w:tcW w:type="dxa" w:w="9350"/>
            <w:shd w:fill="F7F7FC" w:val="clear"/>
            <w:tcMar>
              <w:top w:type="dxa" w:w="140"/>
              <w:left w:type="dxa" w:w="220"/>
              <w:bottom w:type="dxa" w:w="140"/>
              <w:right w:type="dxa" w:w="220"/>
            </w:tcMar>
          </w:tcPr>
          <w:p>
            <w:pPr>
              <w:spacing w:after="40"/>
            </w:pPr>
            <w:r>
              <w:rPr>
                <w:b/>
                <w:bCs/>
                <w:color w:val="C0392B"/>
                <w:spacing w:val="20"/>
                <w:sz w:val="16"/>
                <w:szCs w:val="16"/>
              </w:rPr>
              <w:t xml:space="preserve">RISK</w:t>
            </w:r>
          </w:p>
          <w:p>
            <w:pPr>
              <w:spacing w:after="60"/>
            </w:pPr>
            <w:r>
              <w:rPr>
                <w:b/>
                <w:bCs/>
                <w:color w:val="17193B"/>
                <w:sz w:val="23"/>
                <w:szCs w:val="23"/>
              </w:rPr>
              <w:t xml:space="preserve">Electronics carries the highest return rate</w:t>
            </w:r>
          </w:p>
          <w:p>
            <w:r>
              <w:rPr>
                <w:color w:val="44476B"/>
                <w:sz w:val="20"/>
                <w:szCs w:val="20"/>
              </w:rPr>
              <w:t xml:space="preserve">15.79% of Electronics orders are returned — the highest of any category — while it also generates the most revenue. Returns here have an outsized dollar impact on the business.</w:t>
            </w:r>
          </w:p>
        </w:tc>
      </w:tr>
    </w:tbl>
    <w:p>
      <w:pPr>
        <w:spacing w:after="90"/>
      </w:pPr>
    </w:p>
    <w:tbl>
      <w:tblPr>
        <w:tblW w:type="dxa" w:w="9350"/>
        <w:tblBorders>
          <w:top w:val="single" w:color="E2E2EC" w:sz="4"/>
          <w:left w:val="single" w:color="C0392B" w:sz="24"/>
          <w:bottom w:val="single" w:color="E2E2EC" w:sz="4"/>
          <w:right w:val="single" w:color="E2E2EC" w:sz="4"/>
          <w:insideH w:val="single" w:color="auto" w:sz="4"/>
          <w:insideV w:val="single" w:color="auto" w:sz="4"/>
        </w:tblBorders>
      </w:tblPr>
      <w:tblGrid>
        <w:gridCol w:w="9350"/>
      </w:tblGrid>
      <w:tr>
        <w:tc>
          <w:tcPr>
            <w:tcW w:type="dxa" w:w="9350"/>
            <w:shd w:fill="F7F7FC" w:val="clear"/>
            <w:tcMar>
              <w:top w:type="dxa" w:w="140"/>
              <w:left w:type="dxa" w:w="220"/>
              <w:bottom w:type="dxa" w:w="140"/>
              <w:right w:type="dxa" w:w="220"/>
            </w:tcMar>
          </w:tcPr>
          <w:p>
            <w:pPr>
              <w:spacing w:after="40"/>
            </w:pPr>
            <w:r>
              <w:rPr>
                <w:b/>
                <w:bCs/>
                <w:color w:val="C0392B"/>
                <w:spacing w:val="20"/>
                <w:sz w:val="16"/>
                <w:szCs w:val="16"/>
              </w:rPr>
              <w:t xml:space="preserve">RISK</w:t>
            </w:r>
          </w:p>
          <w:p>
            <w:pPr>
              <w:spacing w:after="60"/>
            </w:pPr>
            <w:r>
              <w:rPr>
                <w:b/>
                <w:bCs/>
                <w:color w:val="17193B"/>
                <w:sz w:val="23"/>
                <w:szCs w:val="23"/>
              </w:rPr>
              <w:t xml:space="preserve">The business is acquisition-dependent, not retention-driven</w:t>
            </w:r>
          </w:p>
          <w:p>
            <w:r>
              <w:rPr>
                <w:color w:val="44476B"/>
                <w:sz w:val="20"/>
                <w:szCs w:val="20"/>
              </w:rPr>
              <w:t xml:space="preserve">97.88% of customers have purchased exactly once. Only 87 of 4,112 customers are repeat buyers.</w:t>
            </w:r>
          </w:p>
        </w:tc>
      </w:tr>
    </w:tbl>
    <w:p>
      <w:pPr>
        <w:spacing w:after="90"/>
      </w:pPr>
    </w:p>
    <w:tbl>
      <w:tblPr>
        <w:tblW w:type="dxa" w:w="9350"/>
        <w:tblBorders>
          <w:top w:val="single" w:color="E2E2EC" w:sz="4"/>
          <w:left w:val="single" w:color="1E8A4C" w:sz="24"/>
          <w:bottom w:val="single" w:color="E2E2EC" w:sz="4"/>
          <w:right w:val="single" w:color="E2E2EC" w:sz="4"/>
          <w:insideH w:val="single" w:color="auto" w:sz="4"/>
          <w:insideV w:val="single" w:color="auto" w:sz="4"/>
        </w:tblBorders>
      </w:tblPr>
      <w:tblGrid>
        <w:gridCol w:w="9350"/>
      </w:tblGrid>
      <w:tr>
        <w:tc>
          <w:tcPr>
            <w:tcW w:type="dxa" w:w="9350"/>
            <w:shd w:fill="F7F7FC" w:val="clear"/>
            <w:tcMar>
              <w:top w:type="dxa" w:w="140"/>
              <w:left w:type="dxa" w:w="220"/>
              <w:bottom w:type="dxa" w:w="140"/>
              <w:right w:type="dxa" w:w="220"/>
            </w:tcMar>
          </w:tcPr>
          <w:p>
            <w:pPr>
              <w:spacing w:after="40"/>
            </w:pPr>
            <w:r>
              <w:rPr>
                <w:b/>
                <w:bCs/>
                <w:color w:val="1E8A4C"/>
                <w:spacing w:val="20"/>
                <w:sz w:val="16"/>
                <w:szCs w:val="16"/>
              </w:rPr>
              <w:t xml:space="preserve">OPPORTUNITY</w:t>
            </w:r>
          </w:p>
          <w:p>
            <w:pPr>
              <w:spacing w:after="60"/>
            </w:pPr>
            <w:r>
              <w:rPr>
                <w:b/>
                <w:bCs/>
                <w:color w:val="17193B"/>
                <w:sz w:val="23"/>
                <w:szCs w:val="23"/>
              </w:rPr>
              <w:t xml:space="preserve">Repeat customers are dramatically more valuable per order</w:t>
            </w:r>
          </w:p>
          <w:p>
            <w:r>
              <w:rPr>
                <w:color w:val="44476B"/>
                <w:sz w:val="20"/>
                <w:szCs w:val="20"/>
              </w:rPr>
              <w:t xml:space="preserve">Repeat customers average ₹1,54,616 per order versus ₹58,935 for one-time buyers — a 2.6× gap. Even a small shift toward retention has outsized revenue potential.</w:t>
            </w:r>
          </w:p>
        </w:tc>
      </w:tr>
    </w:tbl>
    <w:p>
      <w:pPr>
        <w:spacing w:after="90"/>
      </w:pPr>
    </w:p>
    <w:tbl>
      <w:tblPr>
        <w:tblW w:type="dxa" w:w="9350"/>
        <w:tblBorders>
          <w:top w:val="single" w:color="E2E2EC" w:sz="4"/>
          <w:left w:val="single" w:color="1E8A4C" w:sz="24"/>
          <w:bottom w:val="single" w:color="E2E2EC" w:sz="4"/>
          <w:right w:val="single" w:color="E2E2EC" w:sz="4"/>
          <w:insideH w:val="single" w:color="auto" w:sz="4"/>
          <w:insideV w:val="single" w:color="auto" w:sz="4"/>
        </w:tblBorders>
      </w:tblPr>
      <w:tblGrid>
        <w:gridCol w:w="9350"/>
      </w:tblGrid>
      <w:tr>
        <w:tc>
          <w:tcPr>
            <w:tcW w:type="dxa" w:w="9350"/>
            <w:shd w:fill="F7F7FC" w:val="clear"/>
            <w:tcMar>
              <w:top w:type="dxa" w:w="140"/>
              <w:left w:type="dxa" w:w="220"/>
              <w:bottom w:type="dxa" w:w="140"/>
              <w:right w:type="dxa" w:w="220"/>
            </w:tcMar>
          </w:tcPr>
          <w:p>
            <w:pPr>
              <w:spacing w:after="40"/>
            </w:pPr>
            <w:r>
              <w:rPr>
                <w:b/>
                <w:bCs/>
                <w:color w:val="1E8A4C"/>
                <w:spacing w:val="20"/>
                <w:sz w:val="16"/>
                <w:szCs w:val="16"/>
              </w:rPr>
              <w:t xml:space="preserve">OPPORTUNITY</w:t>
            </w:r>
          </w:p>
          <w:p>
            <w:pPr>
              <w:spacing w:after="60"/>
            </w:pPr>
            <w:r>
              <w:rPr>
                <w:b/>
                <w:bCs/>
                <w:color w:val="17193B"/>
                <w:sz w:val="23"/>
                <w:szCs w:val="23"/>
              </w:rPr>
              <w:t xml:space="preserve">Beauty and Clothing are high-margin, low-penetration categories</w:t>
            </w:r>
          </w:p>
          <w:p>
            <w:r>
              <w:rPr>
                <w:color w:val="44476B"/>
                <w:sz w:val="20"/>
                <w:szCs w:val="20"/>
              </w:rPr>
              <w:t xml:space="preserve">Beauty converts at 45.06% margin and Clothing at 36.16%, yet together they contribute under 6% of revenue — meaningful headroom for profitable growth.</w:t>
            </w:r>
          </w:p>
        </w:tc>
      </w:tr>
    </w:tbl>
    <w:p>
      <w:pPr>
        <w:spacing w:after="120"/>
      </w:pPr>
    </w:p>
    <w:p>
      <w:pPr>
        <w:pStyle w:val="Heading2"/>
        <w:spacing w:after="160" w:before="300"/>
      </w:pPr>
      <w:r>
        <w:t xml:space="preserve">Level 5 — Recommended Actions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450"/>
      </w:tblGrid>
      <w:tr>
        <w:trPr>
          <w:tblHeader/>
        </w:trPr>
        <w:tc>
          <w:tcPr>
            <w:tcW w:type="dxa" w:w="500"/>
            <w:shd w:fill="0B0E24" w:val="clear"/>
            <w:tcMar>
              <w:top w:type="dxa" w:w="80"/>
              <w:left w:type="dxa" w:w="100"/>
              <w:bottom w:type="dxa" w:w="80"/>
              <w:right w:type="dxa" w:w="100"/>
            </w:tcMar>
          </w:tcPr>
          <w:p>
            <w:pPr>
              <w:jc w:val="left"/>
            </w:pPr>
            <w:r>
              <w:rPr>
                <w:b/>
                <w:bCs/>
                <w:color w:val="FFFFFF"/>
                <w:sz w:val="20"/>
                <w:szCs w:val="20"/>
              </w:rPr>
              <w:t xml:space="preserve">#</w:t>
            </w:r>
          </w:p>
        </w:tc>
        <w:tc>
          <w:tcPr>
            <w:tcW w:type="dxa" w:w="4400"/>
            <w:shd w:fill="0B0E24" w:val="clear"/>
            <w:tcMar>
              <w:top w:type="dxa" w:w="80"/>
              <w:left w:type="dxa" w:w="100"/>
              <w:bottom w:type="dxa" w:w="80"/>
              <w:right w:type="dxa" w:w="100"/>
            </w:tcMar>
          </w:tcPr>
          <w:p>
            <w:pPr>
              <w:jc w:val="left"/>
            </w:pPr>
            <w:r>
              <w:rPr>
                <w:b/>
                <w:bCs/>
                <w:color w:val="FFFFFF"/>
                <w:sz w:val="20"/>
                <w:szCs w:val="20"/>
              </w:rPr>
              <w:t xml:space="preserve">Action</w:t>
            </w:r>
          </w:p>
        </w:tc>
        <w:tc>
          <w:tcPr>
            <w:tcW w:type="dxa" w:w="4450"/>
            <w:shd w:fill="0B0E24" w:val="clear"/>
            <w:tcMar>
              <w:top w:type="dxa" w:w="80"/>
              <w:left w:type="dxa" w:w="100"/>
              <w:bottom w:type="dxa" w:w="80"/>
              <w:right w:type="dxa" w:w="100"/>
            </w:tcMar>
          </w:tcPr>
          <w:p>
            <w:pPr>
              <w:jc w:val="left"/>
            </w:pPr>
            <w:r>
              <w:rPr>
                <w:b/>
                <w:bCs/>
                <w:color w:val="FFFFFF"/>
                <w:sz w:val="20"/>
                <w:szCs w:val="20"/>
              </w:rPr>
              <w:t xml:space="preserve">Rationale</w:t>
            </w:r>
          </w:p>
        </w:tc>
      </w:tr>
      <w:tr>
        <w:tc>
          <w:tcPr>
            <w:tcW w:type="dxa" w:w="500"/>
            <w:tcMar>
              <w:top w:type="dxa" w:w="80"/>
              <w:left w:type="dxa" w:w="100"/>
              <w:bottom w:type="dxa" w:w="80"/>
              <w:right w:type="dxa" w:w="100"/>
            </w:tcMar>
          </w:tcPr>
          <w:p>
            <w:pPr>
              <w:jc w:val="left"/>
            </w:pPr>
            <w:r>
              <w:rPr>
                <w:b w:val="false"/>
                <w:bCs w:val="false"/>
                <w:color w:val="000000"/>
                <w:sz w:val="20"/>
                <w:szCs w:val="20"/>
              </w:rPr>
              <w:t xml:space="preserve">1</w:t>
            </w:r>
          </w:p>
        </w:tc>
        <w:tc>
          <w:tcPr>
            <w:tcW w:type="dxa" w:w="4400"/>
            <w:tcMar>
              <w:top w:type="dxa" w:w="80"/>
              <w:left w:type="dxa" w:w="100"/>
              <w:bottom w:type="dxa" w:w="80"/>
              <w:right w:type="dxa" w:w="100"/>
            </w:tcMar>
          </w:tcPr>
          <w:p>
            <w:pPr>
              <w:jc w:val="left"/>
            </w:pPr>
            <w:r>
              <w:rPr>
                <w:b w:val="false"/>
                <w:bCs w:val="false"/>
                <w:color w:val="000000"/>
                <w:sz w:val="20"/>
                <w:szCs w:val="20"/>
              </w:rPr>
              <w:t xml:space="preserve">Investigate Electronics return drivers (quality, listing accuracy, sizing/fit info)</w:t>
            </w:r>
          </w:p>
        </w:tc>
        <w:tc>
          <w:tcPr>
            <w:tcW w:type="dxa" w:w="4450"/>
            <w:tcMar>
              <w:top w:type="dxa" w:w="80"/>
              <w:left w:type="dxa" w:w="100"/>
              <w:bottom w:type="dxa" w:w="80"/>
              <w:right w:type="dxa" w:w="100"/>
            </w:tcMar>
          </w:tcPr>
          <w:p>
            <w:pPr>
              <w:jc w:val="left"/>
            </w:pPr>
            <w:r>
              <w:rPr>
                <w:b w:val="false"/>
                <w:bCs w:val="false"/>
                <w:color w:val="000000"/>
                <w:sz w:val="20"/>
                <w:szCs w:val="20"/>
              </w:rPr>
              <w:t xml:space="preserve">Highest revenue category also carries the highest return rate at 15.79%</w:t>
            </w:r>
          </w:p>
        </w:tc>
      </w:tr>
      <w:tr>
        <w:tc>
          <w:tcPr>
            <w:tcW w:type="dxa" w:w="500"/>
            <w:shd w:fill="F2F1FB" w:val="clear"/>
            <w:tcMar>
              <w:top w:type="dxa" w:w="80"/>
              <w:left w:type="dxa" w:w="100"/>
              <w:bottom w:type="dxa" w:w="80"/>
              <w:right w:type="dxa" w:w="100"/>
            </w:tcMar>
          </w:tcPr>
          <w:p>
            <w:pPr>
              <w:jc w:val="left"/>
            </w:pPr>
            <w:r>
              <w:rPr>
                <w:b w:val="false"/>
                <w:bCs w:val="false"/>
                <w:color w:val="000000"/>
                <w:sz w:val="20"/>
                <w:szCs w:val="20"/>
              </w:rPr>
              <w:t xml:space="preserve">2</w:t>
            </w:r>
          </w:p>
        </w:tc>
        <w:tc>
          <w:tcPr>
            <w:tcW w:type="dxa" w:w="4400"/>
            <w:shd w:fill="F2F1FB" w:val="clear"/>
            <w:tcMar>
              <w:top w:type="dxa" w:w="80"/>
              <w:left w:type="dxa" w:w="100"/>
              <w:bottom w:type="dxa" w:w="80"/>
              <w:right w:type="dxa" w:w="100"/>
            </w:tcMar>
          </w:tcPr>
          <w:p>
            <w:pPr>
              <w:jc w:val="left"/>
            </w:pPr>
            <w:r>
              <w:rPr>
                <w:b w:val="false"/>
                <w:bCs w:val="false"/>
                <w:color w:val="000000"/>
                <w:sz w:val="20"/>
                <w:szCs w:val="20"/>
              </w:rPr>
              <w:t xml:space="preserve">Launch a retention / loyalty program targeting one-time buyers</w:t>
            </w:r>
          </w:p>
        </w:tc>
        <w:tc>
          <w:tcPr>
            <w:tcW w:type="dxa" w:w="4450"/>
            <w:shd w:fill="F2F1FB" w:val="clear"/>
            <w:tcMar>
              <w:top w:type="dxa" w:w="80"/>
              <w:left w:type="dxa" w:w="100"/>
              <w:bottom w:type="dxa" w:w="80"/>
              <w:right w:type="dxa" w:w="100"/>
            </w:tcMar>
          </w:tcPr>
          <w:p>
            <w:pPr>
              <w:jc w:val="left"/>
            </w:pPr>
            <w:r>
              <w:rPr>
                <w:b w:val="false"/>
                <w:bCs w:val="false"/>
                <w:color w:val="000000"/>
                <w:sz w:val="20"/>
                <w:szCs w:val="20"/>
              </w:rPr>
              <w:t xml:space="preserve">97.88% one-time customer base vs. a proven 2.6× spend uplift from repeat buyers</w:t>
            </w:r>
          </w:p>
        </w:tc>
      </w:tr>
      <w:tr>
        <w:tc>
          <w:tcPr>
            <w:tcW w:type="dxa" w:w="500"/>
            <w:tcMar>
              <w:top w:type="dxa" w:w="80"/>
              <w:left w:type="dxa" w:w="100"/>
              <w:bottom w:type="dxa" w:w="80"/>
              <w:right w:type="dxa" w:w="100"/>
            </w:tcMar>
          </w:tcPr>
          <w:p>
            <w:pPr>
              <w:jc w:val="left"/>
            </w:pPr>
            <w:r>
              <w:rPr>
                <w:b w:val="false"/>
                <w:bCs w:val="false"/>
                <w:color w:val="000000"/>
                <w:sz w:val="20"/>
                <w:szCs w:val="20"/>
              </w:rPr>
              <w:t xml:space="preserve">3</w:t>
            </w:r>
          </w:p>
        </w:tc>
        <w:tc>
          <w:tcPr>
            <w:tcW w:type="dxa" w:w="4400"/>
            <w:tcMar>
              <w:top w:type="dxa" w:w="80"/>
              <w:left w:type="dxa" w:w="100"/>
              <w:bottom w:type="dxa" w:w="80"/>
              <w:right w:type="dxa" w:w="100"/>
            </w:tcMar>
          </w:tcPr>
          <w:p>
            <w:pPr>
              <w:jc w:val="left"/>
            </w:pPr>
            <w:r>
              <w:rPr>
                <w:b w:val="false"/>
                <w:bCs w:val="false"/>
                <w:color w:val="000000"/>
                <w:sz w:val="20"/>
                <w:szCs w:val="20"/>
              </w:rPr>
              <w:t xml:space="preserve">Increase marketing allocation to Beauty and Clothing</w:t>
            </w:r>
          </w:p>
        </w:tc>
        <w:tc>
          <w:tcPr>
            <w:tcW w:type="dxa" w:w="4450"/>
            <w:tcMar>
              <w:top w:type="dxa" w:w="80"/>
              <w:left w:type="dxa" w:w="100"/>
              <w:bottom w:type="dxa" w:w="80"/>
              <w:right w:type="dxa" w:w="100"/>
            </w:tcMar>
          </w:tcPr>
          <w:p>
            <w:pPr>
              <w:jc w:val="left"/>
            </w:pPr>
            <w:r>
              <w:rPr>
                <w:b w:val="false"/>
                <w:bCs w:val="false"/>
                <w:color w:val="000000"/>
                <w:sz w:val="20"/>
                <w:szCs w:val="20"/>
              </w:rPr>
              <w:t xml:space="preserve">Highest-margin categories (45.06% and 36.16%) are currently under-penetrated</w:t>
            </w:r>
          </w:p>
        </w:tc>
      </w:tr>
      <w:tr>
        <w:tc>
          <w:tcPr>
            <w:tcW w:type="dxa" w:w="500"/>
            <w:shd w:fill="F2F1FB" w:val="clear"/>
            <w:tcMar>
              <w:top w:type="dxa" w:w="80"/>
              <w:left w:type="dxa" w:w="100"/>
              <w:bottom w:type="dxa" w:w="80"/>
              <w:right w:type="dxa" w:w="100"/>
            </w:tcMar>
          </w:tcPr>
          <w:p>
            <w:pPr>
              <w:jc w:val="left"/>
            </w:pPr>
            <w:r>
              <w:rPr>
                <w:b w:val="false"/>
                <w:bCs w:val="false"/>
                <w:color w:val="000000"/>
                <w:sz w:val="20"/>
                <w:szCs w:val="20"/>
              </w:rPr>
              <w:t xml:space="preserve">4</w:t>
            </w:r>
          </w:p>
        </w:tc>
        <w:tc>
          <w:tcPr>
            <w:tcW w:type="dxa" w:w="4400"/>
            <w:shd w:fill="F2F1FB" w:val="clear"/>
            <w:tcMar>
              <w:top w:type="dxa" w:w="80"/>
              <w:left w:type="dxa" w:w="100"/>
              <w:bottom w:type="dxa" w:w="80"/>
              <w:right w:type="dxa" w:w="100"/>
            </w:tcMar>
          </w:tcPr>
          <w:p>
            <w:pPr>
              <w:jc w:val="left"/>
            </w:pPr>
            <w:r>
              <w:rPr>
                <w:b w:val="false"/>
                <w:bCs w:val="false"/>
                <w:color w:val="000000"/>
                <w:sz w:val="20"/>
                <w:szCs w:val="20"/>
              </w:rPr>
              <w:t xml:space="preserve">Promote EMI as a checkout option for high-value carts</w:t>
            </w:r>
          </w:p>
        </w:tc>
        <w:tc>
          <w:tcPr>
            <w:tcW w:type="dxa" w:w="4450"/>
            <w:shd w:fill="F2F1FB" w:val="clear"/>
            <w:tcMar>
              <w:top w:type="dxa" w:w="80"/>
              <w:left w:type="dxa" w:w="100"/>
              <w:bottom w:type="dxa" w:w="80"/>
              <w:right w:type="dxa" w:w="100"/>
            </w:tcMar>
          </w:tcPr>
          <w:p>
            <w:pPr>
              <w:jc w:val="left"/>
            </w:pPr>
            <w:r>
              <w:rPr>
                <w:b w:val="false"/>
                <w:bCs w:val="false"/>
                <w:color w:val="000000"/>
                <w:sz w:val="20"/>
                <w:szCs w:val="20"/>
              </w:rPr>
              <w:t xml:space="preserve">EMI already carries the highest AOV (₹92,559) — a signal, not just a payment preference</w:t>
            </w:r>
          </w:p>
        </w:tc>
      </w:tr>
      <w:tr>
        <w:tc>
          <w:tcPr>
            <w:tcW w:type="dxa" w:w="500"/>
            <w:tcMar>
              <w:top w:type="dxa" w:w="80"/>
              <w:left w:type="dxa" w:w="100"/>
              <w:bottom w:type="dxa" w:w="80"/>
              <w:right w:type="dxa" w:w="100"/>
            </w:tcMar>
          </w:tcPr>
          <w:p>
            <w:pPr>
              <w:jc w:val="left"/>
            </w:pPr>
            <w:r>
              <w:rPr>
                <w:b w:val="false"/>
                <w:bCs w:val="false"/>
                <w:color w:val="000000"/>
                <w:sz w:val="20"/>
                <w:szCs w:val="20"/>
              </w:rPr>
              <w:t xml:space="preserve">5</w:t>
            </w:r>
          </w:p>
        </w:tc>
        <w:tc>
          <w:tcPr>
            <w:tcW w:type="dxa" w:w="4400"/>
            <w:tcMar>
              <w:top w:type="dxa" w:w="80"/>
              <w:left w:type="dxa" w:w="100"/>
              <w:bottom w:type="dxa" w:w="80"/>
              <w:right w:type="dxa" w:w="100"/>
            </w:tcMar>
          </w:tcPr>
          <w:p>
            <w:pPr>
              <w:jc w:val="left"/>
            </w:pPr>
            <w:r>
              <w:rPr>
                <w:b w:val="false"/>
                <w:bCs w:val="false"/>
                <w:color w:val="000000"/>
                <w:sz w:val="20"/>
                <w:szCs w:val="20"/>
              </w:rPr>
              <w:t xml:space="preserve">Prioritize South and North regions for inventory investment</w:t>
            </w:r>
          </w:p>
        </w:tc>
        <w:tc>
          <w:tcPr>
            <w:tcW w:type="dxa" w:w="4450"/>
            <w:tcMar>
              <w:top w:type="dxa" w:w="80"/>
              <w:left w:type="dxa" w:w="100"/>
              <w:bottom w:type="dxa" w:w="80"/>
              <w:right w:type="dxa" w:w="100"/>
            </w:tcMar>
          </w:tcPr>
          <w:p>
            <w:pPr>
              <w:jc w:val="left"/>
            </w:pPr>
            <w:r>
              <w:rPr>
                <w:b w:val="false"/>
                <w:bCs w:val="false"/>
                <w:color w:val="000000"/>
                <w:sz w:val="20"/>
                <w:szCs w:val="20"/>
              </w:rPr>
              <w:t xml:space="preserve">Leading regions by revenue (₹73.52 Cr and ₹53.61 Cr respectively) with healthy margins</w:t>
            </w:r>
          </w:p>
        </w:tc>
      </w:tr>
    </w:tbl>
    <w:p>
      <w:r>
        <w:br w:type="page"/>
      </w:r>
    </w:p>
    <w:p>
      <w:pPr>
        <w:pStyle w:val="Heading1"/>
        <w:spacing w:after="200" w:before="400"/>
      </w:pPr>
      <w:r>
        <w:t xml:space="preserve">6. Dashboard Architecture</w:t>
      </w:r>
    </w:p>
    <w:p>
      <w:pPr>
        <w:spacing w:after="160" w:line="300"/>
      </w:pPr>
      <w:r>
        <w:rPr>
          <w:sz w:val="22"/>
          <w:szCs w:val="22"/>
        </w:rPr>
        <w:t xml:space="preserve">The application is structured as ten dedicated pages, each built for a specific audience question, navigated through a persistent sidebar with global Year / Region / Category / Payment Method filters that recompute every chart and KPI live.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0E24" w:val="clear"/>
            <w:tcMar>
              <w:top w:type="dxa" w:w="80"/>
              <w:left w:type="dxa" w:w="100"/>
              <w:bottom w:type="dxa" w:w="80"/>
              <w:right w:type="dxa" w:w="100"/>
            </w:tcMar>
          </w:tcPr>
          <w:p>
            <w:pPr>
              <w:jc w:val="left"/>
            </w:pPr>
            <w:r>
              <w:rPr>
                <w:b/>
                <w:bCs/>
                <w:color w:val="FFFFFF"/>
                <w:sz w:val="20"/>
                <w:szCs w:val="20"/>
              </w:rPr>
              <w:t xml:space="preserve">Page</w:t>
            </w:r>
          </w:p>
        </w:tc>
        <w:tc>
          <w:tcPr>
            <w:tcW w:type="dxa" w:w="6150"/>
            <w:shd w:fill="0B0E24" w:val="clear"/>
            <w:tcMar>
              <w:top w:type="dxa" w:w="80"/>
              <w:left w:type="dxa" w:w="100"/>
              <w:bottom w:type="dxa" w:w="80"/>
              <w:right w:type="dxa" w:w="100"/>
            </w:tcMar>
          </w:tcPr>
          <w:p>
            <w:pPr>
              <w:jc w:val="left"/>
            </w:pPr>
            <w:r>
              <w:rPr>
                <w:b/>
                <w:bCs/>
                <w:color w:val="FFFFFF"/>
                <w:sz w:val="20"/>
                <w:szCs w:val="20"/>
              </w:rPr>
              <w:t xml:space="preserve">Audience Question Answered</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Executive Overview</w:t>
            </w:r>
          </w:p>
        </w:tc>
        <w:tc>
          <w:tcPr>
            <w:tcW w:type="dxa" w:w="6150"/>
            <w:tcMar>
              <w:top w:type="dxa" w:w="80"/>
              <w:left w:type="dxa" w:w="100"/>
              <w:bottom w:type="dxa" w:w="80"/>
              <w:right w:type="dxa" w:w="100"/>
            </w:tcMar>
          </w:tcPr>
          <w:p>
            <w:pPr>
              <w:jc w:val="left"/>
            </w:pPr>
            <w:r>
              <w:rPr>
                <w:b w:val="false"/>
                <w:bCs w:val="false"/>
                <w:color w:val="000000"/>
                <w:sz w:val="20"/>
                <w:szCs w:val="20"/>
              </w:rPr>
              <w:t xml:space="preserve">What is the overall health of the business, right now?</w:t>
            </w:r>
          </w:p>
        </w:tc>
      </w:tr>
      <w:tr>
        <w:tc>
          <w:tcPr>
            <w:tcW w:type="dxa" w:w="3200"/>
            <w:shd w:fill="F2F1FB" w:val="clear"/>
            <w:tcMar>
              <w:top w:type="dxa" w:w="80"/>
              <w:left w:type="dxa" w:w="100"/>
              <w:bottom w:type="dxa" w:w="80"/>
              <w:right w:type="dxa" w:w="100"/>
            </w:tcMar>
          </w:tcPr>
          <w:p>
            <w:pPr>
              <w:jc w:val="left"/>
            </w:pPr>
            <w:r>
              <w:rPr>
                <w:b w:val="false"/>
                <w:bCs w:val="false"/>
                <w:color w:val="000000"/>
                <w:sz w:val="20"/>
                <w:szCs w:val="20"/>
              </w:rPr>
              <w:t xml:space="preserve">Sales Performance</w:t>
            </w:r>
          </w:p>
        </w:tc>
        <w:tc>
          <w:tcPr>
            <w:tcW w:type="dxa" w:w="6150"/>
            <w:shd w:fill="F2F1FB" w:val="clear"/>
            <w:tcMar>
              <w:top w:type="dxa" w:w="80"/>
              <w:left w:type="dxa" w:w="100"/>
              <w:bottom w:type="dxa" w:w="80"/>
              <w:right w:type="dxa" w:w="100"/>
            </w:tcMar>
          </w:tcPr>
          <w:p>
            <w:pPr>
              <w:jc w:val="left"/>
            </w:pPr>
            <w:r>
              <w:rPr>
                <w:b w:val="false"/>
                <w:bCs w:val="false"/>
                <w:color w:val="000000"/>
                <w:sz w:val="20"/>
                <w:szCs w:val="20"/>
              </w:rPr>
              <w:t xml:space="preserve">How is revenue trending, and what's driving it?</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Product Analytics</w:t>
            </w:r>
          </w:p>
        </w:tc>
        <w:tc>
          <w:tcPr>
            <w:tcW w:type="dxa" w:w="6150"/>
            <w:tcMar>
              <w:top w:type="dxa" w:w="80"/>
              <w:left w:type="dxa" w:w="100"/>
              <w:bottom w:type="dxa" w:w="80"/>
              <w:right w:type="dxa" w:w="100"/>
            </w:tcMar>
          </w:tcPr>
          <w:p>
            <w:pPr>
              <w:jc w:val="left"/>
            </w:pPr>
            <w:r>
              <w:rPr>
                <w:b w:val="false"/>
                <w:bCs w:val="false"/>
                <w:color w:val="000000"/>
                <w:sz w:val="20"/>
                <w:szCs w:val="20"/>
              </w:rPr>
              <w:t xml:space="preserve">Which categories and products perform best?</w:t>
            </w:r>
          </w:p>
        </w:tc>
      </w:tr>
      <w:tr>
        <w:tc>
          <w:tcPr>
            <w:tcW w:type="dxa" w:w="3200"/>
            <w:shd w:fill="F2F1FB" w:val="clear"/>
            <w:tcMar>
              <w:top w:type="dxa" w:w="80"/>
              <w:left w:type="dxa" w:w="100"/>
              <w:bottom w:type="dxa" w:w="80"/>
              <w:right w:type="dxa" w:w="100"/>
            </w:tcMar>
          </w:tcPr>
          <w:p>
            <w:pPr>
              <w:jc w:val="left"/>
            </w:pPr>
            <w:r>
              <w:rPr>
                <w:b w:val="false"/>
                <w:bCs w:val="false"/>
                <w:color w:val="000000"/>
                <w:sz w:val="20"/>
                <w:szCs w:val="20"/>
              </w:rPr>
              <w:t xml:space="preserve">Regional Analytics</w:t>
            </w:r>
          </w:p>
        </w:tc>
        <w:tc>
          <w:tcPr>
            <w:tcW w:type="dxa" w:w="6150"/>
            <w:shd w:fill="F2F1FB" w:val="clear"/>
            <w:tcMar>
              <w:top w:type="dxa" w:w="80"/>
              <w:left w:type="dxa" w:w="100"/>
              <w:bottom w:type="dxa" w:w="80"/>
              <w:right w:type="dxa" w:w="100"/>
            </w:tcMar>
          </w:tcPr>
          <w:p>
            <w:pPr>
              <w:jc w:val="left"/>
            </w:pPr>
            <w:r>
              <w:rPr>
                <w:b w:val="false"/>
                <w:bCs w:val="false"/>
                <w:color w:val="000000"/>
                <w:sz w:val="20"/>
                <w:szCs w:val="20"/>
              </w:rPr>
              <w:t xml:space="preserve">Which regions and cities perform best?</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Customer Analytics</w:t>
            </w:r>
          </w:p>
        </w:tc>
        <w:tc>
          <w:tcPr>
            <w:tcW w:type="dxa" w:w="6150"/>
            <w:tcMar>
              <w:top w:type="dxa" w:w="80"/>
              <w:left w:type="dxa" w:w="100"/>
              <w:bottom w:type="dxa" w:w="80"/>
              <w:right w:type="dxa" w:w="100"/>
            </w:tcMar>
          </w:tcPr>
          <w:p>
            <w:pPr>
              <w:jc w:val="left"/>
            </w:pPr>
            <w:r>
              <w:rPr>
                <w:b w:val="false"/>
                <w:bCs w:val="false"/>
                <w:color w:val="000000"/>
                <w:sz w:val="20"/>
                <w:szCs w:val="20"/>
              </w:rPr>
              <w:t xml:space="preserve">Who are our customers, and how do they behave?</w:t>
            </w:r>
          </w:p>
        </w:tc>
      </w:tr>
      <w:tr>
        <w:tc>
          <w:tcPr>
            <w:tcW w:type="dxa" w:w="3200"/>
            <w:shd w:fill="F2F1FB" w:val="clear"/>
            <w:tcMar>
              <w:top w:type="dxa" w:w="80"/>
              <w:left w:type="dxa" w:w="100"/>
              <w:bottom w:type="dxa" w:w="80"/>
              <w:right w:type="dxa" w:w="100"/>
            </w:tcMar>
          </w:tcPr>
          <w:p>
            <w:pPr>
              <w:jc w:val="left"/>
            </w:pPr>
            <w:r>
              <w:rPr>
                <w:b w:val="false"/>
                <w:bCs w:val="false"/>
                <w:color w:val="000000"/>
                <w:sz w:val="20"/>
                <w:szCs w:val="20"/>
              </w:rPr>
              <w:t xml:space="preserve">Payment &amp; Fulfillment</w:t>
            </w:r>
          </w:p>
        </w:tc>
        <w:tc>
          <w:tcPr>
            <w:tcW w:type="dxa" w:w="6150"/>
            <w:shd w:fill="F2F1FB" w:val="clear"/>
            <w:tcMar>
              <w:top w:type="dxa" w:w="80"/>
              <w:left w:type="dxa" w:w="100"/>
              <w:bottom w:type="dxa" w:w="80"/>
              <w:right w:type="dxa" w:w="100"/>
            </w:tcMar>
          </w:tcPr>
          <w:p>
            <w:pPr>
              <w:jc w:val="left"/>
            </w:pPr>
            <w:r>
              <w:rPr>
                <w:b w:val="false"/>
                <w:bCs w:val="false"/>
                <w:color w:val="000000"/>
                <w:sz w:val="20"/>
                <w:szCs w:val="20"/>
              </w:rPr>
              <w:t xml:space="preserve">How do customers pay, and how fast do we ship?</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Ratings &amp; Returns</w:t>
            </w:r>
          </w:p>
        </w:tc>
        <w:tc>
          <w:tcPr>
            <w:tcW w:type="dxa" w:w="6150"/>
            <w:tcMar>
              <w:top w:type="dxa" w:w="80"/>
              <w:left w:type="dxa" w:w="100"/>
              <w:bottom w:type="dxa" w:w="80"/>
              <w:right w:type="dxa" w:w="100"/>
            </w:tcMar>
          </w:tcPr>
          <w:p>
            <w:pPr>
              <w:jc w:val="left"/>
            </w:pPr>
            <w:r>
              <w:rPr>
                <w:b w:val="false"/>
                <w:bCs w:val="false"/>
                <w:color w:val="000000"/>
                <w:sz w:val="20"/>
                <w:szCs w:val="20"/>
              </w:rPr>
              <w:t xml:space="preserve">How satisfied are customers, and where is return risk?</w:t>
            </w:r>
          </w:p>
        </w:tc>
      </w:tr>
      <w:tr>
        <w:tc>
          <w:tcPr>
            <w:tcW w:type="dxa" w:w="3200"/>
            <w:shd w:fill="F2F1FB" w:val="clear"/>
            <w:tcMar>
              <w:top w:type="dxa" w:w="80"/>
              <w:left w:type="dxa" w:w="100"/>
              <w:bottom w:type="dxa" w:w="80"/>
              <w:right w:type="dxa" w:w="100"/>
            </w:tcMar>
          </w:tcPr>
          <w:p>
            <w:pPr>
              <w:jc w:val="left"/>
            </w:pPr>
            <w:r>
              <w:rPr>
                <w:b w:val="false"/>
                <w:bCs w:val="false"/>
                <w:color w:val="000000"/>
                <w:sz w:val="20"/>
                <w:szCs w:val="20"/>
              </w:rPr>
              <w:t xml:space="preserve">Statistical EDA</w:t>
            </w:r>
          </w:p>
        </w:tc>
        <w:tc>
          <w:tcPr>
            <w:tcW w:type="dxa" w:w="6150"/>
            <w:shd w:fill="F2F1FB" w:val="clear"/>
            <w:tcMar>
              <w:top w:type="dxa" w:w="80"/>
              <w:left w:type="dxa" w:w="100"/>
              <w:bottom w:type="dxa" w:w="80"/>
              <w:right w:type="dxa" w:w="100"/>
            </w:tcMar>
          </w:tcPr>
          <w:p>
            <w:pPr>
              <w:jc w:val="left"/>
            </w:pPr>
            <w:r>
              <w:rPr>
                <w:b w:val="false"/>
                <w:bCs w:val="false"/>
                <w:color w:val="000000"/>
                <w:sz w:val="20"/>
                <w:szCs w:val="20"/>
              </w:rPr>
              <w:t xml:space="preserve">What do the underlying distributions and correlations look like?</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Data Quality</w:t>
            </w:r>
          </w:p>
        </w:tc>
        <w:tc>
          <w:tcPr>
            <w:tcW w:type="dxa" w:w="6150"/>
            <w:tcMar>
              <w:top w:type="dxa" w:w="80"/>
              <w:left w:type="dxa" w:w="100"/>
              <w:bottom w:type="dxa" w:w="80"/>
              <w:right w:type="dxa" w:w="100"/>
            </w:tcMar>
          </w:tcPr>
          <w:p>
            <w:pPr>
              <w:jc w:val="left"/>
            </w:pPr>
            <w:r>
              <w:rPr>
                <w:b w:val="false"/>
                <w:bCs w:val="false"/>
                <w:color w:val="000000"/>
                <w:sz w:val="20"/>
                <w:szCs w:val="20"/>
              </w:rPr>
              <w:t xml:space="preserve">What was wrong with the raw data, and how was it fixed?</w:t>
            </w:r>
          </w:p>
        </w:tc>
      </w:tr>
      <w:tr>
        <w:tc>
          <w:tcPr>
            <w:tcW w:type="dxa" w:w="3200"/>
            <w:shd w:fill="F2F1FB" w:val="clear"/>
            <w:tcMar>
              <w:top w:type="dxa" w:w="80"/>
              <w:left w:type="dxa" w:w="100"/>
              <w:bottom w:type="dxa" w:w="80"/>
              <w:right w:type="dxa" w:w="100"/>
            </w:tcMar>
          </w:tcPr>
          <w:p>
            <w:pPr>
              <w:jc w:val="left"/>
            </w:pPr>
            <w:r>
              <w:rPr>
                <w:b w:val="false"/>
                <w:bCs w:val="false"/>
                <w:color w:val="000000"/>
                <w:sz w:val="20"/>
                <w:szCs w:val="20"/>
              </w:rPr>
              <w:t xml:space="preserve">Business Insights</w:t>
            </w:r>
          </w:p>
        </w:tc>
        <w:tc>
          <w:tcPr>
            <w:tcW w:type="dxa" w:w="6150"/>
            <w:shd w:fill="F2F1FB" w:val="clear"/>
            <w:tcMar>
              <w:top w:type="dxa" w:w="80"/>
              <w:left w:type="dxa" w:w="100"/>
              <w:bottom w:type="dxa" w:w="80"/>
              <w:right w:type="dxa" w:w="100"/>
            </w:tcMar>
          </w:tcPr>
          <w:p>
            <w:pPr>
              <w:jc w:val="left"/>
            </w:pPr>
            <w:r>
              <w:rPr>
                <w:b w:val="false"/>
                <w:bCs w:val="false"/>
                <w:color w:val="000000"/>
                <w:sz w:val="20"/>
                <w:szCs w:val="20"/>
              </w:rPr>
              <w:t xml:space="preserve">What should we actually do about all of this?</w:t>
            </w:r>
          </w:p>
        </w:tc>
      </w:tr>
    </w:tbl>
    <w:p>
      <w:pPr>
        <w:spacing w:after="120"/>
      </w:pPr>
    </w:p>
    <w:p>
      <w:pPr>
        <w:spacing w:after="160" w:line="300"/>
      </w:pPr>
      <w:r>
        <w:rPr>
          <w:i/>
          <w:iCs/>
          <w:color w:val="8B93C4"/>
          <w:sz w:val="22"/>
          <w:szCs w:val="22"/>
        </w:rPr>
        <w:t xml:space="preserve">[ Insert UI screenshots of each dashboard page here before final submission — run the app locally with `streamlit run app.py` and capture each page. ]</w:t>
      </w:r>
    </w:p>
    <w:p>
      <w:pPr>
        <w:pStyle w:val="Heading1"/>
        <w:spacing w:after="200" w:before="400"/>
      </w:pPr>
      <w:r>
        <w:t xml:space="preserve">7.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50"/>
      </w:tblGrid>
      <w:tr>
        <w:trPr>
          <w:tblHeader/>
        </w:trPr>
        <w:tc>
          <w:tcPr>
            <w:tcW w:type="dxa" w:w="2600"/>
            <w:shd w:fill="0B0E24" w:val="clear"/>
            <w:tcMar>
              <w:top w:type="dxa" w:w="80"/>
              <w:left w:type="dxa" w:w="100"/>
              <w:bottom w:type="dxa" w:w="80"/>
              <w:right w:type="dxa" w:w="100"/>
            </w:tcMar>
          </w:tcPr>
          <w:p>
            <w:pPr>
              <w:jc w:val="left"/>
            </w:pPr>
            <w:r>
              <w:rPr>
                <w:b/>
                <w:bCs/>
                <w:color w:val="FFFFFF"/>
                <w:sz w:val="20"/>
                <w:szCs w:val="20"/>
              </w:rPr>
              <w:t xml:space="preserve">Layer</w:t>
            </w:r>
          </w:p>
        </w:tc>
        <w:tc>
          <w:tcPr>
            <w:tcW w:type="dxa" w:w="3300"/>
            <w:shd w:fill="0B0E24" w:val="clear"/>
            <w:tcMar>
              <w:top w:type="dxa" w:w="80"/>
              <w:left w:type="dxa" w:w="100"/>
              <w:bottom w:type="dxa" w:w="80"/>
              <w:right w:type="dxa" w:w="100"/>
            </w:tcMar>
          </w:tcPr>
          <w:p>
            <w:pPr>
              <w:jc w:val="left"/>
            </w:pPr>
            <w:r>
              <w:rPr>
                <w:b/>
                <w:bCs/>
                <w:color w:val="FFFFFF"/>
                <w:sz w:val="20"/>
                <w:szCs w:val="20"/>
              </w:rPr>
              <w:t xml:space="preserve">Technology</w:t>
            </w:r>
          </w:p>
        </w:tc>
        <w:tc>
          <w:tcPr>
            <w:tcW w:type="dxa" w:w="3450"/>
            <w:shd w:fill="0B0E24" w:val="clear"/>
            <w:tcMar>
              <w:top w:type="dxa" w:w="80"/>
              <w:left w:type="dxa" w:w="100"/>
              <w:bottom w:type="dxa" w:w="80"/>
              <w:right w:type="dxa" w:w="100"/>
            </w:tcMar>
          </w:tcPr>
          <w:p>
            <w:pPr>
              <w:jc w:val="left"/>
            </w:pPr>
            <w:r>
              <w:rPr>
                <w:b/>
                <w:bCs/>
                <w:color w:val="FFFFFF"/>
                <w:sz w:val="20"/>
                <w:szCs w:val="20"/>
              </w:rPr>
              <w:t xml:space="preserve">Why</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Data processing</w:t>
            </w:r>
          </w:p>
        </w:tc>
        <w:tc>
          <w:tcPr>
            <w:tcW w:type="dxa" w:w="3300"/>
            <w:tcMar>
              <w:top w:type="dxa" w:w="80"/>
              <w:left w:type="dxa" w:w="100"/>
              <w:bottom w:type="dxa" w:w="80"/>
              <w:right w:type="dxa" w:w="100"/>
            </w:tcMar>
          </w:tcPr>
          <w:p>
            <w:pPr>
              <w:jc w:val="left"/>
            </w:pPr>
            <w:r>
              <w:rPr>
                <w:b w:val="false"/>
                <w:bCs w:val="false"/>
                <w:color w:val="000000"/>
                <w:sz w:val="20"/>
                <w:szCs w:val="20"/>
              </w:rPr>
              <w:t xml:space="preserve">Pandas, NumPy</w:t>
            </w:r>
          </w:p>
        </w:tc>
        <w:tc>
          <w:tcPr>
            <w:tcW w:type="dxa" w:w="3450"/>
            <w:tcMar>
              <w:top w:type="dxa" w:w="80"/>
              <w:left w:type="dxa" w:w="100"/>
              <w:bottom w:type="dxa" w:w="80"/>
              <w:right w:type="dxa" w:w="100"/>
            </w:tcMar>
          </w:tcPr>
          <w:p>
            <w:pPr>
              <w:jc w:val="left"/>
            </w:pPr>
            <w:r>
              <w:rPr>
                <w:b w:val="false"/>
                <w:bCs w:val="false"/>
                <w:color w:val="000000"/>
                <w:sz w:val="20"/>
                <w:szCs w:val="20"/>
              </w:rPr>
              <w:t xml:space="preserve">Industry-standard tabular data manipulation and numerical computing</w:t>
            </w:r>
          </w:p>
        </w:tc>
      </w:tr>
      <w:tr>
        <w:tc>
          <w:tcPr>
            <w:tcW w:type="dxa" w:w="2600"/>
            <w:shd w:fill="F2F1FB" w:val="clear"/>
            <w:tcMar>
              <w:top w:type="dxa" w:w="80"/>
              <w:left w:type="dxa" w:w="100"/>
              <w:bottom w:type="dxa" w:w="80"/>
              <w:right w:type="dxa" w:w="100"/>
            </w:tcMar>
          </w:tcPr>
          <w:p>
            <w:pPr>
              <w:jc w:val="left"/>
            </w:pPr>
            <w:r>
              <w:rPr>
                <w:b w:val="false"/>
                <w:bCs w:val="false"/>
                <w:color w:val="000000"/>
                <w:sz w:val="20"/>
                <w:szCs w:val="20"/>
              </w:rPr>
              <w:t xml:space="preserve">Visualization</w:t>
            </w:r>
          </w:p>
        </w:tc>
        <w:tc>
          <w:tcPr>
            <w:tcW w:type="dxa" w:w="3300"/>
            <w:shd w:fill="F2F1FB" w:val="clear"/>
            <w:tcMar>
              <w:top w:type="dxa" w:w="80"/>
              <w:left w:type="dxa" w:w="100"/>
              <w:bottom w:type="dxa" w:w="80"/>
              <w:right w:type="dxa" w:w="100"/>
            </w:tcMar>
          </w:tcPr>
          <w:p>
            <w:pPr>
              <w:jc w:val="left"/>
            </w:pPr>
            <w:r>
              <w:rPr>
                <w:b w:val="false"/>
                <w:bCs w:val="false"/>
                <w:color w:val="000000"/>
                <w:sz w:val="20"/>
                <w:szCs w:val="20"/>
              </w:rPr>
              <w:t xml:space="preserve">Plotly (Graph Objects + Express)</w:t>
            </w:r>
          </w:p>
        </w:tc>
        <w:tc>
          <w:tcPr>
            <w:tcW w:type="dxa" w:w="3450"/>
            <w:shd w:fill="F2F1FB" w:val="clear"/>
            <w:tcMar>
              <w:top w:type="dxa" w:w="80"/>
              <w:left w:type="dxa" w:w="100"/>
              <w:bottom w:type="dxa" w:w="80"/>
              <w:right w:type="dxa" w:w="100"/>
            </w:tcMar>
          </w:tcPr>
          <w:p>
            <w:pPr>
              <w:jc w:val="left"/>
            </w:pPr>
            <w:r>
              <w:rPr>
                <w:b w:val="false"/>
                <w:bCs w:val="false"/>
                <w:color w:val="000000"/>
                <w:sz w:val="20"/>
                <w:szCs w:val="20"/>
              </w:rPr>
              <w:t xml:space="preserve">Interactive, publication-quality charts with full styling control</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Application / Front-end</w:t>
            </w:r>
          </w:p>
        </w:tc>
        <w:tc>
          <w:tcPr>
            <w:tcW w:type="dxa" w:w="3300"/>
            <w:tcMar>
              <w:top w:type="dxa" w:w="80"/>
              <w:left w:type="dxa" w:w="100"/>
              <w:bottom w:type="dxa" w:w="80"/>
              <w:right w:type="dxa" w:w="100"/>
            </w:tcMar>
          </w:tcPr>
          <w:p>
            <w:pPr>
              <w:jc w:val="left"/>
            </w:pPr>
            <w:r>
              <w:rPr>
                <w:b w:val="false"/>
                <w:bCs w:val="false"/>
                <w:color w:val="000000"/>
                <w:sz w:val="20"/>
                <w:szCs w:val="20"/>
              </w:rPr>
              <w:t xml:space="preserve">Streamlit</w:t>
            </w:r>
          </w:p>
        </w:tc>
        <w:tc>
          <w:tcPr>
            <w:tcW w:type="dxa" w:w="3450"/>
            <w:tcMar>
              <w:top w:type="dxa" w:w="80"/>
              <w:left w:type="dxa" w:w="100"/>
              <w:bottom w:type="dxa" w:w="80"/>
              <w:right w:type="dxa" w:w="100"/>
            </w:tcMar>
          </w:tcPr>
          <w:p>
            <w:pPr>
              <w:jc w:val="left"/>
            </w:pPr>
            <w:r>
              <w:rPr>
                <w:b w:val="false"/>
                <w:bCs w:val="false"/>
                <w:color w:val="000000"/>
                <w:sz w:val="20"/>
                <w:szCs w:val="20"/>
              </w:rPr>
              <w:t xml:space="preserve">Rapid, Python-native interactive dashboard framework</w:t>
            </w:r>
          </w:p>
        </w:tc>
      </w:tr>
      <w:tr>
        <w:tc>
          <w:tcPr>
            <w:tcW w:type="dxa" w:w="2600"/>
            <w:shd w:fill="F2F1FB" w:val="clear"/>
            <w:tcMar>
              <w:top w:type="dxa" w:w="80"/>
              <w:left w:type="dxa" w:w="100"/>
              <w:bottom w:type="dxa" w:w="80"/>
              <w:right w:type="dxa" w:w="100"/>
            </w:tcMar>
          </w:tcPr>
          <w:p>
            <w:pPr>
              <w:jc w:val="left"/>
            </w:pPr>
            <w:r>
              <w:rPr>
                <w:b w:val="false"/>
                <w:bCs w:val="false"/>
                <w:color w:val="000000"/>
                <w:sz w:val="20"/>
                <w:szCs w:val="20"/>
              </w:rPr>
              <w:t xml:space="preserve">Styling</w:t>
            </w:r>
          </w:p>
        </w:tc>
        <w:tc>
          <w:tcPr>
            <w:tcW w:type="dxa" w:w="3300"/>
            <w:shd w:fill="F2F1FB" w:val="clear"/>
            <w:tcMar>
              <w:top w:type="dxa" w:w="80"/>
              <w:left w:type="dxa" w:w="100"/>
              <w:bottom w:type="dxa" w:w="80"/>
              <w:right w:type="dxa" w:w="100"/>
            </w:tcMar>
          </w:tcPr>
          <w:p>
            <w:pPr>
              <w:jc w:val="left"/>
            </w:pPr>
            <w:r>
              <w:rPr>
                <w:b w:val="false"/>
                <w:bCs w:val="false"/>
                <w:color w:val="000000"/>
                <w:sz w:val="20"/>
                <w:szCs w:val="20"/>
              </w:rPr>
              <w:t xml:space="preserve">Custom CSS (Orbitron / Exo 2 / Space Mono)</w:t>
            </w:r>
          </w:p>
        </w:tc>
        <w:tc>
          <w:tcPr>
            <w:tcW w:type="dxa" w:w="3450"/>
            <w:shd w:fill="F2F1FB" w:val="clear"/>
            <w:tcMar>
              <w:top w:type="dxa" w:w="80"/>
              <w:left w:type="dxa" w:w="100"/>
              <w:bottom w:type="dxa" w:w="80"/>
              <w:right w:type="dxa" w:w="100"/>
            </w:tcMar>
          </w:tcPr>
          <w:p>
            <w:pPr>
              <w:jc w:val="left"/>
            </w:pPr>
            <w:r>
              <w:rPr>
                <w:b w:val="false"/>
                <w:bCs w:val="false"/>
                <w:color w:val="000000"/>
                <w:sz w:val="20"/>
                <w:szCs w:val="20"/>
              </w:rPr>
              <w:t xml:space="preserve">A distinctive, professional futuristic visual identity beyond default widgets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Prediction model</w:t>
            </w:r>
          </w:p>
        </w:tc>
        <w:tc>
          <w:tcPr>
            <w:tcW w:type="dxa" w:w="3300"/>
            <w:tcMar>
              <w:top w:type="dxa" w:w="80"/>
              <w:left w:type="dxa" w:w="100"/>
              <w:bottom w:type="dxa" w:w="80"/>
              <w:right w:type="dxa" w:w="100"/>
            </w:tcMar>
          </w:tcPr>
          <w:p>
            <w:pPr>
              <w:jc w:val="left"/>
            </w:pPr>
            <w:r>
              <w:rPr>
                <w:b w:val="false"/>
                <w:bCs w:val="false"/>
                <w:color w:val="000000"/>
                <w:sz w:val="20"/>
                <w:szCs w:val="20"/>
              </w:rPr>
              <w:t xml:space="preserve">None (by design)</w:t>
            </w:r>
          </w:p>
        </w:tc>
        <w:tc>
          <w:tcPr>
            <w:tcW w:type="dxa" w:w="3450"/>
            <w:tcMar>
              <w:top w:type="dxa" w:w="80"/>
              <w:left w:type="dxa" w:w="100"/>
              <w:bottom w:type="dxa" w:w="80"/>
              <w:right w:type="dxa" w:w="100"/>
            </w:tcMar>
          </w:tcPr>
          <w:p>
            <w:pPr>
              <w:jc w:val="left"/>
            </w:pPr>
            <w:r>
              <w:rPr>
                <w:b w:val="false"/>
                <w:bCs w:val="false"/>
                <w:color w:val="000000"/>
                <w:sz w:val="20"/>
                <w:szCs w:val="20"/>
              </w:rPr>
              <w:t xml:space="preserve">Masterclass explicitly allows analysis-only submissions where it best communicates the insight</w:t>
            </w:r>
          </w:p>
        </w:tc>
      </w:tr>
    </w:tbl>
    <w:p>
      <w:pPr>
        <w:pStyle w:val="Heading1"/>
        <w:spacing w:after="200" w:before="400"/>
      </w:pPr>
      <w:r>
        <w:t xml:space="preserve">8. Conclusion</w:t>
      </w:r>
    </w:p>
    <w:p>
      <w:pPr>
        <w:spacing w:after="160" w:line="300"/>
      </w:pPr>
      <w:r>
        <w:rPr>
          <w:sz w:val="22"/>
          <w:szCs w:val="22"/>
        </w:rPr>
        <w:t xml:space="preserve">This project demonstrates the full Business Intelligence loop rather than an isolated set of charts: raw data was audited and transparently cleaned, analyzed at five escalating levels of depth, and turned into five specific, data-grounded recommendations. The dataset's central story — a highly acquisition-dependent customer base sitting on an untapped, high-value repeat-customer opportunity — is the kind of finding that a purely descriptive dashboard would surface as a curiosity, but which this platform's Insight Hierarchy structure turns into an actionable business decision.</w:t>
      </w:r>
    </w:p>
    <w:p>
      <w:pPr>
        <w:spacing w:after="160" w:line="300"/>
      </w:pPr>
      <w:r>
        <w:rPr>
          <w:sz w:val="22"/>
          <w:szCs w:val="22"/>
        </w:rPr>
        <w:t xml:space="preserve">All figures in this report were computed directly from the cleaned dataset by the same functions that power the live dashboard, ensuring the written report and the interactive application never disagree.</w:t>
      </w:r>
    </w:p>
    <w:p>
      <w:pPr>
        <w:pStyle w:val="Heading1"/>
        <w:spacing w:after="200" w:before="400"/>
      </w:pPr>
      <w:r>
        <w:t xml:space="preserve">Appendix — How to Run</w:t>
      </w:r>
    </w:p>
    <w:p>
      <w:pPr>
        <w:spacing w:after="160" w:line="300"/>
      </w:pPr>
      <w:r>
        <w:rPr>
          <w:rFonts w:ascii="Consolas" w:cs="Consolas" w:eastAsia="Consolas" w:hAnsi="Consolas"/>
          <w:sz w:val="22"/>
          <w:szCs w:val="22"/>
        </w:rPr>
        <w:t xml:space="preserve">1.  pip install -r requirements.txt</w:t>
      </w:r>
    </w:p>
    <w:p>
      <w:pPr>
        <w:spacing w:after="160" w:line="300"/>
      </w:pPr>
      <w:r>
        <w:rPr>
          <w:rFonts w:ascii="Consolas" w:cs="Consolas" w:eastAsia="Consolas" w:hAnsi="Consolas"/>
          <w:sz w:val="22"/>
          <w:szCs w:val="22"/>
        </w:rPr>
        <w:t xml:space="preserve">2.  Ensure retail_sales_dataset.csv is in the same folder as app.py</w:t>
      </w:r>
    </w:p>
    <w:p>
      <w:pPr>
        <w:spacing w:after="160" w:line="300"/>
      </w:pPr>
      <w:r>
        <w:rPr>
          <w:rFonts w:ascii="Consolas" w:cs="Consolas" w:eastAsia="Consolas" w:hAnsi="Consolas"/>
          <w:sz w:val="22"/>
          <w:szCs w:val="22"/>
        </w:rPr>
        <w:t xml:space="preserve">3.  streamlit run app.py</w:t>
      </w:r>
    </w:p>
    <w:p>
      <w:pPr>
        <w:spacing w:after="160" w:line="300"/>
      </w:pPr>
      <w:r>
        <w:rPr>
          <w:sz w:val="22"/>
          <w:szCs w:val="22"/>
        </w:rPr>
        <w:t xml:space="preserve">Full setup instructions are in README.md in the project repository.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6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0B0E24"/>
      <w:sz w:val="32"/>
      <w:szCs w:val="32"/>
    </w:rPr>
  </w:style>
  <w:style w:type="paragraph" w:styleId="Heading2">
    <w:name w:val="Heading 2"/>
    <w:basedOn w:val="Normal"/>
    <w:next w:val="Normal"/>
    <w:qFormat/>
    <w:pPr>
      <w:spacing w:after="140" w:before="260"/>
    </w:pPr>
    <w:rPr>
      <w:rFonts w:ascii="Calibri" w:cs="Calibri" w:eastAsia="Calibri" w:hAnsi="Calibri"/>
      <w:b/>
      <w:bCs/>
      <w:color w:val="6D3FB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2026-09-23T08:57:32.485Z</dcterms:created>
  <dcterms:modified xsi:type="dcterms:W3CDTF">2026-09-23T08:57:32.485Z</dcterms:modified>
</cp:coreProperties>
</file>

<file path=docProps/custom.xml><?xml version="1.0" encoding="utf-8"?>
<Properties xmlns="http://schemas.openxmlformats.org/officeDocument/2006/custom-properties" xmlns:vt="http://schemas.openxmlformats.org/officeDocument/2006/docPropsVTypes"/>
</file>