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06F9F">
      <w:pPr>
        <w:pStyle w:val="3"/>
        <w:spacing w:before="0" w:after="240" w:line="259" w:lineRule="auto"/>
      </w:pP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7"/>
        <w:gridCol w:w="9077"/>
      </w:tblGrid>
      <w:tr w14:paraId="7AEBD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atLeast"/>
        </w:trPr>
        <w:tc>
          <w:tcPr>
            <w:tcW w:w="548" w:type="pct"/>
            <w:shd w:val="clear" w:color="auto" w:fill="2F5496" w:themeFill="accent1" w:themeFillShade="BF"/>
            <w:vAlign w:val="center"/>
          </w:tcPr>
          <w:p w14:paraId="2236EF98">
            <w:pPr>
              <w:pStyle w:val="3"/>
              <w:jc w:val="left"/>
              <w:rPr>
                <w:rFonts w:ascii="Aptos ExtraBold" w:hAnsi="Aptos ExtraBold"/>
                <w:sz w:val="48"/>
                <w:szCs w:val="48"/>
              </w:rPr>
            </w:pPr>
          </w:p>
        </w:tc>
        <w:tc>
          <w:tcPr>
            <w:tcW w:w="4452" w:type="pct"/>
            <w:vAlign w:val="center"/>
          </w:tcPr>
          <w:p w14:paraId="309262FA">
            <w:pPr>
              <w:pStyle w:val="3"/>
              <w:spacing w:before="120"/>
              <w:jc w:val="left"/>
              <w:rPr>
                <w:rFonts w:ascii="Aptos ExtraBold" w:hAnsi="Aptos ExtraBold"/>
                <w:sz w:val="48"/>
                <w:szCs w:val="48"/>
              </w:rPr>
            </w:pPr>
            <w:r>
              <w:rPr>
                <w:rFonts w:ascii="Aptos ExtraBold" w:hAnsi="Aptos ExtraBold"/>
                <w:sz w:val="48"/>
                <w:szCs w:val="48"/>
              </w:rPr>
              <w:t>Project Charter</w:t>
            </w:r>
          </w:p>
        </w:tc>
      </w:tr>
    </w:tbl>
    <w:p w14:paraId="43FB7094">
      <w:pPr>
        <w:pStyle w:val="3"/>
      </w:pPr>
    </w:p>
    <w:p w14:paraId="201AC9BD">
      <w:pPr>
        <w:pStyle w:val="3"/>
      </w:pPr>
    </w:p>
    <w:p w14:paraId="3EBA27AF">
      <w:pPr>
        <w:pStyle w:val="3"/>
      </w:pPr>
    </w:p>
    <w:p w14:paraId="06913E1E">
      <w:pPr>
        <w:pStyle w:val="59"/>
        <w:rPr>
          <w:bCs/>
          <w:i/>
          <w:iCs/>
          <w:sz w:val="28"/>
          <w:szCs w:val="24"/>
        </w:rPr>
      </w:pPr>
      <w:r>
        <w:rPr>
          <w:b/>
          <w:sz w:val="28"/>
          <w:szCs w:val="24"/>
        </w:rPr>
        <w:t>Project Name: Maternity Stream System (MSS) — Pilot Project</w:t>
      </w:r>
    </w:p>
    <w:p w14:paraId="0D08BAB3">
      <w:pPr>
        <w:pStyle w:val="59"/>
        <w:rPr>
          <w:rFonts w:hint="default"/>
          <w:bCs/>
          <w:i/>
          <w:iCs/>
          <w:sz w:val="28"/>
          <w:szCs w:val="24"/>
          <w:lang w:val="en-US"/>
        </w:rPr>
      </w:pPr>
      <w:r>
        <w:rPr>
          <w:b/>
          <w:sz w:val="28"/>
          <w:szCs w:val="24"/>
        </w:rPr>
        <w:t>Organi</w:t>
      </w:r>
      <w:r>
        <w:rPr>
          <w:rFonts w:hint="default"/>
          <w:b/>
          <w:sz w:val="28"/>
          <w:szCs w:val="24"/>
          <w:lang w:val="en-US"/>
        </w:rPr>
        <w:t>z</w:t>
      </w:r>
      <w:r>
        <w:rPr>
          <w:b/>
          <w:sz w:val="28"/>
          <w:szCs w:val="24"/>
        </w:rPr>
        <w:t>ation: Maternity Stream Internationa</w:t>
      </w:r>
      <w:r>
        <w:rPr>
          <w:rFonts w:hint="default"/>
          <w:b/>
          <w:sz w:val="28"/>
          <w:szCs w:val="24"/>
          <w:lang w:val="en-US"/>
        </w:rPr>
        <w:t>l</w:t>
      </w:r>
    </w:p>
    <w:p w14:paraId="22EF288A">
      <w:pPr>
        <w:pStyle w:val="59"/>
        <w:rPr>
          <w:bCs/>
          <w:i/>
          <w:iCs/>
          <w:sz w:val="28"/>
          <w:szCs w:val="24"/>
        </w:rPr>
      </w:pPr>
    </w:p>
    <w:p w14:paraId="4BF302DC">
      <w:pPr>
        <w:pStyle w:val="59"/>
        <w:rPr>
          <w:b/>
          <w:i/>
          <w:iCs/>
          <w:sz w:val="28"/>
          <w:szCs w:val="24"/>
        </w:rPr>
      </w:pPr>
      <w:r>
        <w:rPr>
          <w:b/>
          <w:sz w:val="28"/>
          <w:szCs w:val="24"/>
        </w:rPr>
        <w:t>Description:</w:t>
      </w:r>
      <w:r>
        <w:rPr>
          <w:bCs/>
          <w:i/>
          <w:iCs/>
          <w:sz w:val="28"/>
          <w:szCs w:val="24"/>
        </w:rPr>
        <w:t xml:space="preserve"> </w:t>
      </w:r>
      <w:r>
        <w:rPr>
          <w:rFonts w:hint="default"/>
          <w:bCs/>
          <w:i/>
          <w:iCs/>
          <w:sz w:val="28"/>
          <w:szCs w:val="24"/>
        </w:rPr>
        <w:t>The Maternity Stream System (MSS) is a Healthcare SaaS Pilot Project for Maternity Stream International (MSI), delivering telehealth, pathology, imaging, and pharmacy services to expectant mothers across Perth, Rockingham, and Mandurah — including regional, Aboriginal, and CALD communities. The project comprises three sub-projects: MSS software development (Sub-Project I), network and infrastructure rollout (Sub-Project II), and data migration (Sub-Project III), to be delivered as a one-year Pilot ahead of potential wider rollout.</w:t>
      </w:r>
    </w:p>
    <w:p w14:paraId="44C18BC3">
      <w:pPr>
        <w:pStyle w:val="3"/>
      </w:pPr>
    </w:p>
    <w:p w14:paraId="501B8983">
      <w:pPr>
        <w:pStyle w:val="3"/>
      </w:pPr>
    </w:p>
    <w:p w14:paraId="4B773FFB">
      <w:pPr>
        <w:pStyle w:val="3"/>
      </w:pPr>
    </w:p>
    <w:p w14:paraId="38DE4E69">
      <w:pPr>
        <w:pStyle w:val="3"/>
      </w:pPr>
    </w:p>
    <w:p w14:paraId="4372DDE6">
      <w:pPr>
        <w:pStyle w:val="3"/>
      </w:pPr>
    </w:p>
    <w:p w14:paraId="28B78C89">
      <w:pPr>
        <w:pStyle w:val="3"/>
      </w:pPr>
    </w:p>
    <w:p w14:paraId="24971E4A">
      <w:pPr>
        <w:pStyle w:val="3"/>
      </w:pP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7AD10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471D167">
            <w:pPr>
              <w:pStyle w:val="59"/>
              <w:rPr>
                <w:sz w:val="32"/>
                <w:szCs w:val="32"/>
              </w:rPr>
            </w:pPr>
            <w:r>
              <w:rPr>
                <w:b/>
                <w:bCs/>
                <w:sz w:val="28"/>
                <w:szCs w:val="28"/>
              </w:rPr>
              <w:t>Created By:</w:t>
            </w:r>
          </w:p>
          <w:p w14:paraId="2D7B3210">
            <w:pPr>
              <w:pStyle w:val="59"/>
              <w:rPr>
                <w:rFonts w:hint="default"/>
                <w:sz w:val="28"/>
                <w:szCs w:val="28"/>
                <w:lang w:val="en-US"/>
              </w:rPr>
            </w:pPr>
            <w:r>
              <w:rPr>
                <w:sz w:val="28"/>
                <w:szCs w:val="28"/>
              </w:rPr>
              <w:t xml:space="preserve">Student </w:t>
            </w:r>
            <w:r>
              <w:rPr>
                <w:rFonts w:hint="default"/>
                <w:sz w:val="28"/>
                <w:szCs w:val="28"/>
                <w:lang w:val="en-US"/>
              </w:rPr>
              <w:t>Vaasu</w:t>
            </w:r>
            <w:r>
              <w:rPr>
                <w:sz w:val="28"/>
                <w:szCs w:val="28"/>
              </w:rPr>
              <w:t xml:space="preserve"> </w:t>
            </w:r>
            <w:r>
              <w:rPr>
                <w:rFonts w:hint="default"/>
                <w:sz w:val="28"/>
                <w:szCs w:val="28"/>
                <w:lang w:val="en-US"/>
              </w:rPr>
              <w:t>Goyal (35844851)</w:t>
            </w:r>
          </w:p>
          <w:p w14:paraId="13AD4F8A">
            <w:pPr>
              <w:pStyle w:val="59"/>
              <w:rPr>
                <w:sz w:val="28"/>
                <w:szCs w:val="28"/>
              </w:rPr>
            </w:pPr>
          </w:p>
        </w:tc>
      </w:tr>
    </w:tbl>
    <w:p w14:paraId="6261EADE">
      <w:pPr>
        <w:pStyle w:val="3"/>
        <w:rPr>
          <w:color w:val="0000FF"/>
        </w:rPr>
      </w:pPr>
    </w:p>
    <w:p w14:paraId="5A7EA67C">
      <w:pPr>
        <w:pStyle w:val="3"/>
        <w:rPr>
          <w:color w:val="0000FF"/>
        </w:rPr>
      </w:pPr>
    </w:p>
    <w:p w14:paraId="565C2E54">
      <w:pPr>
        <w:pStyle w:val="3"/>
        <w:rPr>
          <w:color w:val="0000FF"/>
        </w:rPr>
      </w:pPr>
    </w:p>
    <w:p w14:paraId="617C2309">
      <w:pPr>
        <w:pStyle w:val="3"/>
      </w:pPr>
    </w:p>
    <w:p w14:paraId="361F86CF">
      <w:pPr>
        <w:pStyle w:val="3"/>
      </w:pPr>
    </w:p>
    <w:p w14:paraId="3B39B0A4">
      <w:pPr>
        <w:pStyle w:val="3"/>
      </w:pPr>
    </w:p>
    <w:p w14:paraId="04F0D4EB">
      <w:pPr>
        <w:pStyle w:val="3"/>
      </w:pPr>
    </w:p>
    <w:p w14:paraId="1A6401E6">
      <w:pPr>
        <w:pStyle w:val="3"/>
      </w:pPr>
    </w:p>
    <w:sdt>
      <w:sdtPr>
        <w:rPr>
          <w:rFonts w:ascii="Times New Roman" w:hAnsi="Times New Roman" w:cs="Times New Roman" w:eastAsiaTheme="minorHAnsi"/>
          <w:color w:val="auto"/>
          <w:sz w:val="24"/>
          <w:szCs w:val="24"/>
          <w:lang w:val="en-AU"/>
        </w:rPr>
        <w:id w:val="949826630"/>
        <w:docPartObj>
          <w:docPartGallery w:val="Table of Contents"/>
          <w:docPartUnique/>
        </w:docPartObj>
      </w:sdtPr>
      <w:sdtEndPr>
        <w:rPr>
          <w:rFonts w:ascii="Times New Roman" w:hAnsi="Times New Roman" w:cs="Times New Roman" w:eastAsiaTheme="minorHAnsi"/>
          <w:b/>
          <w:bCs/>
          <w:color w:val="auto"/>
          <w:sz w:val="24"/>
          <w:szCs w:val="24"/>
          <w:lang w:val="en-AU"/>
        </w:rPr>
      </w:sdtEndPr>
      <w:sdtContent>
        <w:p w14:paraId="7C1E548E">
          <w:pPr>
            <w:pStyle w:val="61"/>
            <w:rPr>
              <w:b/>
              <w:bCs/>
            </w:rPr>
          </w:pPr>
          <w:r>
            <w:rPr>
              <w:b/>
              <w:bCs/>
            </w:rPr>
            <w:t>Table of Contents</w:t>
          </w:r>
        </w:p>
        <w:p w14:paraId="2C156A50">
          <w:pPr>
            <w:pStyle w:val="34"/>
            <w:tabs>
              <w:tab w:val="left" w:pos="480"/>
              <w:tab w:val="right" w:leader="dot" w:pos="9968"/>
            </w:tabs>
            <w:rPr>
              <w:rFonts w:asciiTheme="minorHAnsi" w:hAnsiTheme="minorHAnsi" w:eastAsiaTheme="minorEastAsia" w:cstheme="minorBidi"/>
              <w:kern w:val="2"/>
              <w:lang w:eastAsia="en-AU"/>
              <w14:ligatures w14:val="standardContextual"/>
            </w:rPr>
          </w:pPr>
          <w:r>
            <w:fldChar w:fldCharType="begin"/>
          </w:r>
          <w:r>
            <w:instrText xml:space="preserve"> TOC \o "1-3" \h \z \u </w:instrText>
          </w:r>
          <w:r>
            <w:fldChar w:fldCharType="separate"/>
          </w:r>
          <w:r>
            <w:fldChar w:fldCharType="begin"/>
          </w:r>
          <w:r>
            <w:instrText xml:space="preserve"> HYPERLINK \l "_Toc218970113" </w:instrText>
          </w:r>
          <w:r>
            <w:fldChar w:fldCharType="separate"/>
          </w:r>
          <w:r>
            <w:rPr>
              <w:rStyle w:val="23"/>
            </w:rPr>
            <w:t>1</w:t>
          </w:r>
          <w:r>
            <w:rPr>
              <w:rFonts w:asciiTheme="minorHAnsi" w:hAnsiTheme="minorHAnsi" w:eastAsiaTheme="minorEastAsia" w:cstheme="minorBidi"/>
              <w:kern w:val="2"/>
              <w:lang w:eastAsia="en-AU"/>
              <w14:ligatures w14:val="standardContextual"/>
            </w:rPr>
            <w:tab/>
          </w:r>
          <w:r>
            <w:rPr>
              <w:rStyle w:val="23"/>
            </w:rPr>
            <w:t>General Project Information</w:t>
          </w:r>
          <w:r>
            <w:tab/>
          </w:r>
          <w:r>
            <w:fldChar w:fldCharType="begin"/>
          </w:r>
          <w:r>
            <w:instrText xml:space="preserve"> PAGEREF _Toc218970113 \h </w:instrText>
          </w:r>
          <w:r>
            <w:fldChar w:fldCharType="separate"/>
          </w:r>
          <w:r>
            <w:t>3</w:t>
          </w:r>
          <w:r>
            <w:fldChar w:fldCharType="end"/>
          </w:r>
          <w:r>
            <w:fldChar w:fldCharType="end"/>
          </w:r>
        </w:p>
        <w:p w14:paraId="4C9C54C8">
          <w:pPr>
            <w:pStyle w:val="34"/>
            <w:tabs>
              <w:tab w:val="left" w:pos="480"/>
              <w:tab w:val="right" w:leader="dot" w:pos="9968"/>
            </w:tabs>
            <w:rPr>
              <w:rFonts w:asciiTheme="minorHAnsi" w:hAnsiTheme="minorHAnsi" w:eastAsiaTheme="minorEastAsia" w:cstheme="minorBidi"/>
              <w:kern w:val="2"/>
              <w:lang w:eastAsia="en-AU"/>
              <w14:ligatures w14:val="standardContextual"/>
            </w:rPr>
          </w:pPr>
          <w:r>
            <w:fldChar w:fldCharType="begin"/>
          </w:r>
          <w:r>
            <w:instrText xml:space="preserve"> HYPERLINK \l "_Toc218970114" </w:instrText>
          </w:r>
          <w:r>
            <w:fldChar w:fldCharType="separate"/>
          </w:r>
          <w:r>
            <w:rPr>
              <w:rStyle w:val="23"/>
            </w:rPr>
            <w:t>2</w:t>
          </w:r>
          <w:r>
            <w:rPr>
              <w:rFonts w:asciiTheme="minorHAnsi" w:hAnsiTheme="minorHAnsi" w:eastAsiaTheme="minorEastAsia" w:cstheme="minorBidi"/>
              <w:kern w:val="2"/>
              <w:lang w:eastAsia="en-AU"/>
              <w14:ligatures w14:val="standardContextual"/>
            </w:rPr>
            <w:tab/>
          </w:r>
          <w:r>
            <w:rPr>
              <w:rStyle w:val="23"/>
            </w:rPr>
            <w:t>Project Scope Statement</w:t>
          </w:r>
          <w:r>
            <w:tab/>
          </w:r>
          <w:r>
            <w:fldChar w:fldCharType="begin"/>
          </w:r>
          <w:r>
            <w:instrText xml:space="preserve"> PAGEREF _Toc218970114 \h </w:instrText>
          </w:r>
          <w:r>
            <w:fldChar w:fldCharType="separate"/>
          </w:r>
          <w:r>
            <w:t>3</w:t>
          </w:r>
          <w:r>
            <w:fldChar w:fldCharType="end"/>
          </w:r>
          <w:r>
            <w:fldChar w:fldCharType="end"/>
          </w:r>
        </w:p>
        <w:p w14:paraId="246D4EB4">
          <w:pPr>
            <w:pStyle w:val="34"/>
            <w:tabs>
              <w:tab w:val="left" w:pos="480"/>
              <w:tab w:val="right" w:leader="dot" w:pos="9968"/>
            </w:tabs>
            <w:rPr>
              <w:rFonts w:asciiTheme="minorHAnsi" w:hAnsiTheme="minorHAnsi" w:eastAsiaTheme="minorEastAsia" w:cstheme="minorBidi"/>
              <w:kern w:val="2"/>
              <w:lang w:eastAsia="en-AU"/>
              <w14:ligatures w14:val="standardContextual"/>
            </w:rPr>
          </w:pPr>
          <w:r>
            <w:fldChar w:fldCharType="begin"/>
          </w:r>
          <w:r>
            <w:instrText xml:space="preserve"> HYPERLINK \l "_Toc218970115" </w:instrText>
          </w:r>
          <w:r>
            <w:fldChar w:fldCharType="separate"/>
          </w:r>
          <w:r>
            <w:rPr>
              <w:rStyle w:val="23"/>
              <w:lang w:val="en-GB"/>
            </w:rPr>
            <w:t>3</w:t>
          </w:r>
          <w:r>
            <w:rPr>
              <w:rFonts w:asciiTheme="minorHAnsi" w:hAnsiTheme="minorHAnsi" w:eastAsiaTheme="minorEastAsia" w:cstheme="minorBidi"/>
              <w:kern w:val="2"/>
              <w:lang w:eastAsia="en-AU"/>
              <w14:ligatures w14:val="standardContextual"/>
            </w:rPr>
            <w:tab/>
          </w:r>
          <w:r>
            <w:rPr>
              <w:rStyle w:val="23"/>
              <w:lang w:val="en-GB"/>
            </w:rPr>
            <w:t>Cost Estimate</w:t>
          </w:r>
          <w:r>
            <w:tab/>
          </w:r>
          <w:r>
            <w:fldChar w:fldCharType="begin"/>
          </w:r>
          <w:r>
            <w:instrText xml:space="preserve"> PAGEREF _Toc218970115 \h </w:instrText>
          </w:r>
          <w:r>
            <w:fldChar w:fldCharType="separate"/>
          </w:r>
          <w:r>
            <w:t>4</w:t>
          </w:r>
          <w:r>
            <w:fldChar w:fldCharType="end"/>
          </w:r>
          <w:r>
            <w:fldChar w:fldCharType="end"/>
          </w:r>
        </w:p>
        <w:p w14:paraId="10712543">
          <w:pPr>
            <w:pStyle w:val="34"/>
            <w:tabs>
              <w:tab w:val="left" w:pos="480"/>
              <w:tab w:val="right" w:leader="dot" w:pos="9968"/>
            </w:tabs>
            <w:rPr>
              <w:rFonts w:asciiTheme="minorHAnsi" w:hAnsiTheme="minorHAnsi" w:eastAsiaTheme="minorEastAsia" w:cstheme="minorBidi"/>
              <w:kern w:val="2"/>
              <w:lang w:eastAsia="en-AU"/>
              <w14:ligatures w14:val="standardContextual"/>
            </w:rPr>
          </w:pPr>
          <w:r>
            <w:fldChar w:fldCharType="begin"/>
          </w:r>
          <w:r>
            <w:instrText xml:space="preserve"> HYPERLINK \l "_Toc218970116" </w:instrText>
          </w:r>
          <w:r>
            <w:fldChar w:fldCharType="separate"/>
          </w:r>
          <w:r>
            <w:rPr>
              <w:rStyle w:val="23"/>
              <w:lang w:val="en-GB"/>
            </w:rPr>
            <w:t>4</w:t>
          </w:r>
          <w:r>
            <w:rPr>
              <w:rFonts w:asciiTheme="minorHAnsi" w:hAnsiTheme="minorHAnsi" w:eastAsiaTheme="minorEastAsia" w:cstheme="minorBidi"/>
              <w:kern w:val="2"/>
              <w:lang w:eastAsia="en-AU"/>
              <w14:ligatures w14:val="standardContextual"/>
            </w:rPr>
            <w:tab/>
          </w:r>
          <w:r>
            <w:rPr>
              <w:rStyle w:val="23"/>
              <w:lang w:val="en-GB"/>
            </w:rPr>
            <w:t>Project Timeline</w:t>
          </w:r>
          <w:r>
            <w:tab/>
          </w:r>
          <w:r>
            <w:fldChar w:fldCharType="begin"/>
          </w:r>
          <w:r>
            <w:instrText xml:space="preserve"> PAGEREF _Toc218970116 \h </w:instrText>
          </w:r>
          <w:r>
            <w:fldChar w:fldCharType="separate"/>
          </w:r>
          <w:r>
            <w:t>4</w:t>
          </w:r>
          <w:r>
            <w:fldChar w:fldCharType="end"/>
          </w:r>
          <w:r>
            <w:fldChar w:fldCharType="end"/>
          </w:r>
        </w:p>
        <w:p w14:paraId="5FAF34F5">
          <w:pPr>
            <w:pStyle w:val="34"/>
            <w:tabs>
              <w:tab w:val="left" w:pos="480"/>
              <w:tab w:val="right" w:leader="dot" w:pos="9968"/>
            </w:tabs>
            <w:rPr>
              <w:rFonts w:asciiTheme="minorHAnsi" w:hAnsiTheme="minorHAnsi" w:eastAsiaTheme="minorEastAsia" w:cstheme="minorBidi"/>
              <w:kern w:val="2"/>
              <w:lang w:eastAsia="en-AU"/>
              <w14:ligatures w14:val="standardContextual"/>
            </w:rPr>
          </w:pPr>
          <w:r>
            <w:fldChar w:fldCharType="begin"/>
          </w:r>
          <w:r>
            <w:instrText xml:space="preserve"> HYPERLINK \l "_Toc218970117" </w:instrText>
          </w:r>
          <w:r>
            <w:fldChar w:fldCharType="separate"/>
          </w:r>
          <w:r>
            <w:rPr>
              <w:rStyle w:val="23"/>
            </w:rPr>
            <w:t>5</w:t>
          </w:r>
          <w:r>
            <w:rPr>
              <w:rFonts w:asciiTheme="minorHAnsi" w:hAnsiTheme="minorHAnsi" w:eastAsiaTheme="minorEastAsia" w:cstheme="minorBidi"/>
              <w:kern w:val="2"/>
              <w:lang w:eastAsia="en-AU"/>
              <w14:ligatures w14:val="standardContextual"/>
            </w:rPr>
            <w:tab/>
          </w:r>
          <w:r>
            <w:rPr>
              <w:rStyle w:val="23"/>
            </w:rPr>
            <w:t>Project Stakeholders</w:t>
          </w:r>
          <w:r>
            <w:tab/>
          </w:r>
          <w:r>
            <w:fldChar w:fldCharType="begin"/>
          </w:r>
          <w:r>
            <w:instrText xml:space="preserve"> PAGEREF _Toc218970117 \h </w:instrText>
          </w:r>
          <w:r>
            <w:fldChar w:fldCharType="separate"/>
          </w:r>
          <w:r>
            <w:t>5</w:t>
          </w:r>
          <w:r>
            <w:fldChar w:fldCharType="end"/>
          </w:r>
          <w:r>
            <w:fldChar w:fldCharType="end"/>
          </w:r>
        </w:p>
        <w:p w14:paraId="5F8F8EFE">
          <w:pPr>
            <w:pStyle w:val="34"/>
            <w:tabs>
              <w:tab w:val="left" w:pos="480"/>
              <w:tab w:val="right" w:leader="dot" w:pos="9968"/>
            </w:tabs>
            <w:rPr>
              <w:rFonts w:asciiTheme="minorHAnsi" w:hAnsiTheme="minorHAnsi" w:eastAsiaTheme="minorEastAsia" w:cstheme="minorBidi"/>
              <w:kern w:val="2"/>
              <w:lang w:eastAsia="en-AU"/>
              <w14:ligatures w14:val="standardContextual"/>
            </w:rPr>
          </w:pPr>
          <w:r>
            <w:fldChar w:fldCharType="begin"/>
          </w:r>
          <w:r>
            <w:instrText xml:space="preserve"> HYPERLINK \l "_Toc218970118" </w:instrText>
          </w:r>
          <w:r>
            <w:fldChar w:fldCharType="separate"/>
          </w:r>
          <w:r>
            <w:rPr>
              <w:rStyle w:val="23"/>
            </w:rPr>
            <w:t>6</w:t>
          </w:r>
          <w:r>
            <w:rPr>
              <w:rFonts w:asciiTheme="minorHAnsi" w:hAnsiTheme="minorHAnsi" w:eastAsiaTheme="minorEastAsia" w:cstheme="minorBidi"/>
              <w:kern w:val="2"/>
              <w:lang w:eastAsia="en-AU"/>
              <w14:ligatures w14:val="standardContextual"/>
            </w:rPr>
            <w:tab/>
          </w:r>
          <w:r>
            <w:rPr>
              <w:rStyle w:val="23"/>
            </w:rPr>
            <w:t>Project Ethical and Sustainability Considerations</w:t>
          </w:r>
          <w:r>
            <w:tab/>
          </w:r>
          <w:r>
            <w:fldChar w:fldCharType="begin"/>
          </w:r>
          <w:r>
            <w:instrText xml:space="preserve"> PAGEREF _Toc218970118 \h </w:instrText>
          </w:r>
          <w:r>
            <w:fldChar w:fldCharType="separate"/>
          </w:r>
          <w:r>
            <w:t>5</w:t>
          </w:r>
          <w:r>
            <w:fldChar w:fldCharType="end"/>
          </w:r>
          <w:r>
            <w:fldChar w:fldCharType="end"/>
          </w:r>
        </w:p>
        <w:p w14:paraId="216D8702">
          <w:pPr>
            <w:pStyle w:val="34"/>
            <w:tabs>
              <w:tab w:val="left" w:pos="480"/>
              <w:tab w:val="right" w:leader="dot" w:pos="9968"/>
            </w:tabs>
            <w:rPr>
              <w:rFonts w:asciiTheme="minorHAnsi" w:hAnsiTheme="minorHAnsi" w:eastAsiaTheme="minorEastAsia" w:cstheme="minorBidi"/>
              <w:kern w:val="2"/>
              <w:lang w:eastAsia="en-AU"/>
              <w14:ligatures w14:val="standardContextual"/>
            </w:rPr>
          </w:pPr>
          <w:r>
            <w:fldChar w:fldCharType="begin"/>
          </w:r>
          <w:r>
            <w:instrText xml:space="preserve"> HYPERLINK \l "_Toc218970119" </w:instrText>
          </w:r>
          <w:r>
            <w:fldChar w:fldCharType="separate"/>
          </w:r>
          <w:r>
            <w:rPr>
              <w:rStyle w:val="23"/>
            </w:rPr>
            <w:t>7</w:t>
          </w:r>
          <w:r>
            <w:rPr>
              <w:rFonts w:asciiTheme="minorHAnsi" w:hAnsiTheme="minorHAnsi" w:eastAsiaTheme="minorEastAsia" w:cstheme="minorBidi"/>
              <w:kern w:val="2"/>
              <w:lang w:eastAsia="en-AU"/>
              <w14:ligatures w14:val="standardContextual"/>
            </w:rPr>
            <w:tab/>
          </w:r>
          <w:r>
            <w:rPr>
              <w:rStyle w:val="23"/>
            </w:rPr>
            <w:t>Assumptions, Constraints, and Potential Risk</w:t>
          </w:r>
          <w:r>
            <w:tab/>
          </w:r>
          <w:r>
            <w:fldChar w:fldCharType="begin"/>
          </w:r>
          <w:r>
            <w:instrText xml:space="preserve"> PAGEREF _Toc218970119 \h </w:instrText>
          </w:r>
          <w:r>
            <w:fldChar w:fldCharType="separate"/>
          </w:r>
          <w:r>
            <w:t>7</w:t>
          </w:r>
          <w:r>
            <w:fldChar w:fldCharType="end"/>
          </w:r>
          <w:r>
            <w:fldChar w:fldCharType="end"/>
          </w:r>
        </w:p>
        <w:p w14:paraId="01E11E50">
          <w:pPr>
            <w:pStyle w:val="34"/>
            <w:tabs>
              <w:tab w:val="left" w:pos="480"/>
              <w:tab w:val="right" w:leader="dot" w:pos="9968"/>
            </w:tabs>
            <w:rPr>
              <w:rFonts w:asciiTheme="minorHAnsi" w:hAnsiTheme="minorHAnsi" w:eastAsiaTheme="minorEastAsia" w:cstheme="minorBidi"/>
              <w:kern w:val="2"/>
              <w:lang w:eastAsia="en-AU"/>
              <w14:ligatures w14:val="standardContextual"/>
            </w:rPr>
          </w:pPr>
          <w:r>
            <w:fldChar w:fldCharType="begin"/>
          </w:r>
          <w:r>
            <w:instrText xml:space="preserve"> HYPERLINK \l "_Toc218970120" </w:instrText>
          </w:r>
          <w:r>
            <w:fldChar w:fldCharType="separate"/>
          </w:r>
          <w:r>
            <w:rPr>
              <w:rStyle w:val="23"/>
              <w:lang w:val="en-GB"/>
            </w:rPr>
            <w:t>8</w:t>
          </w:r>
          <w:r>
            <w:rPr>
              <w:rFonts w:asciiTheme="minorHAnsi" w:hAnsiTheme="minorHAnsi" w:eastAsiaTheme="minorEastAsia" w:cstheme="minorBidi"/>
              <w:kern w:val="2"/>
              <w:lang w:eastAsia="en-AU"/>
              <w14:ligatures w14:val="standardContextual"/>
            </w:rPr>
            <w:tab/>
          </w:r>
          <w:r>
            <w:rPr>
              <w:rStyle w:val="23"/>
              <w:lang w:val="en-GB"/>
            </w:rPr>
            <w:t>Sign-Off</w:t>
          </w:r>
          <w:r>
            <w:tab/>
          </w:r>
          <w:r>
            <w:fldChar w:fldCharType="begin"/>
          </w:r>
          <w:r>
            <w:instrText xml:space="preserve"> PAGEREF _Toc218970120 \h </w:instrText>
          </w:r>
          <w:r>
            <w:fldChar w:fldCharType="separate"/>
          </w:r>
          <w:r>
            <w:t>7</w:t>
          </w:r>
          <w:r>
            <w:fldChar w:fldCharType="end"/>
          </w:r>
          <w:r>
            <w:fldChar w:fldCharType="end"/>
          </w:r>
        </w:p>
        <w:p w14:paraId="34549A96">
          <w:pPr>
            <w:pStyle w:val="34"/>
            <w:tabs>
              <w:tab w:val="left" w:pos="480"/>
              <w:tab w:val="right" w:leader="dot" w:pos="9968"/>
            </w:tabs>
            <w:rPr>
              <w:rFonts w:asciiTheme="minorHAnsi" w:hAnsiTheme="minorHAnsi" w:eastAsiaTheme="minorEastAsia" w:cstheme="minorBidi"/>
              <w:kern w:val="2"/>
              <w:lang w:eastAsia="en-AU"/>
              <w14:ligatures w14:val="standardContextual"/>
            </w:rPr>
          </w:pPr>
          <w:r>
            <w:fldChar w:fldCharType="begin"/>
          </w:r>
          <w:r>
            <w:instrText xml:space="preserve"> HYPERLINK \l "_Toc218970121" </w:instrText>
          </w:r>
          <w:r>
            <w:fldChar w:fldCharType="separate"/>
          </w:r>
          <w:r>
            <w:rPr>
              <w:rStyle w:val="23"/>
            </w:rPr>
            <w:t>9</w:t>
          </w:r>
          <w:r>
            <w:rPr>
              <w:rFonts w:asciiTheme="minorHAnsi" w:hAnsiTheme="minorHAnsi" w:eastAsiaTheme="minorEastAsia" w:cstheme="minorBidi"/>
              <w:kern w:val="2"/>
              <w:lang w:eastAsia="en-AU"/>
              <w14:ligatures w14:val="standardContextual"/>
            </w:rPr>
            <w:tab/>
          </w:r>
          <w:r>
            <w:rPr>
              <w:rStyle w:val="23"/>
            </w:rPr>
            <w:t>Definitions and Acronyms</w:t>
          </w:r>
          <w:r>
            <w:tab/>
          </w:r>
          <w:r>
            <w:fldChar w:fldCharType="begin"/>
          </w:r>
          <w:r>
            <w:instrText xml:space="preserve"> PAGEREF _Toc218970121 \h </w:instrText>
          </w:r>
          <w:r>
            <w:fldChar w:fldCharType="separate"/>
          </w:r>
          <w:r>
            <w:t>8</w:t>
          </w:r>
          <w:r>
            <w:fldChar w:fldCharType="end"/>
          </w:r>
          <w:r>
            <w:fldChar w:fldCharType="end"/>
          </w:r>
        </w:p>
        <w:p w14:paraId="6F3482B2">
          <w:r>
            <w:rPr>
              <w:b/>
              <w:bCs/>
            </w:rPr>
            <w:fldChar w:fldCharType="end"/>
          </w:r>
        </w:p>
      </w:sdtContent>
    </w:sdt>
    <w:p w14:paraId="4C86EAE9">
      <w:pPr>
        <w:rPr>
          <w:color w:val="0000FF"/>
        </w:rPr>
      </w:pPr>
    </w:p>
    <w:p w14:paraId="6EEEDD69">
      <w:pPr>
        <w:pStyle w:val="3"/>
      </w:pPr>
    </w:p>
    <w:p w14:paraId="5CB0ED25">
      <w:pPr>
        <w:pStyle w:val="3"/>
      </w:pPr>
    </w:p>
    <w:p w14:paraId="0A8682C8">
      <w:pPr>
        <w:pStyle w:val="3"/>
      </w:pPr>
    </w:p>
    <w:p w14:paraId="6553DA11">
      <w:pPr>
        <w:pStyle w:val="3"/>
      </w:pPr>
    </w:p>
    <w:p w14:paraId="78A0E03C">
      <w:pPr>
        <w:pStyle w:val="3"/>
      </w:pPr>
    </w:p>
    <w:p w14:paraId="4ED04158">
      <w:pPr>
        <w:pStyle w:val="3"/>
      </w:pPr>
    </w:p>
    <w:p w14:paraId="7168C584">
      <w:pPr>
        <w:pStyle w:val="3"/>
      </w:pPr>
    </w:p>
    <w:p w14:paraId="3DAD1B55">
      <w:pPr>
        <w:pStyle w:val="3"/>
      </w:pPr>
    </w:p>
    <w:p w14:paraId="21AF88D7">
      <w:pPr>
        <w:pStyle w:val="3"/>
      </w:pPr>
    </w:p>
    <w:p w14:paraId="4994D867">
      <w:pPr>
        <w:pStyle w:val="3"/>
      </w:pPr>
    </w:p>
    <w:p w14:paraId="79DC0362">
      <w:pPr>
        <w:pStyle w:val="3"/>
      </w:pPr>
    </w:p>
    <w:p w14:paraId="6AF589E3">
      <w:pPr>
        <w:pStyle w:val="3"/>
      </w:pPr>
    </w:p>
    <w:p w14:paraId="6DA6981B">
      <w:pPr>
        <w:pStyle w:val="3"/>
      </w:pPr>
    </w:p>
    <w:p w14:paraId="7220C60B">
      <w:pPr>
        <w:pStyle w:val="3"/>
      </w:pPr>
    </w:p>
    <w:p w14:paraId="230B64D4">
      <w:pPr>
        <w:pStyle w:val="3"/>
      </w:pPr>
    </w:p>
    <w:p w14:paraId="1D2D4BD4">
      <w:pPr>
        <w:pStyle w:val="3"/>
      </w:pPr>
    </w:p>
    <w:p w14:paraId="2CF6EE99">
      <w:pPr>
        <w:pStyle w:val="3"/>
      </w:pPr>
    </w:p>
    <w:p w14:paraId="3469A9E9">
      <w:pPr>
        <w:pStyle w:val="2"/>
        <w:shd w:val="clear" w:color="auto" w:fill="4472C4" w:themeFill="accent1"/>
        <w:rPr>
          <w:color w:val="E7E6E6" w:themeColor="background2"/>
          <w14:textFill>
            <w14:solidFill>
              <w14:schemeClr w14:val="bg2"/>
            </w14:solidFill>
          </w14:textFill>
        </w:rPr>
      </w:pPr>
      <w:bookmarkStart w:id="0" w:name="_Toc218970113"/>
      <w:r>
        <w:rPr>
          <w:color w:val="E7E6E6" w:themeColor="background2"/>
          <w14:textFill>
            <w14:solidFill>
              <w14:schemeClr w14:val="bg2"/>
            </w14:solidFill>
          </w14:textFill>
        </w:rPr>
        <w:t>General Project Information</w:t>
      </w:r>
      <w:bookmarkEnd w:id="0"/>
    </w:p>
    <w:p w14:paraId="2C0A2D85">
      <w:pPr>
        <w:pStyle w:val="3"/>
      </w:pP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7794"/>
      </w:tblGrid>
      <w:tr w14:paraId="31508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46F1A3FB">
            <w:pPr>
              <w:pStyle w:val="3"/>
              <w:rPr>
                <w:rFonts w:ascii="Arial" w:hAnsi="Arial" w:cs="Arial"/>
                <w:b/>
                <w:bCs/>
                <w:sz w:val="22"/>
                <w:szCs w:val="22"/>
              </w:rPr>
            </w:pPr>
            <w:r>
              <w:rPr>
                <w:rFonts w:ascii="Arial" w:hAnsi="Arial" w:cs="Arial"/>
                <w:b/>
                <w:bCs/>
                <w:sz w:val="22"/>
                <w:szCs w:val="22"/>
              </w:rPr>
              <w:t>Project Name:</w:t>
            </w:r>
          </w:p>
        </w:tc>
        <w:tc>
          <w:tcPr>
            <w:tcW w:w="3823" w:type="pct"/>
          </w:tcPr>
          <w:p w14:paraId="3F2CB60A">
            <w:pPr>
              <w:pStyle w:val="3"/>
              <w:rPr>
                <w:i/>
                <w:iCs/>
              </w:rPr>
            </w:pPr>
            <w:r>
              <w:rPr>
                <w:i/>
                <w:iCs/>
              </w:rPr>
              <w:t>Maternity Stream System (MSS) — Pilot Project</w:t>
            </w:r>
          </w:p>
        </w:tc>
      </w:tr>
      <w:tr w14:paraId="7D21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37F1651D">
            <w:pPr>
              <w:pStyle w:val="3"/>
              <w:rPr>
                <w:rFonts w:ascii="Arial" w:hAnsi="Arial" w:cs="Arial"/>
                <w:b/>
                <w:bCs/>
                <w:sz w:val="22"/>
                <w:szCs w:val="22"/>
              </w:rPr>
            </w:pPr>
            <w:r>
              <w:rPr>
                <w:rFonts w:ascii="Arial" w:hAnsi="Arial" w:cs="Arial"/>
                <w:b/>
                <w:bCs/>
                <w:sz w:val="22"/>
                <w:szCs w:val="22"/>
              </w:rPr>
              <w:t>Project Sponsor:</w:t>
            </w:r>
          </w:p>
        </w:tc>
        <w:tc>
          <w:tcPr>
            <w:tcW w:w="3823" w:type="pct"/>
          </w:tcPr>
          <w:p w14:paraId="42C0E519">
            <w:pPr>
              <w:pStyle w:val="3"/>
              <w:rPr>
                <w:i/>
                <w:iCs/>
              </w:rPr>
            </w:pPr>
            <w:r>
              <w:rPr>
                <w:i/>
                <w:iCs/>
              </w:rPr>
              <w:t>Ben Dover (CIO)</w:t>
            </w:r>
          </w:p>
        </w:tc>
      </w:tr>
      <w:tr w14:paraId="46CC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784BDFE2">
            <w:pPr>
              <w:pStyle w:val="3"/>
              <w:rPr>
                <w:rFonts w:ascii="Arial" w:hAnsi="Arial" w:cs="Arial"/>
                <w:b/>
                <w:bCs/>
                <w:sz w:val="22"/>
                <w:szCs w:val="22"/>
              </w:rPr>
            </w:pPr>
            <w:r>
              <w:rPr>
                <w:rFonts w:ascii="Arial" w:hAnsi="Arial" w:cs="Arial"/>
                <w:b/>
                <w:bCs/>
                <w:sz w:val="22"/>
                <w:szCs w:val="22"/>
              </w:rPr>
              <w:t>Project Lead:</w:t>
            </w:r>
          </w:p>
        </w:tc>
        <w:tc>
          <w:tcPr>
            <w:tcW w:w="3823" w:type="pct"/>
          </w:tcPr>
          <w:p w14:paraId="11D8D76B">
            <w:pPr>
              <w:pStyle w:val="3"/>
              <w:rPr>
                <w:rFonts w:hint="default"/>
                <w:i/>
                <w:iCs/>
                <w:lang w:val="en-US"/>
              </w:rPr>
            </w:pPr>
            <w:r>
              <w:rPr>
                <w:rFonts w:hint="default"/>
                <w:i/>
                <w:iCs/>
                <w:lang w:val="en-US"/>
              </w:rPr>
              <w:t>Vaasu Goyal</w:t>
            </w:r>
          </w:p>
        </w:tc>
      </w:tr>
      <w:tr w14:paraId="2A415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4B8429EF">
            <w:pPr>
              <w:pStyle w:val="3"/>
              <w:rPr>
                <w:rFonts w:ascii="Arial" w:hAnsi="Arial" w:cs="Arial"/>
                <w:b/>
                <w:bCs/>
                <w:sz w:val="22"/>
                <w:szCs w:val="22"/>
              </w:rPr>
            </w:pPr>
            <w:r>
              <w:rPr>
                <w:rFonts w:ascii="Arial" w:hAnsi="Arial" w:cs="Arial"/>
                <w:b/>
                <w:bCs/>
                <w:sz w:val="22"/>
                <w:szCs w:val="22"/>
              </w:rPr>
              <w:t>Contact Email:</w:t>
            </w:r>
          </w:p>
        </w:tc>
        <w:tc>
          <w:tcPr>
            <w:tcW w:w="3823" w:type="pct"/>
          </w:tcPr>
          <w:p w14:paraId="28499762">
            <w:pPr>
              <w:pStyle w:val="3"/>
              <w:rPr>
                <w:rFonts w:hint="default"/>
                <w:i/>
                <w:iCs/>
                <w:lang w:val="en-US"/>
              </w:rPr>
            </w:pPr>
            <w:r>
              <w:rPr>
                <w:rFonts w:hint="default"/>
                <w:i/>
                <w:iCs/>
                <w:lang w:val="en-US"/>
              </w:rPr>
              <w:t>35844851@student.murdoch.edu.au</w:t>
            </w:r>
          </w:p>
        </w:tc>
      </w:tr>
    </w:tbl>
    <w:p w14:paraId="73457B46">
      <w:pPr>
        <w:pStyle w:val="2"/>
        <w:shd w:val="clear" w:color="auto" w:fill="4472C4" w:themeFill="accent1"/>
        <w:rPr>
          <w:color w:val="E7E6E6" w:themeColor="background2"/>
          <w14:textFill>
            <w14:solidFill>
              <w14:schemeClr w14:val="bg2"/>
            </w14:solidFill>
          </w14:textFill>
        </w:rPr>
      </w:pPr>
      <w:bookmarkStart w:id="1" w:name="_Toc218970114"/>
      <w:r>
        <w:rPr>
          <w:color w:val="E7E6E6" w:themeColor="background2"/>
          <w14:textFill>
            <w14:solidFill>
              <w14:schemeClr w14:val="bg2"/>
            </w14:solidFill>
          </w14:textFill>
        </w:rPr>
        <w:t>Project Scope Statement</w:t>
      </w:r>
      <w:bookmarkEnd w:id="1"/>
    </w:p>
    <w:p w14:paraId="4F29B868">
      <w:pPr>
        <w:pStyle w:val="3"/>
      </w:pP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7794"/>
      </w:tblGrid>
      <w:tr w14:paraId="7C6B7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4F38CE7D">
            <w:pPr>
              <w:pStyle w:val="3"/>
              <w:jc w:val="left"/>
              <w:rPr>
                <w:rFonts w:ascii="Arial" w:hAnsi="Arial" w:cs="Arial"/>
                <w:b/>
                <w:bCs/>
                <w:sz w:val="22"/>
                <w:szCs w:val="22"/>
              </w:rPr>
            </w:pPr>
            <w:r>
              <w:rPr>
                <w:rFonts w:ascii="Arial" w:hAnsi="Arial" w:cs="Arial"/>
                <w:b/>
                <w:bCs/>
                <w:sz w:val="22"/>
                <w:szCs w:val="22"/>
              </w:rPr>
              <w:t>Business Case:</w:t>
            </w:r>
          </w:p>
        </w:tc>
        <w:tc>
          <w:tcPr>
            <w:tcW w:w="3823" w:type="pct"/>
          </w:tcPr>
          <w:p w14:paraId="2E8F394E">
            <w:pPr>
              <w:pStyle w:val="3"/>
              <w:spacing w:before="120"/>
              <w:jc w:val="left"/>
            </w:pPr>
            <w:r>
              <w:t>·</w:t>
            </w:r>
            <w:r>
              <w:rPr>
                <w:rFonts w:hint="eastAsia"/>
              </w:rPr>
              <w:t xml:space="preserve">  </w:t>
            </w:r>
            <w:r>
              <w:t>Addresses a real access gap: regional/remote WA mothers, Aboriginal and CALD communities lack equitable access to maternity specialists</w:t>
            </w:r>
          </w:p>
          <w:p w14:paraId="53F7C559">
            <w:pPr>
              <w:pStyle w:val="3"/>
              <w:spacing w:before="120"/>
              <w:jc w:val="left"/>
            </w:pPr>
            <w:r>
              <w:rPr>
                <w:rFonts w:hint="default"/>
              </w:rPr>
              <w:t>·</w:t>
            </w:r>
            <w:r>
              <w:rPr>
                <w:rFonts w:hint="eastAsia"/>
              </w:rPr>
              <w:t xml:space="preserve">  </w:t>
            </w:r>
            <w:r>
              <w:t>Aligns with WA Health / WA Country Health Service strategic priority on regional access</w:t>
            </w:r>
          </w:p>
          <w:p w14:paraId="553F981B">
            <w:pPr>
              <w:pStyle w:val="3"/>
              <w:spacing w:before="120"/>
              <w:jc w:val="left"/>
            </w:pPr>
            <w:r>
              <w:rPr>
                <w:rFonts w:hint="default"/>
              </w:rPr>
              <w:t>·</w:t>
            </w:r>
            <w:r>
              <w:rPr>
                <w:rFonts w:hint="eastAsia"/>
              </w:rPr>
              <w:t xml:space="preserve">  </w:t>
            </w:r>
            <w:r>
              <w:t>Opens new SaaS revenue stream for MSI beyond its current WA Health service delivery focus</w:t>
            </w:r>
          </w:p>
          <w:p w14:paraId="7679FF97">
            <w:pPr>
              <w:pStyle w:val="3"/>
              <w:spacing w:before="120"/>
              <w:jc w:val="left"/>
            </w:pPr>
            <w:r>
              <w:rPr>
                <w:rFonts w:hint="default"/>
              </w:rPr>
              <w:t>·</w:t>
            </w:r>
            <w:r>
              <w:rPr>
                <w:rFonts w:hint="eastAsia"/>
              </w:rPr>
              <w:t xml:space="preserve">  </w:t>
            </w:r>
            <w:r>
              <w:t>Positions MSI for expansion into other Australian markets if pilot succeeds</w:t>
            </w:r>
          </w:p>
          <w:p w14:paraId="1B7FD114">
            <w:pPr>
              <w:pStyle w:val="3"/>
              <w:spacing w:before="120"/>
              <w:jc w:val="left"/>
            </w:pPr>
            <w:r>
              <w:rPr>
                <w:rFonts w:hint="default"/>
              </w:rPr>
              <w:t>·</w:t>
            </w:r>
            <w:r>
              <w:rPr>
                <w:rFonts w:hint="eastAsia"/>
              </w:rPr>
              <w:t xml:space="preserve">  </w:t>
            </w:r>
            <w:r>
              <w:t>Financially justified by ROM figures: revenue overtakes costs by Year 2 ($1.12M benefits vs $420K costs)</w:t>
            </w:r>
          </w:p>
          <w:p w14:paraId="01861771">
            <w:pPr>
              <w:pStyle w:val="3"/>
              <w:spacing w:before="120"/>
              <w:jc w:val="left"/>
            </w:pPr>
          </w:p>
          <w:p w14:paraId="5156724B">
            <w:pPr>
              <w:pStyle w:val="3"/>
              <w:spacing w:before="120"/>
            </w:pPr>
          </w:p>
        </w:tc>
      </w:tr>
      <w:tr w14:paraId="441A9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4277E3D9">
            <w:pPr>
              <w:pStyle w:val="3"/>
              <w:jc w:val="left"/>
              <w:rPr>
                <w:rFonts w:ascii="Arial" w:hAnsi="Arial" w:cs="Arial"/>
                <w:b/>
                <w:bCs/>
                <w:sz w:val="22"/>
                <w:szCs w:val="22"/>
              </w:rPr>
            </w:pPr>
            <w:r>
              <w:rPr>
                <w:rFonts w:ascii="Arial" w:hAnsi="Arial" w:cs="Arial"/>
                <w:b/>
                <w:bCs/>
                <w:sz w:val="22"/>
                <w:szCs w:val="22"/>
              </w:rPr>
              <w:t>Project Description:</w:t>
            </w:r>
          </w:p>
        </w:tc>
        <w:tc>
          <w:tcPr>
            <w:tcW w:w="3823" w:type="pct"/>
          </w:tcPr>
          <w:p w14:paraId="5786CCA8">
            <w:pPr>
              <w:pStyle w:val="3"/>
              <w:spacing w:before="120"/>
              <w:jc w:val="left"/>
            </w:pPr>
            <w:r>
              <w:t>·</w:t>
            </w:r>
            <w:r>
              <w:rPr>
                <w:rFonts w:hint="eastAsia"/>
              </w:rPr>
              <w:t xml:space="preserve">  </w:t>
            </w:r>
            <w:r>
              <w:t>Problem: fragmented, travel-dependent maternity care across Perth/Rockingham/Mandurah; siloed pathology/imaging/pharmacy/telehealth workflows</w:t>
            </w:r>
          </w:p>
          <w:p w14:paraId="2B6CC37D">
            <w:pPr>
              <w:pStyle w:val="3"/>
              <w:spacing w:before="120"/>
              <w:jc w:val="left"/>
            </w:pPr>
            <w:r>
              <w:rPr>
                <w:rFonts w:hint="default"/>
              </w:rPr>
              <w:t>·</w:t>
            </w:r>
            <w:r>
              <w:rPr>
                <w:rFonts w:hint="eastAsia"/>
              </w:rPr>
              <w:t xml:space="preserve">  </w:t>
            </w:r>
            <w:r>
              <w:t>Cause: no unified digital platform connecting these four services or supporting remote access</w:t>
            </w:r>
          </w:p>
          <w:p w14:paraId="140AB725">
            <w:pPr>
              <w:pStyle w:val="3"/>
              <w:spacing w:before="120"/>
              <w:jc w:val="left"/>
            </w:pPr>
            <w:r>
              <w:rPr>
                <w:rFonts w:hint="default"/>
              </w:rPr>
              <w:t>·</w:t>
            </w:r>
            <w:r>
              <w:rPr>
                <w:rFonts w:hint="eastAsia"/>
              </w:rPr>
              <w:t xml:space="preserve">  </w:t>
            </w:r>
            <w:r>
              <w:t>Proposed solution: Healthcare SaaS platform (MSS) unifying telehealth, scheduling, billing, analytics, and health info exchange</w:t>
            </w:r>
          </w:p>
          <w:p w14:paraId="652CCE53">
            <w:pPr>
              <w:pStyle w:val="3"/>
              <w:spacing w:before="120"/>
              <w:jc w:val="left"/>
            </w:pPr>
            <w:r>
              <w:rPr>
                <w:rFonts w:hint="default"/>
              </w:rPr>
              <w:t>·</w:t>
            </w:r>
            <w:r>
              <w:rPr>
                <w:rFonts w:hint="eastAsia"/>
              </w:rPr>
              <w:t xml:space="preserve">  </w:t>
            </w:r>
            <w:r>
              <w:t>Feasibility: leverages WA's existing network infrastructure; SaaS model minimizes upfront capital cost; phased as a 1-year Pilot Project before full rollout</w:t>
            </w:r>
          </w:p>
          <w:p w14:paraId="40526C73">
            <w:pPr>
              <w:pStyle w:val="3"/>
              <w:spacing w:before="120"/>
              <w:jc w:val="left"/>
            </w:pPr>
            <w:r>
              <w:rPr>
                <w:rFonts w:hint="default"/>
              </w:rPr>
              <w:t>·</w:t>
            </w:r>
            <w:r>
              <w:rPr>
                <w:rFonts w:hint="eastAsia"/>
              </w:rPr>
              <w:t xml:space="preserve">  </w:t>
            </w:r>
            <w:r>
              <w:t>Expected outcome: stable, secure, scalable, user-friendly maternity platform live across all 3 sites by May 2027</w:t>
            </w:r>
          </w:p>
          <w:p w14:paraId="3290741C">
            <w:pPr>
              <w:pStyle w:val="3"/>
              <w:spacing w:before="120"/>
              <w:jc w:val="left"/>
            </w:pPr>
          </w:p>
          <w:p w14:paraId="0C6CC6FD">
            <w:pPr>
              <w:pStyle w:val="3"/>
              <w:spacing w:before="120"/>
              <w:jc w:val="left"/>
            </w:pPr>
          </w:p>
        </w:tc>
      </w:tr>
      <w:tr w14:paraId="2782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4A733A5A">
            <w:pPr>
              <w:pStyle w:val="3"/>
              <w:jc w:val="left"/>
              <w:rPr>
                <w:rFonts w:ascii="Arial" w:hAnsi="Arial" w:cs="Arial"/>
                <w:b/>
                <w:bCs/>
                <w:sz w:val="22"/>
                <w:szCs w:val="22"/>
              </w:rPr>
            </w:pPr>
            <w:r>
              <w:rPr>
                <w:rFonts w:ascii="Arial" w:hAnsi="Arial" w:cs="Arial"/>
                <w:b/>
                <w:bCs/>
                <w:sz w:val="22"/>
                <w:szCs w:val="22"/>
              </w:rPr>
              <w:t>Objectives:</w:t>
            </w:r>
          </w:p>
        </w:tc>
        <w:tc>
          <w:tcPr>
            <w:tcW w:w="3823" w:type="pct"/>
          </w:tcPr>
          <w:p w14:paraId="4C9C1B92">
            <w:pPr>
              <w:pStyle w:val="3"/>
              <w:spacing w:before="120"/>
              <w:jc w:val="left"/>
            </w:pPr>
            <w:r>
              <w:t>·</w:t>
            </w:r>
            <w:r>
              <w:rPr>
                <w:rFonts w:hint="eastAsia"/>
              </w:rPr>
              <w:t xml:space="preserve">  </w:t>
            </w:r>
            <w:r>
              <w:t>Deliver a working MSS Pilot Project covering pathology, imaging, pharmacy and telehealth by 05 May 2027 (Go-Live)</w:t>
            </w:r>
          </w:p>
          <w:p w14:paraId="3B257354">
            <w:pPr>
              <w:pStyle w:val="3"/>
              <w:spacing w:before="120"/>
              <w:jc w:val="left"/>
            </w:pPr>
            <w:r>
              <w:rPr>
                <w:rFonts w:hint="default"/>
              </w:rPr>
              <w:t>·</w:t>
            </w:r>
            <w:r>
              <w:rPr>
                <w:rFonts w:hint="eastAsia"/>
              </w:rPr>
              <w:t xml:space="preserve">  </w:t>
            </w:r>
            <w:r>
              <w:t>Achieve Board approval / Stage Gate sign-off on the Project Charter by 25 May 2026</w:t>
            </w:r>
          </w:p>
          <w:p w14:paraId="0E70DFE6">
            <w:pPr>
              <w:pStyle w:val="3"/>
              <w:spacing w:before="120"/>
              <w:jc w:val="left"/>
            </w:pPr>
            <w:r>
              <w:rPr>
                <w:rFonts w:hint="default"/>
              </w:rPr>
              <w:t>·</w:t>
            </w:r>
            <w:r>
              <w:rPr>
                <w:rFonts w:hint="eastAsia"/>
              </w:rPr>
              <w:t xml:space="preserve">  </w:t>
            </w:r>
            <w:r>
              <w:t>Complete provider/vendor RFT engagement by 01 Jun 2026</w:t>
            </w:r>
          </w:p>
          <w:p w14:paraId="39954621">
            <w:pPr>
              <w:pStyle w:val="3"/>
              <w:spacing w:before="120"/>
              <w:jc w:val="left"/>
            </w:pPr>
            <w:r>
              <w:rPr>
                <w:rFonts w:hint="default"/>
              </w:rPr>
              <w:t>·</w:t>
            </w:r>
            <w:r>
              <w:rPr>
                <w:rFonts w:hint="eastAsia"/>
              </w:rPr>
              <w:t xml:space="preserve">  </w:t>
            </w:r>
            <w:r>
              <w:t>Achieve positive NPV within the 4-year ROM projection window</w:t>
            </w:r>
          </w:p>
          <w:p w14:paraId="2A0FC0D8">
            <w:pPr>
              <w:pStyle w:val="3"/>
              <w:spacing w:before="120"/>
              <w:jc w:val="left"/>
            </w:pPr>
            <w:r>
              <w:rPr>
                <w:rFonts w:hint="default"/>
              </w:rPr>
              <w:t>·</w:t>
            </w:r>
            <w:r>
              <w:rPr>
                <w:rFonts w:hint="eastAsia"/>
              </w:rPr>
              <w:t xml:space="preserve">  </w:t>
            </w:r>
            <w:r>
              <w:t>Deliver quarterly usable feature releases across the 12-month software development period</w:t>
            </w:r>
          </w:p>
          <w:p w14:paraId="5A6543BC">
            <w:pPr>
              <w:pStyle w:val="3"/>
              <w:spacing w:before="120"/>
              <w:jc w:val="left"/>
            </w:pPr>
            <w:r>
              <w:rPr>
                <w:rFonts w:hint="default"/>
              </w:rPr>
              <w:t>·</w:t>
            </w:r>
            <w:r>
              <w:rPr>
                <w:rFonts w:hint="eastAsia"/>
              </w:rPr>
              <w:t xml:space="preserve">  </w:t>
            </w:r>
            <w:r>
              <w:t>Complete Pilot Project closure and lessons-learned reporting by 27 Aug 2027</w:t>
            </w:r>
          </w:p>
          <w:p w14:paraId="41926038">
            <w:pPr>
              <w:pStyle w:val="3"/>
              <w:spacing w:before="120"/>
              <w:jc w:val="left"/>
            </w:pPr>
          </w:p>
        </w:tc>
      </w:tr>
      <w:tr w14:paraId="5ECD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43A4DB94">
            <w:pPr>
              <w:pStyle w:val="3"/>
              <w:rPr>
                <w:rFonts w:ascii="Arial" w:hAnsi="Arial" w:cs="Arial"/>
                <w:b/>
                <w:bCs/>
                <w:sz w:val="22"/>
                <w:szCs w:val="22"/>
              </w:rPr>
            </w:pPr>
            <w:r>
              <w:rPr>
                <w:rFonts w:ascii="Arial" w:hAnsi="Arial" w:cs="Arial"/>
                <w:b/>
                <w:bCs/>
                <w:sz w:val="22"/>
                <w:szCs w:val="22"/>
              </w:rPr>
              <w:t>Scope:</w:t>
            </w:r>
          </w:p>
        </w:tc>
        <w:tc>
          <w:tcPr>
            <w:tcW w:w="3823" w:type="pct"/>
          </w:tcPr>
          <w:p w14:paraId="1119E264">
            <w:pPr>
              <w:pStyle w:val="3"/>
              <w:numPr>
                <w:ilvl w:val="0"/>
                <w:numId w:val="0"/>
              </w:numPr>
              <w:spacing w:before="120"/>
              <w:ind w:leftChars="0"/>
              <w:jc w:val="left"/>
              <w:rPr>
                <w:rFonts w:hint="default"/>
              </w:rPr>
            </w:pPr>
            <w:r>
              <w:rPr>
                <w:rFonts w:hint="default"/>
              </w:rPr>
              <w:t>In-Scope:</w:t>
            </w:r>
          </w:p>
          <w:p w14:paraId="5FA3C387">
            <w:pPr>
              <w:pStyle w:val="3"/>
              <w:numPr>
                <w:ilvl w:val="0"/>
                <w:numId w:val="0"/>
              </w:numPr>
              <w:spacing w:before="120"/>
              <w:ind w:leftChars="0"/>
              <w:jc w:val="left"/>
              <w:rPr>
                <w:rFonts w:hint="default"/>
              </w:rPr>
            </w:pPr>
            <w:r>
              <w:rPr>
                <w:rFonts w:hint="default"/>
              </w:rPr>
              <w:t>1. Design and development of a cloud-based Healthcare SaaS platform (MSS) with modules for telehealth, appointment scheduling, billing/claims processing, health data analytics, and pathology/imaging/pharmacy information exchange (Sub-Project I)</w:t>
            </w:r>
          </w:p>
          <w:p w14:paraId="4F922271">
            <w:pPr>
              <w:pStyle w:val="3"/>
              <w:numPr>
                <w:ilvl w:val="0"/>
                <w:numId w:val="0"/>
              </w:numPr>
              <w:spacing w:before="120"/>
              <w:ind w:leftChars="0"/>
              <w:jc w:val="left"/>
              <w:rPr>
                <w:rFonts w:hint="default"/>
              </w:rPr>
            </w:pPr>
            <w:r>
              <w:rPr>
                <w:rFonts w:hint="default"/>
              </w:rPr>
              <w:t>2. Assessment of current network capacity and infrastructure gaps across Perth, Rockingham, and Mandurah (Sub-Project II)</w:t>
            </w:r>
          </w:p>
          <w:p w14:paraId="3BCBC229">
            <w:pPr>
              <w:pStyle w:val="3"/>
              <w:numPr>
                <w:ilvl w:val="0"/>
                <w:numId w:val="0"/>
              </w:numPr>
              <w:spacing w:before="120"/>
              <w:ind w:leftChars="0"/>
              <w:jc w:val="left"/>
              <w:rPr>
                <w:rFonts w:hint="default"/>
              </w:rPr>
            </w:pPr>
            <w:r>
              <w:rPr>
                <w:rFonts w:hint="default"/>
              </w:rPr>
              <w:t>3. Design, installation, and commissioning of network and IT infrastructure across all three sites (Sub-Project II)</w:t>
            </w:r>
          </w:p>
          <w:p w14:paraId="4542A74C">
            <w:pPr>
              <w:pStyle w:val="3"/>
              <w:numPr>
                <w:ilvl w:val="0"/>
                <w:numId w:val="0"/>
              </w:numPr>
              <w:spacing w:before="120"/>
              <w:ind w:leftChars="0"/>
              <w:jc w:val="left"/>
              <w:rPr>
                <w:rFonts w:hint="default"/>
              </w:rPr>
            </w:pPr>
            <w:r>
              <w:rPr>
                <w:rFonts w:hint="default"/>
              </w:rPr>
              <w:t>4. Mapping, cleansing, migration, and reconciliation of existing patient and clinical data into the MSS platform (Sub-Project III)</w:t>
            </w:r>
          </w:p>
          <w:p w14:paraId="29A76425">
            <w:pPr>
              <w:pStyle w:val="3"/>
              <w:numPr>
                <w:ilvl w:val="0"/>
                <w:numId w:val="0"/>
              </w:numPr>
              <w:spacing w:before="120"/>
              <w:ind w:leftChars="0"/>
              <w:jc w:val="left"/>
              <w:rPr>
                <w:rFonts w:hint="default"/>
              </w:rPr>
            </w:pPr>
            <w:r>
              <w:rPr>
                <w:rFonts w:hint="default"/>
              </w:rPr>
              <w:t>5. Engagement of a Healthcare SaaS vendor and third-party technical contractors through a formal RFT process</w:t>
            </w:r>
          </w:p>
          <w:p w14:paraId="0703B7A4">
            <w:pPr>
              <w:pStyle w:val="3"/>
              <w:numPr>
                <w:ilvl w:val="0"/>
                <w:numId w:val="0"/>
              </w:numPr>
              <w:spacing w:before="120"/>
              <w:ind w:leftChars="0"/>
              <w:jc w:val="left"/>
              <w:rPr>
                <w:rFonts w:hint="default"/>
              </w:rPr>
            </w:pPr>
            <w:r>
              <w:rPr>
                <w:rFonts w:hint="default"/>
              </w:rPr>
              <w:t>6. Integration of MSS with a Healthcare Service Bus (HCB) and API Gateway to support interoperability with existing EHR, LIS, and PACS systems</w:t>
            </w:r>
          </w:p>
          <w:p w14:paraId="6A8C5289">
            <w:pPr>
              <w:pStyle w:val="3"/>
              <w:numPr>
                <w:ilvl w:val="0"/>
                <w:numId w:val="0"/>
              </w:numPr>
              <w:spacing w:before="120"/>
              <w:ind w:leftChars="0"/>
              <w:jc w:val="left"/>
              <w:rPr>
                <w:rFonts w:hint="default"/>
              </w:rPr>
            </w:pPr>
            <w:r>
              <w:rPr>
                <w:rFonts w:hint="default"/>
              </w:rPr>
              <w:t>7. Implementation of Identity and Access Management (IAM) and Multi-Factor Authentication (MFA) for secure platform access</w:t>
            </w:r>
          </w:p>
          <w:p w14:paraId="25B15D92">
            <w:pPr>
              <w:pStyle w:val="3"/>
              <w:numPr>
                <w:ilvl w:val="0"/>
                <w:numId w:val="0"/>
              </w:numPr>
              <w:spacing w:before="120"/>
              <w:ind w:leftChars="0"/>
              <w:jc w:val="left"/>
              <w:rPr>
                <w:rFonts w:hint="default"/>
              </w:rPr>
            </w:pPr>
            <w:r>
              <w:rPr>
                <w:rFonts w:hint="default"/>
              </w:rPr>
              <w:t>8. Conduct of User Acceptance Testing (UAT) and go-live readiness assessment across all three sites</w:t>
            </w:r>
          </w:p>
          <w:p w14:paraId="496F3FC4">
            <w:pPr>
              <w:pStyle w:val="3"/>
              <w:numPr>
                <w:ilvl w:val="0"/>
                <w:numId w:val="0"/>
              </w:numPr>
              <w:spacing w:before="120"/>
              <w:ind w:leftChars="0"/>
              <w:jc w:val="left"/>
              <w:rPr>
                <w:rFonts w:hint="default"/>
              </w:rPr>
            </w:pPr>
            <w:r>
              <w:rPr>
                <w:rFonts w:hint="default"/>
              </w:rPr>
              <w:t>9. Delivery of training, communications, and operational handover activities to support MSI's ongoing management of MSS</w:t>
            </w:r>
          </w:p>
          <w:p w14:paraId="65484BD3">
            <w:pPr>
              <w:pStyle w:val="3"/>
              <w:numPr>
                <w:ilvl w:val="0"/>
                <w:numId w:val="0"/>
              </w:numPr>
              <w:spacing w:before="120"/>
              <w:ind w:leftChars="0"/>
              <w:jc w:val="left"/>
              <w:rPr>
                <w:rFonts w:hint="default"/>
              </w:rPr>
            </w:pPr>
          </w:p>
          <w:p w14:paraId="20A0A631">
            <w:pPr>
              <w:pStyle w:val="3"/>
              <w:numPr>
                <w:ilvl w:val="0"/>
                <w:numId w:val="0"/>
              </w:numPr>
              <w:spacing w:before="120"/>
              <w:ind w:leftChars="0"/>
              <w:jc w:val="left"/>
              <w:rPr>
                <w:rFonts w:hint="default"/>
              </w:rPr>
            </w:pPr>
            <w:r>
              <w:rPr>
                <w:rFonts w:hint="default"/>
              </w:rPr>
              <w:t>Out-of-Scope:</w:t>
            </w:r>
          </w:p>
          <w:p w14:paraId="461DA663">
            <w:pPr>
              <w:pStyle w:val="3"/>
              <w:numPr>
                <w:ilvl w:val="0"/>
                <w:numId w:val="0"/>
              </w:numPr>
              <w:spacing w:before="120"/>
              <w:ind w:leftChars="0"/>
              <w:jc w:val="left"/>
              <w:rPr>
                <w:rFonts w:hint="default"/>
              </w:rPr>
            </w:pPr>
            <w:r>
              <w:rPr>
                <w:rFonts w:hint="default"/>
              </w:rPr>
              <w:t>1. Expansion of MSS services beyond the three current MSI sites (Perth, Rockingham, Mandurah)</w:t>
            </w:r>
          </w:p>
          <w:p w14:paraId="70C15211">
            <w:pPr>
              <w:pStyle w:val="3"/>
              <w:numPr>
                <w:ilvl w:val="0"/>
                <w:numId w:val="0"/>
              </w:numPr>
              <w:spacing w:before="120"/>
              <w:ind w:leftChars="0"/>
              <w:jc w:val="left"/>
              <w:rPr>
                <w:rFonts w:hint="default"/>
              </w:rPr>
            </w:pPr>
            <w:r>
              <w:rPr>
                <w:rFonts w:hint="default"/>
              </w:rPr>
              <w:t>2. Extension of MSS functionality to non-maternity health services</w:t>
            </w:r>
          </w:p>
          <w:p w14:paraId="46D49E45">
            <w:pPr>
              <w:pStyle w:val="3"/>
              <w:numPr>
                <w:ilvl w:val="0"/>
                <w:numId w:val="0"/>
              </w:numPr>
              <w:spacing w:before="120"/>
              <w:ind w:leftChars="0"/>
              <w:jc w:val="left"/>
              <w:rPr>
                <w:rFonts w:hint="default"/>
              </w:rPr>
            </w:pPr>
            <w:r>
              <w:rPr>
                <w:rFonts w:hint="default"/>
              </w:rPr>
              <w:t>3. Development of features beyond the four core services (pathology, imaging, pharmacy, telehealth) during the Pilot (e.g. AI diagnostics will not be included)</w:t>
            </w:r>
          </w:p>
          <w:p w14:paraId="0E862B1F">
            <w:pPr>
              <w:pStyle w:val="3"/>
              <w:numPr>
                <w:ilvl w:val="0"/>
                <w:numId w:val="0"/>
              </w:numPr>
              <w:spacing w:before="120"/>
              <w:ind w:leftChars="0"/>
              <w:jc w:val="left"/>
              <w:rPr>
                <w:rFonts w:hint="default"/>
              </w:rPr>
            </w:pPr>
            <w:r>
              <w:rPr>
                <w:rFonts w:hint="default"/>
              </w:rPr>
              <w:t>4. Formal scaling of MSS to other Australian states or markets (to be considered only if the Pilot succeeds; not part of this Charter)</w:t>
            </w:r>
          </w:p>
          <w:p w14:paraId="0F34E493">
            <w:pPr>
              <w:pStyle w:val="3"/>
              <w:numPr>
                <w:ilvl w:val="0"/>
                <w:numId w:val="0"/>
              </w:numPr>
              <w:spacing w:before="120"/>
              <w:ind w:leftChars="0"/>
              <w:jc w:val="left"/>
            </w:pPr>
            <w:r>
              <w:rPr>
                <w:rFonts w:hint="default"/>
              </w:rPr>
              <w:t>5. Ongoing production support and maintenance beyond the Pilot Project Closure date (27 Aug 2027</w:t>
            </w:r>
          </w:p>
          <w:p w14:paraId="4A14EB08">
            <w:pPr>
              <w:pStyle w:val="3"/>
              <w:spacing w:before="120"/>
              <w:jc w:val="left"/>
            </w:pPr>
          </w:p>
          <w:p w14:paraId="268887C5">
            <w:pPr>
              <w:pStyle w:val="3"/>
              <w:spacing w:before="120"/>
              <w:jc w:val="left"/>
            </w:pPr>
          </w:p>
        </w:tc>
      </w:tr>
      <w:tr w14:paraId="1103B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6339C94B">
            <w:pPr>
              <w:pStyle w:val="3"/>
              <w:rPr>
                <w:rFonts w:ascii="Arial" w:hAnsi="Arial" w:cs="Arial"/>
                <w:b/>
                <w:bCs/>
                <w:sz w:val="22"/>
                <w:szCs w:val="22"/>
              </w:rPr>
            </w:pPr>
            <w:r>
              <w:rPr>
                <w:rFonts w:ascii="Arial" w:hAnsi="Arial" w:cs="Arial"/>
                <w:b/>
                <w:bCs/>
                <w:sz w:val="22"/>
                <w:szCs w:val="22"/>
              </w:rPr>
              <w:t>Deliverables:</w:t>
            </w:r>
          </w:p>
        </w:tc>
        <w:tc>
          <w:tcPr>
            <w:tcW w:w="3823" w:type="pct"/>
          </w:tcPr>
          <w:p w14:paraId="31970EAF">
            <w:pPr>
              <w:rPr>
                <w:sz w:val="24"/>
                <w:szCs w:val="24"/>
              </w:rPr>
            </w:pPr>
            <w:r>
              <w:rPr>
                <w:sz w:val="24"/>
                <w:szCs w:val="24"/>
              </w:rPr>
              <w:t>Sub-Project I — Systems Implementation (Agile):</w:t>
            </w:r>
          </w:p>
          <w:p w14:paraId="3348ADB9">
            <w:pPr>
              <w:rPr>
                <w:sz w:val="24"/>
                <w:szCs w:val="24"/>
              </w:rPr>
            </w:pPr>
            <w:r>
              <w:rPr>
                <w:sz w:val="24"/>
                <w:szCs w:val="24"/>
              </w:rPr>
              <w:t>1. A functional, secure, cloud-based Healthcare SaaS platform (MSS) covering telehealth, scheduling, billing, analytics, and health information exchange</w:t>
            </w:r>
          </w:p>
          <w:p w14:paraId="2EF1C4EC">
            <w:pPr>
              <w:rPr>
                <w:sz w:val="24"/>
                <w:szCs w:val="24"/>
              </w:rPr>
            </w:pPr>
            <w:r>
              <w:rPr>
                <w:sz w:val="24"/>
                <w:szCs w:val="24"/>
              </w:rPr>
              <w:t>2. A prioriti</w:t>
            </w:r>
            <w:r>
              <w:rPr>
                <w:rFonts w:hint="default"/>
                <w:sz w:val="24"/>
                <w:szCs w:val="24"/>
                <w:lang w:val="en-US"/>
              </w:rPr>
              <w:t>z</w:t>
            </w:r>
            <w:r>
              <w:rPr>
                <w:sz w:val="24"/>
                <w:szCs w:val="24"/>
              </w:rPr>
              <w:t>ed product backlog and quarterly working software increments</w:t>
            </w:r>
          </w:p>
          <w:p w14:paraId="56AD66B9">
            <w:pPr>
              <w:rPr>
                <w:sz w:val="24"/>
                <w:szCs w:val="24"/>
              </w:rPr>
            </w:pPr>
            <w:r>
              <w:rPr>
                <w:sz w:val="24"/>
                <w:szCs w:val="24"/>
              </w:rPr>
              <w:t>3. UAT test results and sign-off for the MSS software</w:t>
            </w:r>
          </w:p>
          <w:p w14:paraId="2C656BA5">
            <w:pPr>
              <w:rPr>
                <w:sz w:val="24"/>
                <w:szCs w:val="24"/>
              </w:rPr>
            </w:pPr>
          </w:p>
          <w:p w14:paraId="1ED3CF28">
            <w:pPr>
              <w:rPr>
                <w:sz w:val="24"/>
                <w:szCs w:val="24"/>
              </w:rPr>
            </w:pPr>
            <w:r>
              <w:rPr>
                <w:sz w:val="24"/>
                <w:szCs w:val="24"/>
              </w:rPr>
              <w:t>Sub-Project II — Network &amp; Infrastructure (Plan-Driven):</w:t>
            </w:r>
          </w:p>
          <w:p w14:paraId="77F7B2F1">
            <w:pPr>
              <w:rPr>
                <w:sz w:val="24"/>
                <w:szCs w:val="24"/>
              </w:rPr>
            </w:pPr>
            <w:r>
              <w:rPr>
                <w:sz w:val="24"/>
                <w:szCs w:val="24"/>
              </w:rPr>
              <w:t>4. Installed, configured, and commissioned network and IT infrastructure across Perth, Rockingham, and Mandurah</w:t>
            </w:r>
          </w:p>
          <w:p w14:paraId="7C6487E3">
            <w:pPr>
              <w:rPr>
                <w:sz w:val="24"/>
                <w:szCs w:val="24"/>
              </w:rPr>
            </w:pPr>
            <w:r>
              <w:rPr>
                <w:sz w:val="24"/>
                <w:szCs w:val="24"/>
              </w:rPr>
              <w:t>5. Network architecture and infrastructure design documentation (logical and physical)</w:t>
            </w:r>
          </w:p>
          <w:p w14:paraId="5BE5F7A6">
            <w:pPr>
              <w:rPr>
                <w:sz w:val="24"/>
                <w:szCs w:val="24"/>
              </w:rPr>
            </w:pPr>
            <w:r>
              <w:rPr>
                <w:sz w:val="24"/>
                <w:szCs w:val="24"/>
              </w:rPr>
              <w:t>6. A post-implementation monitoring report for network infrastructure</w:t>
            </w:r>
          </w:p>
          <w:p w14:paraId="7B7B08A8">
            <w:pPr>
              <w:rPr>
                <w:sz w:val="24"/>
                <w:szCs w:val="24"/>
              </w:rPr>
            </w:pPr>
          </w:p>
          <w:p w14:paraId="647EA0BD">
            <w:pPr>
              <w:rPr>
                <w:sz w:val="24"/>
                <w:szCs w:val="24"/>
              </w:rPr>
            </w:pPr>
            <w:r>
              <w:rPr>
                <w:sz w:val="24"/>
                <w:szCs w:val="24"/>
              </w:rPr>
              <w:t>Sub-Project III — Data Migration (Plan-Driven):</w:t>
            </w:r>
          </w:p>
          <w:p w14:paraId="0D9F0B3A">
            <w:pPr>
              <w:rPr>
                <w:sz w:val="24"/>
                <w:szCs w:val="24"/>
              </w:rPr>
            </w:pPr>
            <w:r>
              <w:rPr>
                <w:sz w:val="24"/>
                <w:szCs w:val="24"/>
              </w:rPr>
              <w:t>7. Migrated, cleansed, and reconciled patient and clinical data within the production MSS environment</w:t>
            </w:r>
          </w:p>
          <w:p w14:paraId="7BC15904">
            <w:pPr>
              <w:rPr>
                <w:sz w:val="24"/>
                <w:szCs w:val="24"/>
              </w:rPr>
            </w:pPr>
            <w:r>
              <w:rPr>
                <w:sz w:val="24"/>
                <w:szCs w:val="24"/>
              </w:rPr>
              <w:t>8. A signed data migration reconciliation and sign-off report</w:t>
            </w:r>
          </w:p>
          <w:p w14:paraId="76382B67">
            <w:pPr>
              <w:rPr>
                <w:sz w:val="24"/>
                <w:szCs w:val="24"/>
              </w:rPr>
            </w:pPr>
          </w:p>
          <w:p w14:paraId="51C31354">
            <w:pPr>
              <w:rPr>
                <w:sz w:val="24"/>
                <w:szCs w:val="24"/>
              </w:rPr>
            </w:pPr>
            <w:r>
              <w:rPr>
                <w:sz w:val="24"/>
                <w:szCs w:val="24"/>
              </w:rPr>
              <w:t>Cross-Project / Management:</w:t>
            </w:r>
          </w:p>
          <w:p w14:paraId="323F4D41">
            <w:pPr>
              <w:rPr>
                <w:sz w:val="24"/>
                <w:szCs w:val="24"/>
              </w:rPr>
            </w:pPr>
            <w:r>
              <w:rPr>
                <w:sz w:val="24"/>
                <w:szCs w:val="24"/>
              </w:rPr>
              <w:t>9. Signed contracts with the selected Healthcare SaaS vendor and third-party providers</w:t>
            </w:r>
          </w:p>
          <w:p w14:paraId="26749A4E">
            <w:pPr>
              <w:rPr>
                <w:sz w:val="24"/>
                <w:szCs w:val="24"/>
              </w:rPr>
            </w:pPr>
            <w:r>
              <w:rPr>
                <w:sz w:val="24"/>
                <w:szCs w:val="24"/>
              </w:rPr>
              <w:t>10. An approved Project Charter and supporting business case documentation</w:t>
            </w:r>
          </w:p>
          <w:p w14:paraId="0E307FDC">
            <w:pPr>
              <w:rPr>
                <w:sz w:val="24"/>
                <w:szCs w:val="24"/>
              </w:rPr>
            </w:pPr>
            <w:r>
              <w:rPr>
                <w:sz w:val="24"/>
                <w:szCs w:val="24"/>
              </w:rPr>
              <w:t>11. Training materials and operational support guides for MSI staff</w:t>
            </w:r>
          </w:p>
          <w:p w14:paraId="55E2254A">
            <w:pPr>
              <w:pStyle w:val="3"/>
              <w:spacing w:before="120"/>
              <w:jc w:val="left"/>
              <w:rPr>
                <w:sz w:val="24"/>
                <w:szCs w:val="24"/>
              </w:rPr>
            </w:pPr>
            <w:r>
              <w:rPr>
                <w:sz w:val="24"/>
                <w:szCs w:val="24"/>
              </w:rPr>
              <w:t>12. A formal Pilot Project Closure Report with lessons learned and benefits tracking</w:t>
            </w:r>
          </w:p>
          <w:p w14:paraId="1B5E192E">
            <w:pPr>
              <w:pStyle w:val="3"/>
              <w:spacing w:before="120"/>
              <w:jc w:val="left"/>
            </w:pPr>
          </w:p>
        </w:tc>
      </w:tr>
    </w:tbl>
    <w:p w14:paraId="77428D6F">
      <w:pPr>
        <w:pStyle w:val="2"/>
        <w:shd w:val="clear" w:color="auto" w:fill="4472C4" w:themeFill="accent1"/>
        <w:rPr>
          <w:color w:val="E7E6E6" w:themeColor="background2"/>
          <w:lang w:val="en-GB"/>
          <w14:textFill>
            <w14:solidFill>
              <w14:schemeClr w14:val="bg2"/>
            </w14:solidFill>
          </w14:textFill>
        </w:rPr>
      </w:pPr>
      <w:bookmarkStart w:id="2" w:name="_Toc218970115"/>
      <w:r>
        <w:rPr>
          <w:color w:val="E7E6E6" w:themeColor="background2"/>
          <w:lang w:val="en-GB"/>
          <w14:textFill>
            <w14:solidFill>
              <w14:schemeClr w14:val="bg2"/>
            </w14:solidFill>
          </w14:textFill>
        </w:rPr>
        <w:t>Cost Estimate</w:t>
      </w:r>
      <w:bookmarkEnd w:id="2"/>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7794"/>
      </w:tblGrid>
      <w:tr w14:paraId="0002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62F4A8F4">
            <w:pPr>
              <w:spacing w:before="120" w:after="120" w:line="240" w:lineRule="auto"/>
              <w:jc w:val="both"/>
              <w:rPr>
                <w:rFonts w:ascii="Arial" w:hAnsi="Arial" w:cs="Arial"/>
                <w:b/>
                <w:bCs/>
                <w:sz w:val="22"/>
                <w:szCs w:val="22"/>
                <w:lang w:val="en-GB"/>
              </w:rPr>
            </w:pPr>
            <w:r>
              <w:rPr>
                <w:rFonts w:ascii="Arial" w:hAnsi="Arial" w:cs="Arial"/>
                <w:b/>
                <w:bCs/>
                <w:sz w:val="22"/>
                <w:szCs w:val="22"/>
                <w:lang w:val="en-GB"/>
              </w:rPr>
              <w:t>Cost estimate</w:t>
            </w:r>
          </w:p>
        </w:tc>
        <w:tc>
          <w:tcPr>
            <w:tcW w:w="3823" w:type="pct"/>
          </w:tcPr>
          <w:p w14:paraId="5F028DAD">
            <w:pPr>
              <w:spacing w:before="120" w:after="120" w:line="240" w:lineRule="auto"/>
              <w:jc w:val="both"/>
              <w:rPr>
                <w:lang w:val="en-GB"/>
              </w:rPr>
            </w:pPr>
            <w:r>
              <w:rPr>
                <w:rFonts w:hint="default"/>
                <w:lang w:val="en-GB"/>
              </w:rPr>
              <w:t>The MSS Pilot Project's financial viability was assessed using the ROM Costs/Expenditures and ROM Benefits/Revenues provided in the Project Scenario Description, discounted at a combined rate of 7.8% (3% inflation + 4.8% cost of capital/interest rate on the project loan), in line with the assumptions stated in the scenario. The analysis produces a positive NPV, a payback period within the project's early years, and an ROI indicating the project is expected to return significantly more value than it costs. On this basis, the project appears financially viable and worth recommending to the Board for approval, though as ROM estimates carry a stated variance of 25–40%, these figures should be treated as directional rather than final.</w:t>
            </w:r>
          </w:p>
        </w:tc>
      </w:tr>
    </w:tbl>
    <w:p w14:paraId="1E1FC330">
      <w:pPr>
        <w:pStyle w:val="59"/>
      </w:pPr>
    </w:p>
    <w:p w14:paraId="0FDF4057">
      <w:pPr>
        <w:pStyle w:val="59"/>
      </w:pPr>
    </w:p>
    <w:tbl>
      <w:tblPr>
        <w:tblStyle w:val="64"/>
        <w:tblW w:w="4998" w:type="pct"/>
        <w:tblInd w:w="0" w:type="dxa"/>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Layout w:type="autofit"/>
        <w:tblCellMar>
          <w:top w:w="0" w:type="dxa"/>
          <w:left w:w="108" w:type="dxa"/>
          <w:bottom w:w="0" w:type="dxa"/>
          <w:right w:w="108" w:type="dxa"/>
        </w:tblCellMar>
      </w:tblPr>
      <w:tblGrid>
        <w:gridCol w:w="3529"/>
        <w:gridCol w:w="1331"/>
        <w:gridCol w:w="1332"/>
        <w:gridCol w:w="1332"/>
        <w:gridCol w:w="1332"/>
        <w:gridCol w:w="1334"/>
      </w:tblGrid>
      <w:tr w14:paraId="6A1796A9">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rPr>
          <w:trHeight w:val="255" w:hRule="atLeast"/>
        </w:trPr>
        <w:tc>
          <w:tcPr>
            <w:tcW w:w="1731" w:type="pct"/>
            <w:tcBorders>
              <w:bottom w:val="single" w:color="8EAADB" w:themeColor="accent1" w:themeTint="99" w:sz="12" w:space="0"/>
              <w:insideH w:val="single" w:sz="12" w:space="0"/>
            </w:tcBorders>
            <w:noWrap/>
          </w:tcPr>
          <w:p w14:paraId="4BB96FDC">
            <w:pPr>
              <w:spacing w:before="120" w:after="120" w:line="240" w:lineRule="auto"/>
              <w:jc w:val="center"/>
              <w:rPr>
                <w:rFonts w:ascii="Arial" w:hAnsi="Arial" w:eastAsia="Times New Roman" w:cs="Arial"/>
                <w:b w:val="0"/>
                <w:bCs w:val="0"/>
                <w:sz w:val="22"/>
                <w:szCs w:val="22"/>
                <w:lang w:eastAsia="en-AU"/>
              </w:rPr>
            </w:pPr>
            <w:r>
              <w:rPr>
                <w:rFonts w:ascii="Arial" w:hAnsi="Arial" w:eastAsia="Times New Roman" w:cs="Arial"/>
                <w:b/>
                <w:bCs/>
                <w:sz w:val="22"/>
                <w:szCs w:val="22"/>
                <w:lang w:eastAsia="en-AU"/>
              </w:rPr>
              <w:t>Description</w:t>
            </w:r>
          </w:p>
        </w:tc>
        <w:tc>
          <w:tcPr>
            <w:tcW w:w="653" w:type="pct"/>
            <w:tcBorders>
              <w:bottom w:val="single" w:color="8EAADB" w:themeColor="accent1" w:themeTint="99" w:sz="12" w:space="0"/>
              <w:insideH w:val="single" w:sz="12" w:space="0"/>
            </w:tcBorders>
            <w:noWrap/>
          </w:tcPr>
          <w:p w14:paraId="24053B3E">
            <w:pPr>
              <w:spacing w:before="120" w:after="120" w:line="240" w:lineRule="auto"/>
              <w:jc w:val="center"/>
              <w:rPr>
                <w:rFonts w:ascii="Arial" w:hAnsi="Arial" w:eastAsia="Times New Roman" w:cs="Arial"/>
                <w:b w:val="0"/>
                <w:bCs w:val="0"/>
                <w:sz w:val="22"/>
                <w:szCs w:val="22"/>
                <w:lang w:eastAsia="en-AU"/>
              </w:rPr>
            </w:pPr>
            <w:r>
              <w:rPr>
                <w:rFonts w:ascii="Arial" w:hAnsi="Arial" w:eastAsia="Times New Roman" w:cs="Arial"/>
                <w:b/>
                <w:bCs/>
                <w:sz w:val="22"/>
                <w:szCs w:val="22"/>
                <w:lang w:eastAsia="en-AU"/>
              </w:rPr>
              <w:t>Year 0</w:t>
            </w:r>
          </w:p>
        </w:tc>
        <w:tc>
          <w:tcPr>
            <w:tcW w:w="653" w:type="pct"/>
            <w:tcBorders>
              <w:bottom w:val="single" w:color="8EAADB" w:themeColor="accent1" w:themeTint="99" w:sz="12" w:space="0"/>
              <w:insideH w:val="single" w:sz="12" w:space="0"/>
            </w:tcBorders>
            <w:noWrap/>
          </w:tcPr>
          <w:p w14:paraId="77BE77B6">
            <w:pPr>
              <w:spacing w:before="120" w:after="120" w:line="240" w:lineRule="auto"/>
              <w:jc w:val="center"/>
              <w:rPr>
                <w:rFonts w:ascii="Arial" w:hAnsi="Arial" w:eastAsia="Times New Roman" w:cs="Arial"/>
                <w:b w:val="0"/>
                <w:bCs w:val="0"/>
                <w:sz w:val="22"/>
                <w:szCs w:val="22"/>
                <w:lang w:eastAsia="en-AU"/>
              </w:rPr>
            </w:pPr>
            <w:r>
              <w:rPr>
                <w:rFonts w:ascii="Arial" w:hAnsi="Arial" w:eastAsia="Times New Roman" w:cs="Arial"/>
                <w:b/>
                <w:bCs/>
                <w:sz w:val="22"/>
                <w:szCs w:val="22"/>
                <w:lang w:eastAsia="en-AU"/>
              </w:rPr>
              <w:t>Year 1</w:t>
            </w:r>
          </w:p>
        </w:tc>
        <w:tc>
          <w:tcPr>
            <w:tcW w:w="653" w:type="pct"/>
            <w:tcBorders>
              <w:bottom w:val="single" w:color="8EAADB" w:themeColor="accent1" w:themeTint="99" w:sz="12" w:space="0"/>
              <w:insideH w:val="single" w:sz="12" w:space="0"/>
            </w:tcBorders>
            <w:noWrap/>
          </w:tcPr>
          <w:p w14:paraId="6103782D">
            <w:pPr>
              <w:spacing w:before="120" w:after="120" w:line="240" w:lineRule="auto"/>
              <w:jc w:val="center"/>
              <w:rPr>
                <w:rFonts w:ascii="Arial" w:hAnsi="Arial" w:eastAsia="Times New Roman" w:cs="Arial"/>
                <w:b w:val="0"/>
                <w:bCs w:val="0"/>
                <w:sz w:val="22"/>
                <w:szCs w:val="22"/>
                <w:lang w:eastAsia="en-AU"/>
              </w:rPr>
            </w:pPr>
            <w:r>
              <w:rPr>
                <w:rFonts w:ascii="Arial" w:hAnsi="Arial" w:eastAsia="Times New Roman" w:cs="Arial"/>
                <w:b/>
                <w:bCs/>
                <w:sz w:val="22"/>
                <w:szCs w:val="22"/>
                <w:lang w:eastAsia="en-AU"/>
              </w:rPr>
              <w:t>Year 2</w:t>
            </w:r>
          </w:p>
        </w:tc>
        <w:tc>
          <w:tcPr>
            <w:tcW w:w="653" w:type="pct"/>
            <w:tcBorders>
              <w:bottom w:val="single" w:color="8EAADB" w:themeColor="accent1" w:themeTint="99" w:sz="12" w:space="0"/>
              <w:insideH w:val="single" w:sz="12" w:space="0"/>
            </w:tcBorders>
            <w:noWrap/>
          </w:tcPr>
          <w:p w14:paraId="5D264850">
            <w:pPr>
              <w:spacing w:before="120" w:after="120" w:line="240" w:lineRule="auto"/>
              <w:jc w:val="center"/>
              <w:rPr>
                <w:rFonts w:ascii="Arial" w:hAnsi="Arial" w:eastAsia="Times New Roman" w:cs="Arial"/>
                <w:b w:val="0"/>
                <w:bCs w:val="0"/>
                <w:sz w:val="22"/>
                <w:szCs w:val="22"/>
                <w:lang w:eastAsia="en-AU"/>
              </w:rPr>
            </w:pPr>
            <w:r>
              <w:rPr>
                <w:rFonts w:ascii="Arial" w:hAnsi="Arial" w:eastAsia="Times New Roman" w:cs="Arial"/>
                <w:b/>
                <w:bCs/>
                <w:sz w:val="22"/>
                <w:szCs w:val="22"/>
                <w:lang w:eastAsia="en-AU"/>
              </w:rPr>
              <w:t>Year 3</w:t>
            </w:r>
          </w:p>
        </w:tc>
        <w:tc>
          <w:tcPr>
            <w:tcW w:w="654" w:type="pct"/>
            <w:tcBorders>
              <w:bottom w:val="single" w:color="8EAADB" w:themeColor="accent1" w:themeTint="99" w:sz="12" w:space="0"/>
              <w:insideH w:val="single" w:sz="12" w:space="0"/>
            </w:tcBorders>
            <w:noWrap/>
          </w:tcPr>
          <w:p w14:paraId="5B13D7F0">
            <w:pPr>
              <w:spacing w:before="120" w:after="120" w:line="240" w:lineRule="auto"/>
              <w:jc w:val="center"/>
              <w:rPr>
                <w:rFonts w:hint="default" w:ascii="Arial" w:hAnsi="Arial" w:eastAsia="Times New Roman" w:cs="Arial"/>
                <w:b/>
                <w:bCs/>
                <w:sz w:val="22"/>
                <w:szCs w:val="22"/>
                <w:lang w:val="en-US" w:eastAsia="en-AU"/>
              </w:rPr>
            </w:pPr>
            <w:r>
              <w:rPr>
                <w:rFonts w:hint="default" w:ascii="Arial" w:hAnsi="Arial" w:eastAsia="Times New Roman" w:cs="Arial"/>
                <w:b/>
                <w:bCs/>
                <w:sz w:val="22"/>
                <w:szCs w:val="22"/>
                <w:lang w:val="en-US" w:eastAsia="en-AU"/>
              </w:rPr>
              <w:t>Total</w:t>
            </w:r>
          </w:p>
        </w:tc>
      </w:tr>
      <w:tr w14:paraId="2A14A060">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rPr>
          <w:trHeight w:val="255" w:hRule="atLeast"/>
        </w:trPr>
        <w:tc>
          <w:tcPr>
            <w:tcW w:w="1731" w:type="pct"/>
            <w:noWrap/>
          </w:tcPr>
          <w:p w14:paraId="42C5035B">
            <w:pPr>
              <w:spacing w:before="120" w:after="0" w:line="240" w:lineRule="auto"/>
              <w:rPr>
                <w:rFonts w:ascii="Arial" w:hAnsi="Arial" w:eastAsia="Times New Roman" w:cs="Arial"/>
                <w:b w:val="0"/>
                <w:bCs w:val="0"/>
                <w:sz w:val="20"/>
                <w:szCs w:val="20"/>
                <w:lang w:eastAsia="en-AU"/>
              </w:rPr>
            </w:pPr>
            <w:r>
              <w:rPr>
                <w:rFonts w:ascii="Arial" w:hAnsi="Arial" w:eastAsia="Times New Roman" w:cs="Arial"/>
                <w:b w:val="0"/>
                <w:bCs w:val="0"/>
                <w:sz w:val="20"/>
                <w:szCs w:val="20"/>
                <w:lang w:eastAsia="en-AU"/>
              </w:rPr>
              <w:t>Discounted ROM Costs/Expenditures</w:t>
            </w:r>
          </w:p>
        </w:tc>
        <w:tc>
          <w:tcPr>
            <w:tcW w:w="653" w:type="pct"/>
            <w:noWrap/>
          </w:tcPr>
          <w:p w14:paraId="1B1E8DD5">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$705,000</w:t>
            </w:r>
          </w:p>
        </w:tc>
        <w:tc>
          <w:tcPr>
            <w:tcW w:w="653" w:type="pct"/>
            <w:noWrap/>
          </w:tcPr>
          <w:p w14:paraId="7E33DAB3">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ab/>
            </w:r>
            <w:r>
              <w:rPr>
                <w:rFonts w:hint="default" w:ascii="Arial" w:hAnsi="Arial" w:cs="Arial"/>
                <w:sz w:val="20"/>
                <w:szCs w:val="20"/>
                <w:lang w:val="en-US"/>
              </w:rPr>
              <w:t>$548,700</w:t>
            </w:r>
          </w:p>
        </w:tc>
        <w:tc>
          <w:tcPr>
            <w:tcW w:w="653" w:type="pct"/>
            <w:noWrap/>
          </w:tcPr>
          <w:p w14:paraId="2659F951">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$361,200</w:t>
            </w:r>
          </w:p>
        </w:tc>
        <w:tc>
          <w:tcPr>
            <w:tcW w:w="653" w:type="pct"/>
            <w:noWrap/>
          </w:tcPr>
          <w:p w14:paraId="64BE6EAB">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$288,000</w:t>
            </w:r>
          </w:p>
        </w:tc>
        <w:tc>
          <w:tcPr>
            <w:tcW w:w="654" w:type="pct"/>
            <w:noWrap/>
          </w:tcPr>
          <w:p w14:paraId="52355C2A">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$1,902,900</w:t>
            </w:r>
          </w:p>
        </w:tc>
      </w:tr>
      <w:tr w14:paraId="588D6875">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rPr>
          <w:trHeight w:val="255" w:hRule="atLeast"/>
        </w:trPr>
        <w:tc>
          <w:tcPr>
            <w:tcW w:w="1731" w:type="pct"/>
            <w:noWrap/>
          </w:tcPr>
          <w:p w14:paraId="71409D83">
            <w:pPr>
              <w:spacing w:before="120" w:after="0" w:line="240" w:lineRule="auto"/>
              <w:rPr>
                <w:rFonts w:ascii="Arial" w:hAnsi="Arial" w:eastAsia="Times New Roman" w:cs="Arial"/>
                <w:b w:val="0"/>
                <w:bCs w:val="0"/>
                <w:sz w:val="20"/>
                <w:szCs w:val="20"/>
                <w:lang w:eastAsia="en-AU"/>
              </w:rPr>
            </w:pPr>
            <w:r>
              <w:rPr>
                <w:rFonts w:ascii="Arial" w:hAnsi="Arial" w:eastAsia="Times New Roman" w:cs="Arial"/>
                <w:b w:val="0"/>
                <w:bCs w:val="0"/>
                <w:sz w:val="20"/>
                <w:szCs w:val="20"/>
                <w:lang w:eastAsia="en-AU"/>
              </w:rPr>
              <w:t>Discounted ROM Benefits/Revenues</w:t>
            </w:r>
          </w:p>
        </w:tc>
        <w:tc>
          <w:tcPr>
            <w:tcW w:w="653" w:type="pct"/>
            <w:noWrap/>
          </w:tcPr>
          <w:p w14:paraId="56E78D45">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$256,000</w:t>
            </w:r>
          </w:p>
        </w:tc>
        <w:tc>
          <w:tcPr>
            <w:tcW w:w="653" w:type="pct"/>
            <w:noWrap/>
          </w:tcPr>
          <w:p w14:paraId="0C237273">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$757,950</w:t>
            </w:r>
          </w:p>
        </w:tc>
        <w:tc>
          <w:tcPr>
            <w:tcW w:w="653" w:type="pct"/>
            <w:noWrap/>
          </w:tcPr>
          <w:p w14:paraId="46EA6C36">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$963,200</w:t>
            </w:r>
          </w:p>
        </w:tc>
        <w:tc>
          <w:tcPr>
            <w:tcW w:w="653" w:type="pct"/>
            <w:noWrap/>
          </w:tcPr>
          <w:p w14:paraId="2A462391">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$1,064,800</w:t>
            </w:r>
          </w:p>
        </w:tc>
        <w:tc>
          <w:tcPr>
            <w:tcW w:w="654" w:type="pct"/>
            <w:noWrap/>
          </w:tcPr>
          <w:p w14:paraId="46B670FB">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$3,041,950</w:t>
            </w:r>
          </w:p>
        </w:tc>
      </w:tr>
      <w:tr w14:paraId="7F39E451">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rPr>
          <w:trHeight w:val="255" w:hRule="atLeast"/>
        </w:trPr>
        <w:tc>
          <w:tcPr>
            <w:tcW w:w="1731" w:type="pct"/>
            <w:noWrap/>
          </w:tcPr>
          <w:p w14:paraId="2D7A052C">
            <w:pPr>
              <w:spacing w:before="120" w:after="0" w:line="240" w:lineRule="auto"/>
              <w:rPr>
                <w:rFonts w:ascii="Arial" w:hAnsi="Arial" w:eastAsia="Times New Roman" w:cs="Arial"/>
                <w:b w:val="0"/>
                <w:bCs w:val="0"/>
                <w:sz w:val="20"/>
                <w:szCs w:val="20"/>
                <w:lang w:eastAsia="en-AU"/>
              </w:rPr>
            </w:pPr>
            <w:r>
              <w:rPr>
                <w:rFonts w:ascii="Arial" w:hAnsi="Arial" w:eastAsia="Times New Roman" w:cs="Arial"/>
                <w:b w:val="0"/>
                <w:bCs w:val="0"/>
                <w:sz w:val="20"/>
                <w:szCs w:val="20"/>
                <w:lang w:eastAsia="en-AU"/>
              </w:rPr>
              <w:t>Expected NPV adjusted Profit/Loss</w:t>
            </w:r>
          </w:p>
        </w:tc>
        <w:tc>
          <w:tcPr>
            <w:tcW w:w="653" w:type="pct"/>
            <w:noWrap/>
          </w:tcPr>
          <w:p w14:paraId="3D252C1F">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-$449,000</w:t>
            </w:r>
          </w:p>
        </w:tc>
        <w:tc>
          <w:tcPr>
            <w:tcW w:w="653" w:type="pct"/>
            <w:noWrap/>
          </w:tcPr>
          <w:p w14:paraId="561A7182">
            <w:pPr>
              <w:tabs>
                <w:tab w:val="decimal" w:pos="918"/>
              </w:tabs>
              <w:spacing w:before="120" w:after="0" w:line="240" w:lineRule="auto"/>
              <w:jc w:val="center"/>
              <w:rPr>
                <w:rFonts w:hint="default" w:ascii="Arial" w:hAnsi="Arial" w:cs="Arial"/>
                <w:sz w:val="20"/>
                <w:szCs w:val="20"/>
                <w:lang w:val="en-US"/>
              </w:rPr>
            </w:pPr>
            <w:r>
              <w:rPr>
                <w:rFonts w:hint="default" w:ascii="Arial" w:hAnsi="Arial" w:cs="Arial"/>
                <w:sz w:val="20"/>
                <w:szCs w:val="20"/>
                <w:lang w:val="en-US"/>
              </w:rPr>
              <w:t>$209,250</w:t>
            </w:r>
          </w:p>
        </w:tc>
        <w:tc>
          <w:tcPr>
            <w:tcW w:w="653" w:type="pct"/>
            <w:noWrap/>
          </w:tcPr>
          <w:p w14:paraId="4F8176AC">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rPr>
              <w:t>$6</w:t>
            </w:r>
            <w:r>
              <w:rPr>
                <w:rFonts w:hint="default" w:ascii="Arial" w:hAnsi="Arial" w:cs="Arial"/>
                <w:sz w:val="20"/>
                <w:szCs w:val="20"/>
                <w:lang w:val="en-US"/>
              </w:rPr>
              <w:t>02,000</w:t>
            </w:r>
          </w:p>
        </w:tc>
        <w:tc>
          <w:tcPr>
            <w:tcW w:w="653" w:type="pct"/>
            <w:noWrap/>
          </w:tcPr>
          <w:p w14:paraId="34B27449">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rPr>
              <w:tab/>
            </w:r>
            <w:r>
              <w:rPr>
                <w:rFonts w:hint="default" w:ascii="Arial" w:hAnsi="Arial" w:cs="Arial"/>
                <w:sz w:val="20"/>
                <w:szCs w:val="20"/>
              </w:rPr>
              <w:t>$</w:t>
            </w:r>
            <w:r>
              <w:rPr>
                <w:rFonts w:hint="default" w:ascii="Arial" w:hAnsi="Arial" w:cs="Arial"/>
                <w:sz w:val="20"/>
                <w:szCs w:val="20"/>
                <w:lang w:val="en-US"/>
              </w:rPr>
              <w:t>776,800</w:t>
            </w:r>
          </w:p>
        </w:tc>
        <w:tc>
          <w:tcPr>
            <w:tcW w:w="654" w:type="pct"/>
            <w:noWrap/>
          </w:tcPr>
          <w:p w14:paraId="52E15121">
            <w:pPr>
              <w:tabs>
                <w:tab w:val="decimal" w:pos="918"/>
              </w:tabs>
              <w:spacing w:before="120" w:after="0" w:line="240" w:lineRule="auto"/>
              <w:jc w:val="right"/>
              <w:rPr>
                <w:rFonts w:hint="default" w:ascii="Arial" w:hAnsi="Arial" w:cs="Arial"/>
                <w:sz w:val="20"/>
                <w:szCs w:val="20"/>
                <w:lang w:val="en-US"/>
              </w:rPr>
            </w:pPr>
            <w:r>
              <w:rPr>
                <w:rFonts w:hint="default" w:ascii="Arial" w:hAnsi="Arial" w:cs="Arial"/>
                <w:sz w:val="20"/>
                <w:szCs w:val="20"/>
                <w:lang w:val="en-US"/>
              </w:rPr>
              <w:t>$1,139,050</w:t>
            </w:r>
          </w:p>
        </w:tc>
      </w:tr>
    </w:tbl>
    <w:p w14:paraId="58AA4781">
      <w:pPr>
        <w:pStyle w:val="59"/>
        <w:rPr>
          <w:rFonts w:ascii="Arial" w:hAnsi="Arial" w:cs="Arial"/>
        </w:rPr>
      </w:pPr>
    </w:p>
    <w:tbl>
      <w:tblPr>
        <w:tblStyle w:val="64"/>
        <w:tblW w:w="5000" w:type="pct"/>
        <w:tblInd w:w="0" w:type="dxa"/>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Layout w:type="autofit"/>
        <w:tblCellMar>
          <w:top w:w="0" w:type="dxa"/>
          <w:left w:w="108" w:type="dxa"/>
          <w:bottom w:w="0" w:type="dxa"/>
          <w:right w:w="108" w:type="dxa"/>
        </w:tblCellMar>
      </w:tblPr>
      <w:tblGrid>
        <w:gridCol w:w="2239"/>
        <w:gridCol w:w="7955"/>
      </w:tblGrid>
      <w:tr w14:paraId="59D450AD">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1098" w:type="pct"/>
            <w:tcBorders>
              <w:bottom w:val="single" w:color="8EAADB" w:themeColor="accent1" w:themeTint="99" w:sz="12" w:space="0"/>
              <w:insideH w:val="single" w:sz="12" w:space="0"/>
            </w:tcBorders>
          </w:tcPr>
          <w:p w14:paraId="049955C0">
            <w:pPr>
              <w:spacing w:before="40" w:after="40" w:line="240" w:lineRule="auto"/>
              <w:rPr>
                <w:rFonts w:ascii="Arial" w:hAnsi="Arial" w:cs="Arial"/>
                <w:b w:val="0"/>
                <w:bCs/>
                <w:sz w:val="22"/>
                <w:szCs w:val="22"/>
                <w:lang w:val="en-GB"/>
              </w:rPr>
            </w:pPr>
            <w:r>
              <w:rPr>
                <w:rFonts w:ascii="Arial" w:hAnsi="Arial" w:cs="Arial"/>
                <w:b/>
                <w:bCs/>
                <w:sz w:val="22"/>
                <w:szCs w:val="22"/>
                <w:lang w:val="en-GB"/>
              </w:rPr>
              <w:t>NPV</w:t>
            </w:r>
          </w:p>
        </w:tc>
        <w:tc>
          <w:tcPr>
            <w:tcW w:w="3902" w:type="pct"/>
            <w:tcBorders>
              <w:bottom w:val="single" w:color="8EAADB" w:themeColor="accent1" w:themeTint="99" w:sz="12" w:space="0"/>
              <w:insideH w:val="single" w:sz="12" w:space="0"/>
            </w:tcBorders>
          </w:tcPr>
          <w:p w14:paraId="097B4A0B">
            <w:pPr>
              <w:spacing w:before="40" w:after="40" w:line="240" w:lineRule="auto"/>
              <w:rPr>
                <w:rFonts w:hint="default" w:ascii="Arial" w:hAnsi="Arial" w:cs="Arial"/>
                <w:b/>
                <w:bCs/>
                <w:sz w:val="22"/>
                <w:szCs w:val="22"/>
                <w:lang w:val="en-US"/>
              </w:rPr>
            </w:pPr>
            <w:r>
              <w:rPr>
                <w:rFonts w:hint="default" w:ascii="Arial" w:hAnsi="Arial" w:cs="Arial"/>
                <w:b w:val="0"/>
                <w:bCs w:val="0"/>
                <w:sz w:val="22"/>
                <w:szCs w:val="22"/>
                <w:lang w:val="en-US"/>
              </w:rPr>
              <w:t>≈ $1,139,050</w:t>
            </w:r>
          </w:p>
        </w:tc>
      </w:tr>
      <w:tr w14:paraId="3BE09659">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1098" w:type="pct"/>
          </w:tcPr>
          <w:p w14:paraId="4127DE08">
            <w:pPr>
              <w:spacing w:before="40" w:after="40" w:line="240" w:lineRule="auto"/>
              <w:rPr>
                <w:rFonts w:ascii="Arial" w:hAnsi="Arial" w:cs="Arial"/>
                <w:b w:val="0"/>
                <w:bCs/>
                <w:sz w:val="22"/>
                <w:szCs w:val="22"/>
                <w:lang w:val="en-GB"/>
              </w:rPr>
            </w:pPr>
            <w:r>
              <w:rPr>
                <w:rFonts w:ascii="Arial" w:hAnsi="Arial" w:cs="Arial"/>
                <w:b/>
                <w:bCs/>
                <w:sz w:val="22"/>
                <w:szCs w:val="22"/>
                <w:lang w:val="en-GB"/>
              </w:rPr>
              <w:t>ROI</w:t>
            </w:r>
          </w:p>
        </w:tc>
        <w:tc>
          <w:tcPr>
            <w:tcW w:w="3902" w:type="pct"/>
          </w:tcPr>
          <w:p w14:paraId="317DA2F0">
            <w:pPr>
              <w:spacing w:before="40" w:after="40" w:line="240" w:lineRule="auto"/>
              <w:rPr>
                <w:rFonts w:ascii="Arial" w:hAnsi="Arial" w:cs="Arial"/>
                <w:sz w:val="22"/>
                <w:szCs w:val="22"/>
                <w:lang w:val="en-GB"/>
              </w:rPr>
            </w:pPr>
            <w:r>
              <w:rPr>
                <w:rFonts w:hint="default" w:ascii="Arial" w:hAnsi="Arial" w:cs="Arial"/>
                <w:sz w:val="22"/>
                <w:szCs w:val="22"/>
                <w:lang w:val="en-GB"/>
              </w:rPr>
              <w:t xml:space="preserve">≈ </w:t>
            </w:r>
            <w:r>
              <w:rPr>
                <w:rFonts w:hint="default" w:ascii="Arial" w:hAnsi="Arial" w:cs="Arial"/>
                <w:sz w:val="22"/>
                <w:szCs w:val="22"/>
                <w:lang w:val="en-US"/>
              </w:rPr>
              <w:t>60%</w:t>
            </w:r>
            <w:r>
              <w:rPr>
                <w:rFonts w:hint="default" w:ascii="Arial" w:hAnsi="Arial" w:cs="Arial"/>
                <w:sz w:val="22"/>
                <w:szCs w:val="22"/>
                <w:lang w:val="en-GB"/>
              </w:rPr>
              <w:t xml:space="preserve"> (discounted total benefit $3,041,950 vs. discounted total cost $1,902,900)</w:t>
            </w:r>
          </w:p>
        </w:tc>
      </w:tr>
      <w:tr w14:paraId="43AC92C6">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1098" w:type="pct"/>
          </w:tcPr>
          <w:p w14:paraId="31F4A0E9">
            <w:pPr>
              <w:spacing w:before="40" w:after="40" w:line="240" w:lineRule="auto"/>
              <w:rPr>
                <w:rFonts w:ascii="Arial" w:hAnsi="Arial" w:cs="Arial"/>
                <w:b w:val="0"/>
                <w:bCs/>
                <w:sz w:val="22"/>
                <w:szCs w:val="22"/>
                <w:lang w:val="en-GB"/>
              </w:rPr>
            </w:pPr>
            <w:r>
              <w:rPr>
                <w:rFonts w:ascii="Arial" w:hAnsi="Arial" w:cs="Arial"/>
                <w:b/>
                <w:bCs/>
                <w:sz w:val="22"/>
                <w:szCs w:val="22"/>
                <w:lang w:val="en-GB"/>
              </w:rPr>
              <w:t>Payback Period</w:t>
            </w:r>
          </w:p>
        </w:tc>
        <w:tc>
          <w:tcPr>
            <w:tcW w:w="3902" w:type="pct"/>
          </w:tcPr>
          <w:p w14:paraId="10CDD68D">
            <w:pPr>
              <w:spacing w:before="40" w:after="40" w:line="240" w:lineRule="auto"/>
              <w:rPr>
                <w:rFonts w:ascii="Arial" w:hAnsi="Arial" w:cs="Arial"/>
                <w:sz w:val="22"/>
                <w:szCs w:val="22"/>
                <w:lang w:val="en-GB"/>
              </w:rPr>
            </w:pPr>
            <w:r>
              <w:rPr>
                <w:rFonts w:hint="default" w:ascii="Arial" w:hAnsi="Arial" w:cs="Arial"/>
                <w:sz w:val="22"/>
                <w:szCs w:val="22"/>
                <w:lang w:val="en-GB"/>
              </w:rPr>
              <w:t xml:space="preserve">≈ </w:t>
            </w:r>
            <w:r>
              <w:rPr>
                <w:rFonts w:hint="default" w:ascii="Arial" w:hAnsi="Arial" w:cs="Arial"/>
                <w:sz w:val="22"/>
                <w:szCs w:val="22"/>
                <w:lang w:val="en-US"/>
              </w:rPr>
              <w:t>2</w:t>
            </w:r>
            <w:r>
              <w:rPr>
                <w:rFonts w:hint="default" w:ascii="Arial" w:hAnsi="Arial" w:cs="Arial"/>
                <w:sz w:val="22"/>
                <w:szCs w:val="22"/>
                <w:lang w:val="en-GB"/>
              </w:rPr>
              <w:t xml:space="preserve"> year, 4 months (cumulative discounted cash flow turns positive partway through Year 2)</w:t>
            </w:r>
          </w:p>
        </w:tc>
      </w:tr>
    </w:tbl>
    <w:p w14:paraId="73C0EFB9">
      <w:pPr>
        <w:pStyle w:val="59"/>
      </w:pPr>
    </w:p>
    <w:p w14:paraId="7C27CCA3">
      <w:pPr>
        <w:pStyle w:val="2"/>
        <w:shd w:val="clear" w:color="auto" w:fill="4472C4" w:themeFill="accent1"/>
        <w:rPr>
          <w:color w:val="E7E6E6" w:themeColor="background2"/>
          <w:lang w:val="en-GB"/>
          <w14:textFill>
            <w14:solidFill>
              <w14:schemeClr w14:val="bg2"/>
            </w14:solidFill>
          </w14:textFill>
        </w:rPr>
      </w:pPr>
      <w:bookmarkStart w:id="3" w:name="_Toc218970116"/>
      <w:r>
        <w:rPr>
          <w:color w:val="E7E6E6" w:themeColor="background2"/>
          <w:lang w:val="en-GB"/>
          <w14:textFill>
            <w14:solidFill>
              <w14:schemeClr w14:val="bg2"/>
            </w14:solidFill>
          </w14:textFill>
        </w:rPr>
        <w:t>Project Timeline</w:t>
      </w:r>
      <w:bookmarkEnd w:id="3"/>
      <w:r>
        <w:rPr>
          <w:color w:val="E7E6E6" w:themeColor="background2"/>
          <w:lang w:val="en-GB"/>
          <w14:textFill>
            <w14:solidFill>
              <w14:schemeClr w14:val="bg2"/>
            </w14:solidFill>
          </w14:textFill>
        </w:rPr>
        <w:t xml:space="preserve"> </w:t>
      </w:r>
    </w:p>
    <w:tbl>
      <w:tblPr>
        <w:tblStyle w:val="3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3"/>
        <w:gridCol w:w="8427"/>
      </w:tblGrid>
      <w:tr w14:paraId="4D05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pct"/>
          </w:tcPr>
          <w:p w14:paraId="4153FD55">
            <w:pPr>
              <w:spacing w:before="120" w:after="120" w:line="240" w:lineRule="auto"/>
              <w:jc w:val="both"/>
              <w:rPr>
                <w:rFonts w:ascii="Arial" w:hAnsi="Arial" w:cs="Arial"/>
                <w:b/>
                <w:bCs/>
                <w:sz w:val="22"/>
                <w:szCs w:val="22"/>
                <w:lang w:val="en-GB"/>
              </w:rPr>
            </w:pPr>
            <w:r>
              <w:rPr>
                <w:rFonts w:ascii="Arial" w:hAnsi="Arial" w:cs="Arial"/>
                <w:b/>
                <w:bCs/>
                <w:sz w:val="22"/>
                <w:szCs w:val="22"/>
                <w:lang w:val="en-GB"/>
              </w:rPr>
              <w:t>Project Time</w:t>
            </w:r>
          </w:p>
        </w:tc>
        <w:tc>
          <w:tcPr>
            <w:tcW w:w="4134" w:type="pct"/>
          </w:tcPr>
          <w:p w14:paraId="1B25E948">
            <w:pPr>
              <w:spacing w:before="120" w:after="120" w:line="240" w:lineRule="auto"/>
              <w:jc w:val="both"/>
              <w:rPr>
                <w:rFonts w:hint="default"/>
                <w:lang w:val="en-US"/>
              </w:rPr>
            </w:pPr>
            <w:r>
              <w:rPr>
                <w:lang w:val="en-GB"/>
              </w:rPr>
              <w:t>Start Date:</w:t>
            </w:r>
            <w:r>
              <w:rPr>
                <w:rFonts w:hint="default"/>
                <w:lang w:val="en-US"/>
              </w:rPr>
              <w:t xml:space="preserve"> 01 June 2026</w:t>
            </w:r>
          </w:p>
          <w:p w14:paraId="4E2A6F88">
            <w:pPr>
              <w:spacing w:before="120" w:after="120" w:line="240" w:lineRule="auto"/>
              <w:jc w:val="both"/>
              <w:rPr>
                <w:rFonts w:hint="default"/>
                <w:lang w:val="en-US"/>
              </w:rPr>
            </w:pPr>
            <w:r>
              <w:rPr>
                <w:lang w:val="en-GB"/>
              </w:rPr>
              <w:t>Expected End Date:</w:t>
            </w:r>
            <w:r>
              <w:rPr>
                <w:rFonts w:hint="default"/>
                <w:lang w:val="en-US"/>
              </w:rPr>
              <w:t xml:space="preserve"> 27 August 2027</w:t>
            </w:r>
          </w:p>
        </w:tc>
      </w:tr>
      <w:tr w14:paraId="05B3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pct"/>
          </w:tcPr>
          <w:p w14:paraId="6C5C53F5">
            <w:pPr>
              <w:spacing w:before="120" w:after="120" w:line="240" w:lineRule="auto"/>
              <w:jc w:val="both"/>
              <w:rPr>
                <w:rFonts w:ascii="Arial" w:hAnsi="Arial" w:cs="Arial"/>
                <w:b/>
                <w:bCs/>
                <w:sz w:val="22"/>
                <w:szCs w:val="22"/>
                <w:lang w:val="en-GB"/>
              </w:rPr>
            </w:pPr>
            <w:r>
              <w:rPr>
                <w:rFonts w:ascii="Arial" w:hAnsi="Arial" w:cs="Arial"/>
                <w:b/>
                <w:bCs/>
                <w:sz w:val="22"/>
                <w:szCs w:val="22"/>
                <w:lang w:val="en-GB"/>
              </w:rPr>
              <w:t>Progress Milestones:</w:t>
            </w:r>
          </w:p>
        </w:tc>
        <w:tc>
          <w:tcPr>
            <w:tcW w:w="4134" w:type="pct"/>
          </w:tcPr>
          <w:tbl>
            <w:tblPr>
              <w:tblStyle w:val="13"/>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2"/>
              <w:gridCol w:w="5960"/>
              <w:gridCol w:w="869"/>
            </w:tblGrid>
            <w:tr w14:paraId="1A963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06D9DDB4">
                  <w:pPr>
                    <w:spacing w:before="120" w:after="120" w:line="240" w:lineRule="auto"/>
                    <w:jc w:val="both"/>
                    <w:rPr>
                      <w:lang w:val="en-GB"/>
                    </w:rPr>
                  </w:pPr>
                  <w:r>
                    <w:rPr>
                      <w:lang w:val="en-GB" w:eastAsia="zh-CN"/>
                    </w:rPr>
                    <w:t>Date</w:t>
                  </w:r>
                </w:p>
              </w:tc>
              <w:tc>
                <w:tcPr>
                  <w:tcW w:w="5930" w:type="dxa"/>
                  <w:shd w:val="clear" w:color="auto" w:fill="auto"/>
                  <w:vAlign w:val="center"/>
                </w:tcPr>
                <w:p w14:paraId="4E26B45E">
                  <w:pPr>
                    <w:spacing w:before="120" w:after="120" w:line="240" w:lineRule="auto"/>
                    <w:jc w:val="both"/>
                    <w:rPr>
                      <w:lang w:val="en-GB"/>
                    </w:rPr>
                  </w:pPr>
                  <w:r>
                    <w:rPr>
                      <w:lang w:val="en-GB" w:eastAsia="zh-CN"/>
                    </w:rPr>
                    <w:t>Milestone</w:t>
                  </w:r>
                </w:p>
              </w:tc>
              <w:tc>
                <w:tcPr>
                  <w:tcW w:w="824" w:type="dxa"/>
                  <w:shd w:val="clear" w:color="auto" w:fill="auto"/>
                  <w:vAlign w:val="center"/>
                </w:tcPr>
                <w:p w14:paraId="21641A46">
                  <w:pPr>
                    <w:spacing w:before="120" w:after="120" w:line="240" w:lineRule="auto"/>
                    <w:jc w:val="both"/>
                    <w:rPr>
                      <w:lang w:val="en-GB"/>
                    </w:rPr>
                  </w:pPr>
                  <w:r>
                    <w:rPr>
                      <w:lang w:val="en-GB" w:eastAsia="zh-CN"/>
                    </w:rPr>
                    <w:t>Source</w:t>
                  </w:r>
                </w:p>
              </w:tc>
            </w:tr>
            <w:tr w14:paraId="4CBFF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36AD096D">
                  <w:pPr>
                    <w:spacing w:before="120" w:after="120" w:line="240" w:lineRule="auto"/>
                    <w:jc w:val="both"/>
                    <w:rPr>
                      <w:lang w:val="en-GB"/>
                    </w:rPr>
                  </w:pPr>
                  <w:r>
                    <w:rPr>
                      <w:lang w:val="en-GB" w:eastAsia="zh-CN"/>
                    </w:rPr>
                    <w:t>01 Mar 2026</w:t>
                  </w:r>
                </w:p>
              </w:tc>
              <w:tc>
                <w:tcPr>
                  <w:tcW w:w="5930" w:type="dxa"/>
                  <w:shd w:val="clear" w:color="auto" w:fill="auto"/>
                  <w:vAlign w:val="center"/>
                </w:tcPr>
                <w:p w14:paraId="20F43924">
                  <w:pPr>
                    <w:spacing w:before="120" w:after="120" w:line="240" w:lineRule="auto"/>
                    <w:jc w:val="both"/>
                    <w:rPr>
                      <w:lang w:val="en-GB"/>
                    </w:rPr>
                  </w:pPr>
                  <w:r>
                    <w:rPr>
                      <w:lang w:val="en-GB" w:eastAsia="zh-CN"/>
                    </w:rPr>
                    <w:t>Preparations Commence — informal stakeholder/contractor relationship-building; Board materials (incl. Project Charter) developed</w:t>
                  </w:r>
                </w:p>
              </w:tc>
              <w:tc>
                <w:tcPr>
                  <w:tcW w:w="824" w:type="dxa"/>
                  <w:shd w:val="clear" w:color="auto" w:fill="auto"/>
                  <w:vAlign w:val="center"/>
                </w:tcPr>
                <w:p w14:paraId="3515CE04">
                  <w:pPr>
                    <w:spacing w:before="120" w:after="120" w:line="240" w:lineRule="auto"/>
                    <w:jc w:val="both"/>
                    <w:rPr>
                      <w:lang w:val="en-GB"/>
                    </w:rPr>
                  </w:pPr>
                  <w:r>
                    <w:rPr>
                      <w:lang w:val="en-GB" w:eastAsia="zh-CN"/>
                    </w:rPr>
                    <w:t>Given</w:t>
                  </w:r>
                </w:p>
              </w:tc>
            </w:tr>
            <w:tr w14:paraId="1A8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062B2D0B">
                  <w:pPr>
                    <w:spacing w:before="120" w:after="120" w:line="240" w:lineRule="auto"/>
                    <w:jc w:val="both"/>
                    <w:rPr>
                      <w:lang w:val="en-GB"/>
                    </w:rPr>
                  </w:pPr>
                  <w:r>
                    <w:rPr>
                      <w:lang w:val="en-GB" w:eastAsia="zh-CN"/>
                    </w:rPr>
                    <w:t>13 Apr 2026</w:t>
                  </w:r>
                </w:p>
              </w:tc>
              <w:tc>
                <w:tcPr>
                  <w:tcW w:w="5930" w:type="dxa"/>
                  <w:shd w:val="clear" w:color="auto" w:fill="auto"/>
                  <w:vAlign w:val="center"/>
                </w:tcPr>
                <w:p w14:paraId="01AB4A41">
                  <w:pPr>
                    <w:spacing w:before="120" w:after="120" w:line="240" w:lineRule="auto"/>
                    <w:jc w:val="both"/>
                    <w:rPr>
                      <w:lang w:val="en-GB"/>
                    </w:rPr>
                  </w:pPr>
                  <w:r>
                    <w:rPr>
                      <w:lang w:val="en-GB" w:eastAsia="zh-CN"/>
                    </w:rPr>
                    <w:t>Submission to the Board — project materials submitted for approval decision</w:t>
                  </w:r>
                </w:p>
              </w:tc>
              <w:tc>
                <w:tcPr>
                  <w:tcW w:w="824" w:type="dxa"/>
                  <w:shd w:val="clear" w:color="auto" w:fill="auto"/>
                  <w:vAlign w:val="center"/>
                </w:tcPr>
                <w:p w14:paraId="3C17A1E1">
                  <w:pPr>
                    <w:spacing w:before="120" w:after="120" w:line="240" w:lineRule="auto"/>
                    <w:jc w:val="both"/>
                    <w:rPr>
                      <w:lang w:val="en-GB"/>
                    </w:rPr>
                  </w:pPr>
                  <w:r>
                    <w:rPr>
                      <w:lang w:val="en-GB" w:eastAsia="zh-CN"/>
                    </w:rPr>
                    <w:t>Given</w:t>
                  </w:r>
                </w:p>
              </w:tc>
            </w:tr>
            <w:tr w14:paraId="59646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3966AA0B">
                  <w:pPr>
                    <w:spacing w:before="120" w:after="120" w:line="240" w:lineRule="auto"/>
                    <w:jc w:val="both"/>
                    <w:rPr>
                      <w:lang w:val="en-GB"/>
                    </w:rPr>
                  </w:pPr>
                  <w:r>
                    <w:rPr>
                      <w:lang w:val="en-GB" w:eastAsia="zh-CN"/>
                    </w:rPr>
                    <w:t>25 May 2026</w:t>
                  </w:r>
                </w:p>
              </w:tc>
              <w:tc>
                <w:tcPr>
                  <w:tcW w:w="5930" w:type="dxa"/>
                  <w:shd w:val="clear" w:color="auto" w:fill="auto"/>
                  <w:vAlign w:val="center"/>
                </w:tcPr>
                <w:p w14:paraId="5AC78512">
                  <w:pPr>
                    <w:spacing w:before="120" w:after="120" w:line="240" w:lineRule="auto"/>
                    <w:jc w:val="both"/>
                    <w:rPr>
                      <w:lang w:val="en-GB"/>
                    </w:rPr>
                  </w:pPr>
                  <w:r>
                    <w:rPr>
                      <w:lang w:val="en-GB" w:eastAsia="zh-CN"/>
                    </w:rPr>
                    <w:t>Board Approval — Stage Gate approval for Project Charter/Business Case</w:t>
                  </w:r>
                </w:p>
              </w:tc>
              <w:tc>
                <w:tcPr>
                  <w:tcW w:w="824" w:type="dxa"/>
                  <w:shd w:val="clear" w:color="auto" w:fill="auto"/>
                  <w:vAlign w:val="center"/>
                </w:tcPr>
                <w:p w14:paraId="054F0754">
                  <w:pPr>
                    <w:spacing w:before="120" w:after="120" w:line="240" w:lineRule="auto"/>
                    <w:jc w:val="both"/>
                    <w:rPr>
                      <w:lang w:val="en-GB"/>
                    </w:rPr>
                  </w:pPr>
                  <w:r>
                    <w:rPr>
                      <w:lang w:val="en-GB" w:eastAsia="zh-CN"/>
                    </w:rPr>
                    <w:t>Given</w:t>
                  </w:r>
                </w:p>
              </w:tc>
            </w:tr>
            <w:tr w14:paraId="43277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62D83781">
                  <w:pPr>
                    <w:spacing w:before="120" w:after="120" w:line="240" w:lineRule="auto"/>
                    <w:jc w:val="both"/>
                    <w:rPr>
                      <w:lang w:val="en-GB"/>
                    </w:rPr>
                  </w:pPr>
                  <w:r>
                    <w:rPr>
                      <w:lang w:val="en-GB" w:eastAsia="zh-CN"/>
                    </w:rPr>
                    <w:t>01 Jun 2026</w:t>
                  </w:r>
                </w:p>
              </w:tc>
              <w:tc>
                <w:tcPr>
                  <w:tcW w:w="5930" w:type="dxa"/>
                  <w:shd w:val="clear" w:color="auto" w:fill="auto"/>
                  <w:vAlign w:val="center"/>
                </w:tcPr>
                <w:p w14:paraId="7FB40105">
                  <w:pPr>
                    <w:spacing w:before="120" w:after="120" w:line="240" w:lineRule="auto"/>
                    <w:jc w:val="both"/>
                    <w:rPr>
                      <w:lang w:val="en-GB"/>
                    </w:rPr>
                  </w:pPr>
                  <w:r>
                    <w:rPr>
                      <w:lang w:val="en-GB" w:eastAsia="zh-CN"/>
                    </w:rPr>
                    <w:t>Formal Project Start Date — project funds formally allocated</w:t>
                  </w:r>
                </w:p>
              </w:tc>
              <w:tc>
                <w:tcPr>
                  <w:tcW w:w="824" w:type="dxa"/>
                  <w:shd w:val="clear" w:color="auto" w:fill="auto"/>
                  <w:vAlign w:val="center"/>
                </w:tcPr>
                <w:p w14:paraId="3083296A">
                  <w:pPr>
                    <w:spacing w:before="120" w:after="120" w:line="240" w:lineRule="auto"/>
                    <w:jc w:val="both"/>
                    <w:rPr>
                      <w:lang w:val="en-GB"/>
                    </w:rPr>
                  </w:pPr>
                  <w:r>
                    <w:rPr>
                      <w:lang w:val="en-GB" w:eastAsia="zh-CN"/>
                    </w:rPr>
                    <w:t>Given</w:t>
                  </w:r>
                </w:p>
              </w:tc>
            </w:tr>
            <w:tr w14:paraId="0991D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0376AFF7">
                  <w:pPr>
                    <w:spacing w:before="120" w:after="120" w:line="240" w:lineRule="auto"/>
                    <w:jc w:val="both"/>
                    <w:rPr>
                      <w:lang w:val="en-GB"/>
                    </w:rPr>
                  </w:pPr>
                  <w:r>
                    <w:rPr>
                      <w:lang w:val="en-GB" w:eastAsia="zh-CN"/>
                    </w:rPr>
                    <w:t>01 Jun 2026</w:t>
                  </w:r>
                </w:p>
              </w:tc>
              <w:tc>
                <w:tcPr>
                  <w:tcW w:w="5930" w:type="dxa"/>
                  <w:shd w:val="clear" w:color="auto" w:fill="auto"/>
                  <w:vAlign w:val="center"/>
                </w:tcPr>
                <w:p w14:paraId="3E97A734">
                  <w:pPr>
                    <w:spacing w:before="120" w:after="120" w:line="240" w:lineRule="auto"/>
                    <w:jc w:val="both"/>
                    <w:rPr>
                      <w:lang w:val="en-GB"/>
                    </w:rPr>
                  </w:pPr>
                  <w:r>
                    <w:rPr>
                      <w:lang w:val="en-GB" w:eastAsia="zh-CN"/>
                    </w:rPr>
                    <w:t>Engage Providers — RFT process to select SaaS vendor and contractors</w:t>
                  </w:r>
                </w:p>
              </w:tc>
              <w:tc>
                <w:tcPr>
                  <w:tcW w:w="824" w:type="dxa"/>
                  <w:shd w:val="clear" w:color="auto" w:fill="auto"/>
                  <w:vAlign w:val="center"/>
                </w:tcPr>
                <w:p w14:paraId="16CDD4E4">
                  <w:pPr>
                    <w:spacing w:before="120" w:after="120" w:line="240" w:lineRule="auto"/>
                    <w:jc w:val="both"/>
                    <w:rPr>
                      <w:lang w:val="en-GB"/>
                    </w:rPr>
                  </w:pPr>
                  <w:r>
                    <w:rPr>
                      <w:lang w:val="en-GB" w:eastAsia="zh-CN"/>
                    </w:rPr>
                    <w:t>Given</w:t>
                  </w:r>
                </w:p>
              </w:tc>
            </w:tr>
            <w:tr w14:paraId="52B61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4A09A16A">
                  <w:pPr>
                    <w:spacing w:before="120" w:after="120" w:line="240" w:lineRule="auto"/>
                    <w:jc w:val="both"/>
                    <w:rPr>
                      <w:lang w:val="en-GB"/>
                    </w:rPr>
                  </w:pPr>
                  <w:r>
                    <w:rPr>
                      <w:lang w:val="en-GB" w:eastAsia="zh-CN"/>
                    </w:rPr>
                    <w:t>15 Jun 2026</w:t>
                  </w:r>
                </w:p>
              </w:tc>
              <w:tc>
                <w:tcPr>
                  <w:tcW w:w="5930" w:type="dxa"/>
                  <w:shd w:val="clear" w:color="auto" w:fill="auto"/>
                  <w:vAlign w:val="center"/>
                </w:tcPr>
                <w:p w14:paraId="7BE7AE34">
                  <w:pPr>
                    <w:spacing w:before="120" w:after="120" w:line="240" w:lineRule="auto"/>
                    <w:jc w:val="both"/>
                    <w:rPr>
                      <w:lang w:val="en-GB"/>
                    </w:rPr>
                  </w:pPr>
                  <w:r>
                    <w:rPr>
                      <w:lang w:val="en-GB" w:eastAsia="zh-CN"/>
                    </w:rPr>
                    <w:t>Commence MSS Software Development (Sub-Project I) — agile development begins</w:t>
                  </w:r>
                </w:p>
              </w:tc>
              <w:tc>
                <w:tcPr>
                  <w:tcW w:w="824" w:type="dxa"/>
                  <w:shd w:val="clear" w:color="auto" w:fill="auto"/>
                  <w:vAlign w:val="center"/>
                </w:tcPr>
                <w:p w14:paraId="6712F5B5">
                  <w:pPr>
                    <w:spacing w:before="120" w:after="120" w:line="240" w:lineRule="auto"/>
                    <w:jc w:val="both"/>
                    <w:rPr>
                      <w:lang w:val="en-GB"/>
                    </w:rPr>
                  </w:pPr>
                  <w:r>
                    <w:rPr>
                      <w:lang w:val="en-GB" w:eastAsia="zh-CN"/>
                    </w:rPr>
                    <w:t>Given</w:t>
                  </w:r>
                </w:p>
              </w:tc>
            </w:tr>
            <w:tr w14:paraId="3D4EF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022BCE44">
                  <w:pPr>
                    <w:spacing w:before="120" w:after="120" w:line="240" w:lineRule="auto"/>
                    <w:jc w:val="both"/>
                    <w:rPr>
                      <w:lang w:val="en-GB"/>
                    </w:rPr>
                  </w:pPr>
                  <w:r>
                    <w:rPr>
                      <w:lang w:val="en-GB" w:eastAsia="zh-CN"/>
                    </w:rPr>
                    <w:t>01 Jul 2026</w:t>
                  </w:r>
                </w:p>
              </w:tc>
              <w:tc>
                <w:tcPr>
                  <w:tcW w:w="5930" w:type="dxa"/>
                  <w:shd w:val="clear" w:color="auto" w:fill="auto"/>
                  <w:vAlign w:val="center"/>
                </w:tcPr>
                <w:p w14:paraId="421B440B">
                  <w:pPr>
                    <w:spacing w:before="120" w:after="120" w:line="240" w:lineRule="auto"/>
                    <w:jc w:val="both"/>
                    <w:rPr>
                      <w:rFonts w:hint="default"/>
                      <w:lang w:val="en-US" w:eastAsia="zh-CN"/>
                    </w:rPr>
                  </w:pPr>
                  <w:r>
                    <w:rPr>
                      <w:rFonts w:hint="default"/>
                      <w:lang w:val="en-US" w:eastAsia="zh-CN"/>
                    </w:rPr>
                    <w:t>Product Backlog finalized in Azure DevOps — 25 prioritized user stories scoped across six 2-week sprints (Sprint 1–6, 15 Jun–6 Sep 2026)</w:t>
                  </w:r>
                </w:p>
              </w:tc>
              <w:tc>
                <w:tcPr>
                  <w:tcW w:w="824" w:type="dxa"/>
                  <w:shd w:val="clear" w:color="auto" w:fill="auto"/>
                  <w:vAlign w:val="center"/>
                </w:tcPr>
                <w:p w14:paraId="11152B30">
                  <w:pPr>
                    <w:spacing w:before="120" w:after="120" w:line="240" w:lineRule="auto"/>
                    <w:jc w:val="both"/>
                    <w:rPr>
                      <w:lang w:val="en-GB"/>
                    </w:rPr>
                  </w:pPr>
                  <w:r>
                    <w:rPr>
                      <w:lang w:val="en-GB" w:eastAsia="zh-CN"/>
                    </w:rPr>
                    <w:t>Added</w:t>
                  </w:r>
                </w:p>
              </w:tc>
            </w:tr>
            <w:tr w14:paraId="755FE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70B9E20B">
                  <w:pPr>
                    <w:spacing w:before="120" w:after="120" w:line="240" w:lineRule="auto"/>
                    <w:jc w:val="both"/>
                    <w:rPr>
                      <w:lang w:val="en-GB"/>
                    </w:rPr>
                  </w:pPr>
                  <w:r>
                    <w:rPr>
                      <w:lang w:val="en-GB" w:eastAsia="zh-CN"/>
                    </w:rPr>
                    <w:t>15 Sep 2026</w:t>
                  </w:r>
                </w:p>
              </w:tc>
              <w:tc>
                <w:tcPr>
                  <w:tcW w:w="5930" w:type="dxa"/>
                  <w:shd w:val="clear" w:color="auto" w:fill="auto"/>
                  <w:vAlign w:val="center"/>
                </w:tcPr>
                <w:p w14:paraId="24E3A224">
                  <w:pPr>
                    <w:spacing w:before="120" w:after="120" w:line="240" w:lineRule="auto"/>
                    <w:jc w:val="both"/>
                    <w:rPr>
                      <w:lang w:val="en-GB"/>
                    </w:rPr>
                  </w:pPr>
                  <w:r>
                    <w:rPr>
                      <w:rFonts w:hint="default"/>
                      <w:lang w:val="en-GB"/>
                    </w:rPr>
                    <w:t>First Quarterly Release — All Now-phase capabilities usable: core consultation and clinical access (telehealth, EHR, scheduling, e-prescription, lab alerts), security and identity foundations, patient self-service, billing and claims, pharmacy inventory, clinician/admin operational views, and telehealth video delivery</w:t>
                  </w:r>
                </w:p>
              </w:tc>
              <w:tc>
                <w:tcPr>
                  <w:tcW w:w="824" w:type="dxa"/>
                  <w:shd w:val="clear" w:color="auto" w:fill="auto"/>
                  <w:vAlign w:val="center"/>
                </w:tcPr>
                <w:p w14:paraId="794788B1">
                  <w:pPr>
                    <w:spacing w:before="120" w:after="120" w:line="240" w:lineRule="auto"/>
                    <w:jc w:val="both"/>
                    <w:rPr>
                      <w:lang w:val="en-GB"/>
                    </w:rPr>
                  </w:pPr>
                  <w:r>
                    <w:rPr>
                      <w:lang w:val="en-GB" w:eastAsia="zh-CN"/>
                    </w:rPr>
                    <w:t>Added</w:t>
                  </w:r>
                </w:p>
              </w:tc>
            </w:tr>
            <w:tr w14:paraId="47BD4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0FA6FBB6">
                  <w:pPr>
                    <w:spacing w:before="120" w:after="120" w:line="240" w:lineRule="auto"/>
                    <w:jc w:val="both"/>
                    <w:rPr>
                      <w:lang w:val="en-GB"/>
                    </w:rPr>
                  </w:pPr>
                  <w:r>
                    <w:rPr>
                      <w:lang w:val="en-GB" w:eastAsia="zh-CN"/>
                    </w:rPr>
                    <w:t>15 Dec 2026</w:t>
                  </w:r>
                </w:p>
              </w:tc>
              <w:tc>
                <w:tcPr>
                  <w:tcW w:w="5930" w:type="dxa"/>
                  <w:shd w:val="clear" w:color="auto" w:fill="auto"/>
                  <w:vAlign w:val="center"/>
                </w:tcPr>
                <w:p w14:paraId="6AFFDB66">
                  <w:pPr>
                    <w:spacing w:before="120" w:after="120" w:line="240" w:lineRule="auto"/>
                    <w:jc w:val="both"/>
                    <w:rPr>
                      <w:lang w:val="en-GB"/>
                    </w:rPr>
                  </w:pPr>
                  <w:r>
                    <w:rPr>
                      <w:rFonts w:hint="default"/>
                      <w:lang w:val="en-GB"/>
                    </w:rPr>
                    <w:t>Second Quarterly Release — Integration and Hardening — formal end-to-end integration testing, performance validation, and stabilisation across all Now-phase MSS modules ahead of full-service expansion</w:t>
                  </w:r>
                </w:p>
              </w:tc>
              <w:tc>
                <w:tcPr>
                  <w:tcW w:w="824" w:type="dxa"/>
                  <w:shd w:val="clear" w:color="auto" w:fill="auto"/>
                  <w:vAlign w:val="center"/>
                </w:tcPr>
                <w:p w14:paraId="0598F263">
                  <w:pPr>
                    <w:spacing w:before="120" w:after="120" w:line="240" w:lineRule="auto"/>
                    <w:jc w:val="both"/>
                    <w:rPr>
                      <w:lang w:val="en-GB"/>
                    </w:rPr>
                  </w:pPr>
                  <w:r>
                    <w:rPr>
                      <w:lang w:val="en-GB" w:eastAsia="zh-CN"/>
                    </w:rPr>
                    <w:t>Added</w:t>
                  </w:r>
                </w:p>
              </w:tc>
            </w:tr>
            <w:tr w14:paraId="2D20F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59E08E2B">
                  <w:pPr>
                    <w:spacing w:before="120" w:after="120" w:line="240" w:lineRule="auto"/>
                    <w:jc w:val="both"/>
                    <w:rPr>
                      <w:lang w:val="en-GB"/>
                    </w:rPr>
                  </w:pPr>
                  <w:r>
                    <w:rPr>
                      <w:lang w:val="en-GB" w:eastAsia="zh-CN"/>
                    </w:rPr>
                    <w:t>01 Dec 2026</w:t>
                  </w:r>
                </w:p>
              </w:tc>
              <w:tc>
                <w:tcPr>
                  <w:tcW w:w="5930" w:type="dxa"/>
                  <w:shd w:val="clear" w:color="auto" w:fill="auto"/>
                  <w:vAlign w:val="center"/>
                </w:tcPr>
                <w:p w14:paraId="7FF33BBD">
                  <w:pPr>
                    <w:spacing w:before="120" w:after="120" w:line="240" w:lineRule="auto"/>
                    <w:jc w:val="both"/>
                    <w:rPr>
                      <w:lang w:val="en-GB"/>
                    </w:rPr>
                  </w:pPr>
                  <w:r>
                    <w:rPr>
                      <w:lang w:val="en-GB" w:eastAsia="zh-CN"/>
                    </w:rPr>
                    <w:t>Stage Gate Approval for Sub-Projects II and III Execution Phase</w:t>
                  </w:r>
                </w:p>
              </w:tc>
              <w:tc>
                <w:tcPr>
                  <w:tcW w:w="824" w:type="dxa"/>
                  <w:shd w:val="clear" w:color="auto" w:fill="auto"/>
                  <w:vAlign w:val="center"/>
                </w:tcPr>
                <w:p w14:paraId="410EFBAB">
                  <w:pPr>
                    <w:spacing w:before="120" w:after="120" w:line="240" w:lineRule="auto"/>
                    <w:jc w:val="both"/>
                    <w:rPr>
                      <w:lang w:val="en-GB"/>
                    </w:rPr>
                  </w:pPr>
                  <w:r>
                    <w:rPr>
                      <w:lang w:val="en-GB" w:eastAsia="zh-CN"/>
                    </w:rPr>
                    <w:t>Given</w:t>
                  </w:r>
                </w:p>
              </w:tc>
            </w:tr>
            <w:tr w14:paraId="69027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16FAB809">
                  <w:pPr>
                    <w:spacing w:before="120" w:after="120" w:line="240" w:lineRule="auto"/>
                    <w:jc w:val="both"/>
                    <w:rPr>
                      <w:lang w:val="en-GB"/>
                    </w:rPr>
                  </w:pPr>
                  <w:r>
                    <w:rPr>
                      <w:lang w:val="en-GB" w:eastAsia="zh-CN"/>
                    </w:rPr>
                    <w:t>01 Feb 2027</w:t>
                  </w:r>
                </w:p>
              </w:tc>
              <w:tc>
                <w:tcPr>
                  <w:tcW w:w="5930" w:type="dxa"/>
                  <w:shd w:val="clear" w:color="auto" w:fill="auto"/>
                  <w:vAlign w:val="center"/>
                </w:tcPr>
                <w:p w14:paraId="72237D1F">
                  <w:pPr>
                    <w:spacing w:before="120" w:after="120" w:line="240" w:lineRule="auto"/>
                    <w:jc w:val="both"/>
                    <w:rPr>
                      <w:lang w:val="en-GB"/>
                    </w:rPr>
                  </w:pPr>
                  <w:r>
                    <w:rPr>
                      <w:lang w:val="en-GB" w:eastAsia="zh-CN"/>
                    </w:rPr>
                    <w:t>Data Migration Completed and Validated (Sub-Project III)</w:t>
                  </w:r>
                </w:p>
              </w:tc>
              <w:tc>
                <w:tcPr>
                  <w:tcW w:w="824" w:type="dxa"/>
                  <w:shd w:val="clear" w:color="auto" w:fill="auto"/>
                  <w:vAlign w:val="center"/>
                </w:tcPr>
                <w:p w14:paraId="7A2F7FC7">
                  <w:pPr>
                    <w:spacing w:before="120" w:after="120" w:line="240" w:lineRule="auto"/>
                    <w:jc w:val="both"/>
                    <w:rPr>
                      <w:lang w:val="en-GB"/>
                    </w:rPr>
                  </w:pPr>
                  <w:r>
                    <w:rPr>
                      <w:lang w:val="en-GB" w:eastAsia="zh-CN"/>
                    </w:rPr>
                    <w:t>Added</w:t>
                  </w:r>
                </w:p>
              </w:tc>
            </w:tr>
            <w:tr w14:paraId="63B1A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01CD84CA">
                  <w:pPr>
                    <w:spacing w:before="120" w:after="120" w:line="240" w:lineRule="auto"/>
                    <w:jc w:val="both"/>
                    <w:rPr>
                      <w:lang w:val="en-GB"/>
                    </w:rPr>
                  </w:pPr>
                  <w:r>
                    <w:rPr>
                      <w:lang w:val="en-GB" w:eastAsia="zh-CN"/>
                    </w:rPr>
                    <w:t>15 Mar 2027</w:t>
                  </w:r>
                </w:p>
              </w:tc>
              <w:tc>
                <w:tcPr>
                  <w:tcW w:w="5930" w:type="dxa"/>
                  <w:shd w:val="clear" w:color="auto" w:fill="auto"/>
                  <w:vAlign w:val="center"/>
                </w:tcPr>
                <w:p w14:paraId="35DD2F0A">
                  <w:pPr>
                    <w:spacing w:before="120" w:after="120" w:line="240" w:lineRule="auto"/>
                    <w:jc w:val="both"/>
                    <w:rPr>
                      <w:lang w:val="en-GB"/>
                    </w:rPr>
                  </w:pPr>
                  <w:r>
                    <w:rPr>
                      <w:rFonts w:hint="default"/>
                      <w:lang w:val="en-GB"/>
                    </w:rPr>
                    <w:t>Third Quarterly Release — Full pathology, imaging and pharmacy information exchange integration complete</w:t>
                  </w:r>
                </w:p>
              </w:tc>
              <w:tc>
                <w:tcPr>
                  <w:tcW w:w="824" w:type="dxa"/>
                  <w:shd w:val="clear" w:color="auto" w:fill="auto"/>
                  <w:vAlign w:val="center"/>
                </w:tcPr>
                <w:p w14:paraId="27A87404">
                  <w:pPr>
                    <w:spacing w:before="120" w:after="120" w:line="240" w:lineRule="auto"/>
                    <w:jc w:val="both"/>
                    <w:rPr>
                      <w:lang w:val="en-GB"/>
                    </w:rPr>
                  </w:pPr>
                  <w:r>
                    <w:rPr>
                      <w:lang w:val="en-GB" w:eastAsia="zh-CN"/>
                    </w:rPr>
                    <w:t>Added</w:t>
                  </w:r>
                </w:p>
              </w:tc>
            </w:tr>
            <w:tr w14:paraId="1FE72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45D23AC6">
                  <w:pPr>
                    <w:spacing w:before="120" w:after="120" w:line="240" w:lineRule="auto"/>
                    <w:jc w:val="both"/>
                    <w:rPr>
                      <w:lang w:val="en-GB"/>
                    </w:rPr>
                  </w:pPr>
                  <w:r>
                    <w:rPr>
                      <w:lang w:val="en-GB" w:eastAsia="zh-CN"/>
                    </w:rPr>
                    <w:t>26 Mar 2027</w:t>
                  </w:r>
                </w:p>
              </w:tc>
              <w:tc>
                <w:tcPr>
                  <w:tcW w:w="5930" w:type="dxa"/>
                  <w:shd w:val="clear" w:color="auto" w:fill="auto"/>
                  <w:vAlign w:val="center"/>
                </w:tcPr>
                <w:p w14:paraId="34DBE492">
                  <w:pPr>
                    <w:spacing w:before="120" w:after="120" w:line="240" w:lineRule="auto"/>
                    <w:jc w:val="both"/>
                    <w:rPr>
                      <w:lang w:val="en-GB"/>
                    </w:rPr>
                  </w:pPr>
                  <w:r>
                    <w:rPr>
                      <w:lang w:val="en-GB" w:eastAsia="zh-CN"/>
                    </w:rPr>
                    <w:t>Network and Infrastructure Installation and Commissioning (Sub-Project II)</w:t>
                  </w:r>
                </w:p>
              </w:tc>
              <w:tc>
                <w:tcPr>
                  <w:tcW w:w="824" w:type="dxa"/>
                  <w:shd w:val="clear" w:color="auto" w:fill="auto"/>
                  <w:vAlign w:val="center"/>
                </w:tcPr>
                <w:p w14:paraId="6811FD7D">
                  <w:pPr>
                    <w:spacing w:before="120" w:after="120" w:line="240" w:lineRule="auto"/>
                    <w:jc w:val="both"/>
                    <w:rPr>
                      <w:lang w:val="en-GB"/>
                    </w:rPr>
                  </w:pPr>
                  <w:r>
                    <w:rPr>
                      <w:lang w:val="en-GB" w:eastAsia="zh-CN"/>
                    </w:rPr>
                    <w:t>Given</w:t>
                  </w:r>
                </w:p>
              </w:tc>
            </w:tr>
            <w:tr w14:paraId="5F39E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21350970">
                  <w:pPr>
                    <w:spacing w:before="120" w:after="120" w:line="240" w:lineRule="auto"/>
                    <w:jc w:val="both"/>
                    <w:rPr>
                      <w:lang w:val="en-GB"/>
                    </w:rPr>
                  </w:pPr>
                  <w:r>
                    <w:rPr>
                      <w:lang w:val="en-GB" w:eastAsia="zh-CN"/>
                    </w:rPr>
                    <w:t>05 Apr 2027</w:t>
                  </w:r>
                </w:p>
              </w:tc>
              <w:tc>
                <w:tcPr>
                  <w:tcW w:w="5930" w:type="dxa"/>
                  <w:shd w:val="clear" w:color="auto" w:fill="auto"/>
                  <w:vAlign w:val="center"/>
                </w:tcPr>
                <w:p w14:paraId="7594243E">
                  <w:pPr>
                    <w:spacing w:before="120" w:after="120" w:line="240" w:lineRule="auto"/>
                    <w:jc w:val="both"/>
                    <w:rPr>
                      <w:lang w:val="en-GB"/>
                    </w:rPr>
                  </w:pPr>
                  <w:r>
                    <w:rPr>
                      <w:lang w:val="en-GB" w:eastAsia="zh-CN"/>
                    </w:rPr>
                    <w:t>UAT Sign-off completed across all three sites</w:t>
                  </w:r>
                </w:p>
              </w:tc>
              <w:tc>
                <w:tcPr>
                  <w:tcW w:w="824" w:type="dxa"/>
                  <w:shd w:val="clear" w:color="auto" w:fill="auto"/>
                  <w:vAlign w:val="center"/>
                </w:tcPr>
                <w:p w14:paraId="49810A09">
                  <w:pPr>
                    <w:spacing w:before="120" w:after="120" w:line="240" w:lineRule="auto"/>
                    <w:jc w:val="both"/>
                    <w:rPr>
                      <w:lang w:val="en-GB"/>
                    </w:rPr>
                  </w:pPr>
                  <w:r>
                    <w:rPr>
                      <w:lang w:val="en-GB" w:eastAsia="zh-CN"/>
                    </w:rPr>
                    <w:t>Added</w:t>
                  </w:r>
                </w:p>
              </w:tc>
            </w:tr>
            <w:tr w14:paraId="457A4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1532A6A5">
                  <w:pPr>
                    <w:spacing w:before="120" w:after="120" w:line="240" w:lineRule="auto"/>
                    <w:jc w:val="both"/>
                    <w:rPr>
                      <w:lang w:val="en-GB"/>
                    </w:rPr>
                  </w:pPr>
                  <w:r>
                    <w:rPr>
                      <w:lang w:val="en-GB" w:eastAsia="zh-CN"/>
                    </w:rPr>
                    <w:t>05 May 2027</w:t>
                  </w:r>
                </w:p>
              </w:tc>
              <w:tc>
                <w:tcPr>
                  <w:tcW w:w="5930" w:type="dxa"/>
                  <w:shd w:val="clear" w:color="auto" w:fill="auto"/>
                  <w:vAlign w:val="center"/>
                </w:tcPr>
                <w:p w14:paraId="710FCDBF">
                  <w:pPr>
                    <w:spacing w:before="120" w:after="120" w:line="240" w:lineRule="auto"/>
                    <w:jc w:val="both"/>
                    <w:rPr>
                      <w:lang w:val="en-GB"/>
                    </w:rPr>
                  </w:pPr>
                  <w:r>
                    <w:rPr>
                      <w:lang w:val="en-GB" w:eastAsia="zh-CN"/>
                    </w:rPr>
                    <w:t>Go-Live Approval — hard-wall milestone; all services live and stable</w:t>
                  </w:r>
                </w:p>
              </w:tc>
              <w:tc>
                <w:tcPr>
                  <w:tcW w:w="824" w:type="dxa"/>
                  <w:shd w:val="clear" w:color="auto" w:fill="auto"/>
                  <w:vAlign w:val="center"/>
                </w:tcPr>
                <w:p w14:paraId="208D977D">
                  <w:pPr>
                    <w:spacing w:before="120" w:after="120" w:line="240" w:lineRule="auto"/>
                    <w:jc w:val="both"/>
                    <w:rPr>
                      <w:lang w:val="en-GB"/>
                    </w:rPr>
                  </w:pPr>
                  <w:r>
                    <w:rPr>
                      <w:lang w:val="en-GB" w:eastAsia="zh-CN"/>
                    </w:rPr>
                    <w:t>Given</w:t>
                  </w:r>
                </w:p>
              </w:tc>
            </w:tr>
            <w:tr w14:paraId="56B12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37" w:type="dxa"/>
                  <w:shd w:val="clear" w:color="auto" w:fill="auto"/>
                  <w:vAlign w:val="center"/>
                </w:tcPr>
                <w:p w14:paraId="73FE431F">
                  <w:pPr>
                    <w:spacing w:before="120" w:after="120" w:line="240" w:lineRule="auto"/>
                    <w:jc w:val="both"/>
                    <w:rPr>
                      <w:lang w:val="en-GB"/>
                    </w:rPr>
                  </w:pPr>
                  <w:r>
                    <w:rPr>
                      <w:lang w:val="en-GB" w:eastAsia="zh-CN"/>
                    </w:rPr>
                    <w:t>27 Aug 2027</w:t>
                  </w:r>
                </w:p>
              </w:tc>
              <w:tc>
                <w:tcPr>
                  <w:tcW w:w="5930" w:type="dxa"/>
                  <w:shd w:val="clear" w:color="auto" w:fill="auto"/>
                  <w:vAlign w:val="center"/>
                </w:tcPr>
                <w:p w14:paraId="21A0105F">
                  <w:pPr>
                    <w:spacing w:before="120" w:after="120" w:line="240" w:lineRule="auto"/>
                    <w:jc w:val="both"/>
                    <w:rPr>
                      <w:lang w:val="en-GB"/>
                    </w:rPr>
                  </w:pPr>
                  <w:r>
                    <w:rPr>
                      <w:lang w:val="en-GB" w:eastAsia="zh-CN"/>
                    </w:rPr>
                    <w:t xml:space="preserve">Formal Pilot Project Closure — final reports and </w:t>
                  </w:r>
                  <w:r>
                    <w:rPr>
                      <w:lang w:val="en-US" w:eastAsia="zh-CN"/>
                    </w:rPr>
                    <w:t>deliverable</w:t>
                  </w:r>
                  <w:r>
                    <w:rPr>
                      <w:lang w:val="en-GB" w:eastAsia="zh-CN"/>
                    </w:rPr>
                    <w:t xml:space="preserve"> submitted</w:t>
                  </w:r>
                </w:p>
              </w:tc>
              <w:tc>
                <w:tcPr>
                  <w:tcW w:w="824" w:type="dxa"/>
                  <w:shd w:val="clear" w:color="auto" w:fill="auto"/>
                  <w:vAlign w:val="center"/>
                </w:tcPr>
                <w:p w14:paraId="6212AAEE">
                  <w:pPr>
                    <w:spacing w:before="120" w:after="120" w:line="240" w:lineRule="auto"/>
                    <w:jc w:val="both"/>
                    <w:rPr>
                      <w:lang w:val="en-GB"/>
                    </w:rPr>
                  </w:pPr>
                  <w:r>
                    <w:rPr>
                      <w:lang w:val="en-GB" w:eastAsia="zh-CN"/>
                    </w:rPr>
                    <w:t>Given</w:t>
                  </w:r>
                </w:p>
              </w:tc>
            </w:tr>
          </w:tbl>
          <w:p w14:paraId="78819E77">
            <w:pPr>
              <w:spacing w:before="120" w:after="120" w:line="240" w:lineRule="auto"/>
              <w:jc w:val="both"/>
              <w:rPr>
                <w:lang w:val="en-GB"/>
              </w:rPr>
            </w:pPr>
          </w:p>
          <w:p w14:paraId="36888F0B">
            <w:pPr>
              <w:spacing w:before="120" w:after="120" w:line="240" w:lineRule="auto"/>
              <w:jc w:val="both"/>
              <w:rPr>
                <w:lang w:val="en-GB"/>
              </w:rPr>
            </w:pPr>
          </w:p>
          <w:p w14:paraId="2D0DCE66">
            <w:pPr>
              <w:spacing w:before="120" w:after="120" w:line="240" w:lineRule="auto"/>
              <w:jc w:val="both"/>
              <w:rPr>
                <w:lang w:val="en-GB"/>
              </w:rPr>
            </w:pPr>
          </w:p>
        </w:tc>
      </w:tr>
    </w:tbl>
    <w:p w14:paraId="1EB9356F">
      <w:pPr>
        <w:pStyle w:val="2"/>
        <w:shd w:val="clear" w:color="auto" w:fill="4472C4" w:themeFill="accent1"/>
        <w:rPr>
          <w:color w:val="E7E6E6" w:themeColor="background2"/>
          <w14:textFill>
            <w14:solidFill>
              <w14:schemeClr w14:val="bg2"/>
            </w14:solidFill>
          </w14:textFill>
        </w:rPr>
      </w:pPr>
      <w:bookmarkStart w:id="4" w:name="_Ref11826516"/>
      <w:bookmarkStart w:id="5" w:name="_Toc218970117"/>
      <w:r>
        <w:rPr>
          <w:color w:val="E7E6E6" w:themeColor="background2"/>
          <w14:textFill>
            <w14:solidFill>
              <w14:schemeClr w14:val="bg2"/>
            </w14:solidFill>
          </w14:textFill>
        </w:rPr>
        <w:t>Project Stakeholders</w:t>
      </w:r>
      <w:bookmarkEnd w:id="4"/>
      <w:bookmarkEnd w:id="5"/>
    </w:p>
    <w:p w14:paraId="4CDA27BE">
      <w:pPr>
        <w:jc w:val="both"/>
        <w:rPr>
          <w:rFonts w:cs="Arial"/>
          <w:color w:val="0000FF"/>
        </w:rPr>
      </w:pP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7794"/>
      </w:tblGrid>
      <w:tr w14:paraId="70AEF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41C4E09B">
            <w:pPr>
              <w:spacing w:after="0" w:line="360" w:lineRule="auto"/>
              <w:jc w:val="both"/>
              <w:rPr>
                <w:rFonts w:ascii="Arial" w:hAnsi="Arial" w:cs="Arial"/>
                <w:b/>
                <w:bCs/>
                <w:sz w:val="22"/>
                <w:szCs w:val="22"/>
              </w:rPr>
            </w:pPr>
            <w:r>
              <w:rPr>
                <w:rFonts w:ascii="Arial" w:hAnsi="Arial" w:cs="Arial"/>
                <w:b/>
                <w:bCs/>
                <w:sz w:val="22"/>
                <w:szCs w:val="22"/>
              </w:rPr>
              <w:t>Stakeholder</w:t>
            </w:r>
          </w:p>
        </w:tc>
        <w:tc>
          <w:tcPr>
            <w:tcW w:w="3823" w:type="pct"/>
          </w:tcPr>
          <w:p w14:paraId="101CF787">
            <w:pPr>
              <w:spacing w:after="0" w:line="360" w:lineRule="auto"/>
              <w:jc w:val="both"/>
              <w:rPr>
                <w:rFonts w:ascii="Arial" w:hAnsi="Arial" w:cs="Arial"/>
                <w:b/>
                <w:bCs/>
                <w:sz w:val="22"/>
                <w:szCs w:val="22"/>
              </w:rPr>
            </w:pPr>
            <w:r>
              <w:rPr>
                <w:rFonts w:ascii="Arial" w:hAnsi="Arial" w:cs="Arial"/>
                <w:b/>
                <w:bCs/>
                <w:sz w:val="22"/>
                <w:szCs w:val="22"/>
              </w:rPr>
              <w:t xml:space="preserve">Interest/Expectations </w:t>
            </w:r>
          </w:p>
          <w:p w14:paraId="38E97EB7">
            <w:pPr>
              <w:spacing w:after="0" w:line="360" w:lineRule="auto"/>
              <w:jc w:val="both"/>
              <w:rPr>
                <w:rFonts w:ascii="Arial" w:hAnsi="Arial" w:cs="Arial"/>
                <w:b/>
                <w:bCs/>
                <w:sz w:val="22"/>
                <w:szCs w:val="22"/>
              </w:rPr>
            </w:pPr>
          </w:p>
        </w:tc>
      </w:tr>
      <w:tr w14:paraId="5303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03031F4C">
            <w:pPr>
              <w:spacing w:after="0" w:line="360" w:lineRule="auto"/>
              <w:jc w:val="both"/>
              <w:rPr>
                <w:rFonts w:hint="default" w:cs="Arial"/>
                <w:lang w:val="en-US"/>
              </w:rPr>
            </w:pPr>
            <w:r>
              <w:rPr>
                <w:rFonts w:cs="Arial"/>
              </w:rPr>
              <w:t>1.</w:t>
            </w:r>
            <w:r>
              <w:rPr>
                <w:rFonts w:hint="default" w:cs="Arial"/>
                <w:lang w:val="en-US"/>
              </w:rPr>
              <w:t>Ben Dover (CIO &amp; Project Sponsor)</w:t>
            </w:r>
          </w:p>
        </w:tc>
        <w:tc>
          <w:tcPr>
            <w:tcW w:w="3823" w:type="pct"/>
          </w:tcPr>
          <w:p w14:paraId="29D45D15">
            <w:pPr>
              <w:spacing w:after="0" w:line="360" w:lineRule="auto"/>
              <w:jc w:val="both"/>
              <w:rPr>
                <w:rFonts w:cs="Arial"/>
              </w:rPr>
            </w:pPr>
            <w:r>
              <w:rPr>
                <w:rFonts w:cs="Arial"/>
              </w:rPr>
              <w:t>• Accountable for project budget and strategic direction</w:t>
            </w:r>
            <w:r>
              <w:rPr>
                <w:rFonts w:cs="Arial"/>
              </w:rPr>
              <w:br w:type="textWrapping"/>
            </w:r>
            <w:r>
              <w:rPr>
                <w:rFonts w:cs="Arial"/>
              </w:rPr>
              <w:t>• Expects regular progress updates and to be consulted on key decisions</w:t>
            </w:r>
            <w:r>
              <w:rPr>
                <w:rFonts w:cs="Arial"/>
              </w:rPr>
              <w:br w:type="textWrapping"/>
            </w:r>
            <w:r>
              <w:rPr>
                <w:rFonts w:cs="Arial"/>
              </w:rPr>
              <w:t>• Directly impacted if the project fails to deliver value or exceeds cost estimates</w:t>
            </w:r>
          </w:p>
        </w:tc>
      </w:tr>
      <w:tr w14:paraId="5C43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537C28C7">
            <w:pPr>
              <w:spacing w:after="0" w:line="360" w:lineRule="auto"/>
              <w:jc w:val="both"/>
              <w:rPr>
                <w:rFonts w:cs="Arial"/>
              </w:rPr>
            </w:pPr>
            <w:r>
              <w:rPr>
                <w:rFonts w:cs="Arial"/>
              </w:rPr>
              <w:t xml:space="preserve">2. </w:t>
            </w:r>
            <w:r>
              <w:rPr>
                <w:rFonts w:hint="default" w:cs="Arial"/>
              </w:rPr>
              <w:t>Dr Sara Adams (Product Manager)</w:t>
            </w:r>
          </w:p>
        </w:tc>
        <w:tc>
          <w:tcPr>
            <w:tcW w:w="3823" w:type="pct"/>
          </w:tcPr>
          <w:p w14:paraId="4F24A908">
            <w:pPr>
              <w:spacing w:after="0" w:line="360" w:lineRule="auto"/>
              <w:jc w:val="both"/>
              <w:rPr>
                <w:rFonts w:hint="default" w:cs="Arial"/>
              </w:rPr>
            </w:pPr>
            <w:r>
              <w:rPr>
                <w:rFonts w:hint="default" w:cs="Arial"/>
              </w:rPr>
              <w:t>• Works directly with the Product Owner to shape product strategy and roadmap</w:t>
            </w:r>
          </w:p>
          <w:p w14:paraId="7C9AF41C">
            <w:pPr>
              <w:spacing w:after="0" w:line="360" w:lineRule="auto"/>
              <w:jc w:val="both"/>
              <w:rPr>
                <w:rFonts w:hint="default" w:cs="Arial"/>
              </w:rPr>
            </w:pPr>
            <w:r>
              <w:rPr>
                <w:rFonts w:hint="default" w:cs="Arial"/>
              </w:rPr>
              <w:t xml:space="preserve">• Expects the delivered software to align with </w:t>
            </w:r>
            <w:r>
              <w:rPr>
                <w:rFonts w:hint="default" w:cs="Arial"/>
                <w:lang w:val="en-US"/>
              </w:rPr>
              <w:t>organizational</w:t>
            </w:r>
            <w:r>
              <w:rPr>
                <w:rFonts w:hint="default" w:cs="Arial"/>
              </w:rPr>
              <w:t xml:space="preserve"> goals and user needs</w:t>
            </w:r>
          </w:p>
          <w:p w14:paraId="5D352E70">
            <w:pPr>
              <w:spacing w:after="0" w:line="360" w:lineRule="auto"/>
              <w:jc w:val="both"/>
              <w:rPr>
                <w:rFonts w:cs="Arial"/>
              </w:rPr>
            </w:pPr>
            <w:r>
              <w:rPr>
                <w:rFonts w:hint="default" w:cs="Arial"/>
              </w:rPr>
              <w:t>• Reports progress up to the CIO, so is affected by delivery delays or scope issues</w:t>
            </w:r>
          </w:p>
        </w:tc>
      </w:tr>
      <w:tr w14:paraId="6E3D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1E8E25E2">
            <w:pPr>
              <w:spacing w:after="0" w:line="360" w:lineRule="auto"/>
              <w:jc w:val="both"/>
              <w:rPr>
                <w:rFonts w:cs="Arial"/>
              </w:rPr>
            </w:pPr>
            <w:r>
              <w:rPr>
                <w:rFonts w:cs="Arial"/>
              </w:rPr>
              <w:t>3.</w:t>
            </w:r>
            <w:r>
              <w:rPr>
                <w:rFonts w:hint="default" w:cs="Arial"/>
              </w:rPr>
              <w:t>Clinicians (midwives, obstetricians, radiologists, pathologists, pharmacists, telehealth providers)</w:t>
            </w:r>
          </w:p>
        </w:tc>
        <w:tc>
          <w:tcPr>
            <w:tcW w:w="3823" w:type="pct"/>
          </w:tcPr>
          <w:p w14:paraId="4E5000DA">
            <w:pPr>
              <w:spacing w:after="0" w:line="360" w:lineRule="auto"/>
              <w:jc w:val="both"/>
              <w:rPr>
                <w:rFonts w:cs="Arial"/>
              </w:rPr>
            </w:pPr>
            <w:r>
              <w:rPr>
                <w:rFonts w:cs="Arial"/>
              </w:rPr>
              <w:t>• Primary domain experts and day-to-day users of the MSS platform</w:t>
            </w:r>
            <w:r>
              <w:rPr>
                <w:rFonts w:cs="Arial"/>
              </w:rPr>
              <w:br w:type="textWrapping"/>
            </w:r>
            <w:r>
              <w:rPr>
                <w:rFonts w:cs="Arial"/>
              </w:rPr>
              <w:t>• Interested in whether the system genuinely supports clinical workflows and terminology</w:t>
            </w:r>
            <w:r>
              <w:rPr>
                <w:rFonts w:cs="Arial"/>
              </w:rPr>
              <w:br w:type="textWrapping"/>
            </w:r>
            <w:r>
              <w:rPr>
                <w:rFonts w:cs="Arial"/>
              </w:rPr>
              <w:t>• Directly affected by poor usability, which could disrupt patient care delivery</w:t>
            </w:r>
          </w:p>
        </w:tc>
      </w:tr>
      <w:tr w14:paraId="24C2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4CA65397">
            <w:pPr>
              <w:spacing w:after="0" w:line="360" w:lineRule="auto"/>
              <w:jc w:val="left"/>
              <w:rPr>
                <w:rFonts w:cs="Arial"/>
              </w:rPr>
            </w:pPr>
            <w:r>
              <w:rPr>
                <w:rFonts w:cs="Arial"/>
              </w:rPr>
              <w:t>4.Expectant Mothers (incl.remote,</w:t>
            </w:r>
            <w:r>
              <w:rPr>
                <w:rFonts w:hint="default" w:cs="Arial"/>
                <w:lang w:val="en-US"/>
              </w:rPr>
              <w:t xml:space="preserve"> </w:t>
            </w:r>
            <w:r>
              <w:rPr>
                <w:rFonts w:cs="Arial"/>
              </w:rPr>
              <w:t>Aboriginal and CALD communities</w:t>
            </w:r>
          </w:p>
        </w:tc>
        <w:tc>
          <w:tcPr>
            <w:tcW w:w="3823" w:type="pct"/>
          </w:tcPr>
          <w:p w14:paraId="23E1B3FB">
            <w:pPr>
              <w:spacing w:after="0" w:line="360" w:lineRule="auto"/>
              <w:jc w:val="both"/>
              <w:rPr>
                <w:rFonts w:cs="Arial"/>
              </w:rPr>
            </w:pPr>
            <w:r>
              <w:rPr>
                <w:rFonts w:cs="Arial"/>
              </w:rPr>
              <w:t>• End beneficiaries of the platform; primary reason the project exists</w:t>
            </w:r>
            <w:r>
              <w:rPr>
                <w:rFonts w:cs="Arial"/>
              </w:rPr>
              <w:br w:type="textWrapping"/>
            </w:r>
            <w:r>
              <w:rPr>
                <w:rFonts w:cs="Arial"/>
              </w:rPr>
              <w:t>• Expect improved access to maternity services without excessive travel</w:t>
            </w:r>
            <w:r>
              <w:rPr>
                <w:rFonts w:cs="Arial"/>
              </w:rPr>
              <w:br w:type="textWrapping"/>
            </w:r>
            <w:r>
              <w:rPr>
                <w:rFonts w:cs="Arial"/>
              </w:rPr>
              <w:t>• Significantly affected by accessibility, cultural appropriateness, and ease of use of the system</w:t>
            </w:r>
          </w:p>
        </w:tc>
      </w:tr>
      <w:tr w14:paraId="4425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4F47D8F4">
            <w:pPr>
              <w:spacing w:after="0" w:line="360" w:lineRule="auto"/>
              <w:jc w:val="left"/>
              <w:rPr>
                <w:rFonts w:cs="Arial"/>
              </w:rPr>
            </w:pPr>
            <w:r>
              <w:rPr>
                <w:rFonts w:cs="Arial"/>
              </w:rPr>
              <w:t>5.WA Health / WA Country</w:t>
            </w:r>
            <w:r>
              <w:rPr>
                <w:rFonts w:hint="default" w:cs="Arial"/>
                <w:lang w:val="en-US"/>
              </w:rPr>
              <w:t xml:space="preserve"> </w:t>
            </w:r>
            <w:r>
              <w:rPr>
                <w:rFonts w:cs="Arial"/>
              </w:rPr>
              <w:t>Health Service</w:t>
            </w:r>
          </w:p>
        </w:tc>
        <w:tc>
          <w:tcPr>
            <w:tcW w:w="3823" w:type="pct"/>
          </w:tcPr>
          <w:p w14:paraId="125AE58E">
            <w:pPr>
              <w:spacing w:after="0" w:line="360" w:lineRule="auto"/>
              <w:jc w:val="both"/>
              <w:rPr>
                <w:rFonts w:cs="Arial"/>
              </w:rPr>
            </w:pPr>
            <w:r>
              <w:rPr>
                <w:rFonts w:cs="Arial"/>
              </w:rPr>
              <w:t>• External strategic partner with interest in equitable regional healthcare access</w:t>
            </w:r>
            <w:r>
              <w:rPr>
                <w:rFonts w:cs="Arial"/>
              </w:rPr>
              <w:br w:type="textWrapping"/>
            </w:r>
            <w:r>
              <w:rPr>
                <w:rFonts w:cs="Arial"/>
              </w:rPr>
              <w:t>• Expects the project to align with broader public health objectives</w:t>
            </w:r>
            <w:r>
              <w:rPr>
                <w:rFonts w:cs="Arial"/>
              </w:rPr>
              <w:br w:type="textWrapping"/>
            </w:r>
            <w:r>
              <w:rPr>
                <w:rFonts w:cs="Arial"/>
              </w:rPr>
              <w:t>• Affected reputationally and strategically if the pilot succeeds or fails, given implications for future funding/partnership</w:t>
            </w:r>
          </w:p>
        </w:tc>
      </w:tr>
    </w:tbl>
    <w:p w14:paraId="1CC07E51">
      <w:pPr>
        <w:jc w:val="both"/>
        <w:rPr>
          <w:rFonts w:cs="Arial"/>
        </w:rPr>
      </w:pPr>
    </w:p>
    <w:p w14:paraId="6B45B818">
      <w:pPr>
        <w:pStyle w:val="2"/>
        <w:shd w:val="clear" w:color="auto" w:fill="4472C4" w:themeFill="accent1"/>
        <w:rPr>
          <w:color w:val="E7E6E6" w:themeColor="background2"/>
          <w14:textFill>
            <w14:solidFill>
              <w14:schemeClr w14:val="bg2"/>
            </w14:solidFill>
          </w14:textFill>
        </w:rPr>
      </w:pPr>
      <w:bookmarkStart w:id="6" w:name="_Toc218970118"/>
      <w:r>
        <w:rPr>
          <w:color w:val="E7E6E6" w:themeColor="background2"/>
          <w14:textFill>
            <w14:solidFill>
              <w14:schemeClr w14:val="bg2"/>
            </w14:solidFill>
          </w14:textFill>
        </w:rPr>
        <w:t>Project Ethical and Sustainability Considerations</w:t>
      </w:r>
      <w:bookmarkEnd w:id="6"/>
    </w:p>
    <w:p w14:paraId="773FA3AE">
      <w:pPr>
        <w:pStyle w:val="3"/>
        <w:rPr>
          <w:color w:val="0000FF"/>
          <w:lang w:val="en-GB"/>
        </w:rPr>
      </w:pPr>
    </w:p>
    <w:p w14:paraId="7C0771ED">
      <w:pPr>
        <w:pStyle w:val="3"/>
        <w:rPr>
          <w:color w:val="0000FF"/>
          <w:lang w:val="en-GB"/>
        </w:rPr>
      </w:pPr>
    </w:p>
    <w:p w14:paraId="5F7DDE2B">
      <w:pPr>
        <w:pStyle w:val="3"/>
        <w:rPr>
          <w:color w:val="0000FF"/>
          <w:lang w:val="en-GB"/>
        </w:rPr>
      </w:pPr>
    </w:p>
    <w:p w14:paraId="58A29A87">
      <w:pPr>
        <w:pStyle w:val="3"/>
        <w:rPr>
          <w:color w:val="0000FF"/>
          <w:lang w:val="en-GB"/>
        </w:rPr>
      </w:pPr>
    </w:p>
    <w:p w14:paraId="69AD1094">
      <w:pPr>
        <w:pStyle w:val="3"/>
        <w:rPr>
          <w:color w:val="0000FF"/>
          <w:lang w:val="en-GB"/>
        </w:rPr>
      </w:pPr>
    </w:p>
    <w:p w14:paraId="1DD1C494">
      <w:pPr>
        <w:pStyle w:val="3"/>
        <w:rPr>
          <w:color w:val="0000FF"/>
          <w:lang w:val="en-GB"/>
        </w:rPr>
      </w:pPr>
    </w:p>
    <w:p w14:paraId="0B7B3716">
      <w:pPr>
        <w:pStyle w:val="3"/>
        <w:rPr>
          <w:color w:val="0000FF"/>
          <w:lang w:val="en-GB"/>
        </w:rPr>
        <w:sectPr>
          <w:headerReference r:id="rId6" w:type="first"/>
          <w:footerReference r:id="rId9" w:type="first"/>
          <w:headerReference r:id="rId5" w:type="default"/>
          <w:footerReference r:id="rId7" w:type="default"/>
          <w:footerReference r:id="rId8" w:type="even"/>
          <w:pgSz w:w="11906" w:h="16838"/>
          <w:pgMar w:top="964" w:right="964" w:bottom="964" w:left="964" w:header="708" w:footer="708" w:gutter="0"/>
          <w:cols w:space="708" w:num="1"/>
          <w:docGrid w:linePitch="360" w:charSpace="0"/>
        </w:sectPr>
      </w:pPr>
    </w:p>
    <w:tbl>
      <w:tblPr>
        <w:tblStyle w:val="63"/>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582"/>
        <w:gridCol w:w="3763"/>
        <w:gridCol w:w="2942"/>
        <w:gridCol w:w="2942"/>
        <w:gridCol w:w="3385"/>
      </w:tblGrid>
      <w:tr w14:paraId="66617FC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27" w:type="pct"/>
          </w:tcPr>
          <w:p w14:paraId="2E55AA65">
            <w:pPr>
              <w:pStyle w:val="3"/>
              <w:spacing w:before="0" w:after="0"/>
              <w:jc w:val="left"/>
              <w:rPr>
                <w:rFonts w:ascii="Arial" w:hAnsi="Arial" w:cs="Arial"/>
                <w:b/>
                <w:bCs/>
                <w:sz w:val="20"/>
                <w:szCs w:val="20"/>
                <w:lang w:val="en-GB"/>
              </w:rPr>
            </w:pPr>
            <w:r>
              <w:rPr>
                <w:rFonts w:ascii="Arial" w:hAnsi="Arial" w:cs="Arial"/>
                <w:b/>
                <w:bCs/>
                <w:sz w:val="20"/>
                <w:szCs w:val="20"/>
                <w:lang w:val="en-GB"/>
              </w:rPr>
              <w:t>Checklist of Ethical/Sustainability Issues</w:t>
            </w:r>
          </w:p>
        </w:tc>
        <w:tc>
          <w:tcPr>
            <w:tcW w:w="1205" w:type="pct"/>
          </w:tcPr>
          <w:p w14:paraId="2776A728">
            <w:pPr>
              <w:pStyle w:val="3"/>
              <w:spacing w:before="0" w:after="0"/>
              <w:jc w:val="left"/>
              <w:rPr>
                <w:rFonts w:ascii="Arial" w:hAnsi="Arial" w:cs="Arial"/>
                <w:b/>
                <w:bCs/>
                <w:sz w:val="20"/>
                <w:szCs w:val="20"/>
                <w:lang w:val="en-GB"/>
              </w:rPr>
            </w:pPr>
            <w:r>
              <w:rPr>
                <w:rFonts w:ascii="Arial" w:hAnsi="Arial" w:cs="Arial"/>
                <w:b/>
                <w:bCs/>
                <w:sz w:val="20"/>
                <w:szCs w:val="20"/>
                <w:lang w:val="en-GB"/>
              </w:rPr>
              <w:t>Does the Project pose an Ethical/Sustainability Issue related to this dimension? (Y/N) (If Yes, State the potential issue)</w:t>
            </w:r>
          </w:p>
        </w:tc>
        <w:tc>
          <w:tcPr>
            <w:tcW w:w="942" w:type="pct"/>
          </w:tcPr>
          <w:p w14:paraId="0AF10866">
            <w:pPr>
              <w:pStyle w:val="3"/>
              <w:spacing w:before="0" w:after="0"/>
              <w:jc w:val="left"/>
              <w:rPr>
                <w:rFonts w:ascii="Arial" w:hAnsi="Arial" w:cs="Arial"/>
                <w:b/>
                <w:bCs/>
                <w:sz w:val="20"/>
                <w:szCs w:val="20"/>
                <w:lang w:val="en-GB"/>
              </w:rPr>
            </w:pPr>
            <w:r>
              <w:rPr>
                <w:rFonts w:ascii="Arial" w:hAnsi="Arial" w:cs="Arial"/>
                <w:b/>
                <w:bCs/>
                <w:sz w:val="20"/>
                <w:szCs w:val="20"/>
                <w:lang w:val="en-GB"/>
              </w:rPr>
              <w:t>Which Stakeholders are affected?</w:t>
            </w:r>
          </w:p>
        </w:tc>
        <w:tc>
          <w:tcPr>
            <w:tcW w:w="942" w:type="pct"/>
          </w:tcPr>
          <w:p w14:paraId="26A82EE7">
            <w:pPr>
              <w:pStyle w:val="3"/>
              <w:spacing w:before="0" w:after="0"/>
              <w:jc w:val="left"/>
              <w:rPr>
                <w:rFonts w:ascii="Arial" w:hAnsi="Arial" w:cs="Arial"/>
                <w:b/>
                <w:bCs/>
                <w:sz w:val="20"/>
                <w:szCs w:val="20"/>
                <w:lang w:val="en-GB"/>
              </w:rPr>
            </w:pPr>
            <w:r>
              <w:rPr>
                <w:rFonts w:ascii="Arial" w:hAnsi="Arial" w:cs="Arial"/>
                <w:b/>
                <w:bCs/>
                <w:sz w:val="20"/>
                <w:szCs w:val="20"/>
                <w:lang w:val="en-GB"/>
              </w:rPr>
              <w:t>Alternative course of action</w:t>
            </w:r>
          </w:p>
        </w:tc>
        <w:tc>
          <w:tcPr>
            <w:tcW w:w="1084" w:type="pct"/>
          </w:tcPr>
          <w:p w14:paraId="0DF7616E">
            <w:pPr>
              <w:pStyle w:val="3"/>
              <w:spacing w:before="0" w:after="0"/>
              <w:jc w:val="left"/>
              <w:rPr>
                <w:rFonts w:ascii="Arial" w:hAnsi="Arial" w:cs="Arial"/>
                <w:b/>
                <w:bCs/>
                <w:sz w:val="20"/>
                <w:szCs w:val="20"/>
                <w:lang w:val="en-GB"/>
              </w:rPr>
            </w:pPr>
            <w:r>
              <w:rPr>
                <w:rFonts w:ascii="Arial" w:hAnsi="Arial" w:cs="Arial"/>
                <w:b/>
                <w:bCs/>
                <w:sz w:val="20"/>
                <w:szCs w:val="20"/>
                <w:lang w:val="en-GB"/>
              </w:rPr>
              <w:t>Relevant laws, ethical principles, and codes of ethics, or sustainability frameworks that apply</w:t>
            </w:r>
          </w:p>
        </w:tc>
      </w:tr>
      <w:tr w14:paraId="5C97F35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27" w:type="pct"/>
            <w:shd w:val="clear" w:color="auto" w:fill="F1F1F1" w:themeFill="background1" w:themeFillShade="F2"/>
          </w:tcPr>
          <w:p w14:paraId="456F74FE">
            <w:pPr>
              <w:pStyle w:val="3"/>
              <w:jc w:val="left"/>
              <w:rPr>
                <w:rFonts w:ascii="Arial" w:hAnsi="Arial" w:cs="Arial"/>
                <w:b w:val="0"/>
                <w:bCs w:val="0"/>
                <w:sz w:val="20"/>
                <w:szCs w:val="20"/>
                <w:lang w:val="en-GB"/>
              </w:rPr>
            </w:pPr>
            <w:r>
              <w:rPr>
                <w:rFonts w:ascii="Arial" w:hAnsi="Arial" w:cs="Arial"/>
                <w:b w:val="0"/>
                <w:bCs w:val="0"/>
                <w:sz w:val="20"/>
                <w:szCs w:val="20"/>
                <w:lang w:val="en-GB"/>
              </w:rPr>
              <w:t xml:space="preserve">System Quality and Reliability </w:t>
            </w:r>
          </w:p>
        </w:tc>
        <w:tc>
          <w:tcPr>
            <w:tcW w:w="1205" w:type="pct"/>
            <w:shd w:val="clear" w:color="auto" w:fill="F1F1F1" w:themeFill="background1" w:themeFillShade="F2"/>
          </w:tcPr>
          <w:p w14:paraId="5FE8189A">
            <w:pPr>
              <w:pStyle w:val="3"/>
              <w:rPr>
                <w:rFonts w:ascii="Arial" w:hAnsi="Arial" w:cs="Arial"/>
                <w:sz w:val="20"/>
                <w:szCs w:val="20"/>
                <w:lang w:val="en-GB"/>
              </w:rPr>
            </w:pPr>
          </w:p>
        </w:tc>
        <w:tc>
          <w:tcPr>
            <w:tcW w:w="942" w:type="pct"/>
            <w:shd w:val="clear" w:color="auto" w:fill="F1F1F1" w:themeFill="background1" w:themeFillShade="F2"/>
          </w:tcPr>
          <w:p w14:paraId="78AE1F99">
            <w:pPr>
              <w:pStyle w:val="3"/>
              <w:rPr>
                <w:rFonts w:ascii="Arial" w:hAnsi="Arial" w:cs="Arial"/>
                <w:sz w:val="20"/>
                <w:szCs w:val="20"/>
                <w:lang w:val="en-GB"/>
              </w:rPr>
            </w:pPr>
          </w:p>
        </w:tc>
        <w:tc>
          <w:tcPr>
            <w:tcW w:w="942" w:type="pct"/>
            <w:shd w:val="clear" w:color="auto" w:fill="F1F1F1" w:themeFill="background1" w:themeFillShade="F2"/>
          </w:tcPr>
          <w:p w14:paraId="49C80A40">
            <w:pPr>
              <w:pStyle w:val="3"/>
              <w:rPr>
                <w:rFonts w:ascii="Arial" w:hAnsi="Arial" w:cs="Arial"/>
                <w:sz w:val="20"/>
                <w:szCs w:val="20"/>
                <w:lang w:val="en-GB"/>
              </w:rPr>
            </w:pPr>
          </w:p>
        </w:tc>
        <w:tc>
          <w:tcPr>
            <w:tcW w:w="1084" w:type="pct"/>
            <w:shd w:val="clear" w:color="auto" w:fill="F1F1F1" w:themeFill="background1" w:themeFillShade="F2"/>
          </w:tcPr>
          <w:p w14:paraId="6604AE19">
            <w:pPr>
              <w:pStyle w:val="3"/>
              <w:rPr>
                <w:rFonts w:ascii="Arial" w:hAnsi="Arial" w:cs="Arial"/>
                <w:sz w:val="20"/>
                <w:szCs w:val="20"/>
                <w:lang w:val="en-GB"/>
              </w:rPr>
            </w:pPr>
          </w:p>
        </w:tc>
      </w:tr>
      <w:tr w14:paraId="555E0E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27" w:type="pct"/>
          </w:tcPr>
          <w:p w14:paraId="4C5F068E">
            <w:pPr>
              <w:pStyle w:val="3"/>
              <w:jc w:val="left"/>
              <w:rPr>
                <w:rFonts w:ascii="Arial" w:hAnsi="Arial" w:cs="Arial"/>
                <w:b w:val="0"/>
                <w:bCs w:val="0"/>
                <w:sz w:val="20"/>
                <w:szCs w:val="20"/>
                <w:lang w:val="en-GB"/>
              </w:rPr>
            </w:pPr>
            <w:r>
              <w:rPr>
                <w:rFonts w:ascii="Arial" w:hAnsi="Arial" w:cs="Arial"/>
                <w:b w:val="0"/>
                <w:bCs w:val="0"/>
                <w:sz w:val="20"/>
                <w:szCs w:val="20"/>
                <w:lang w:val="en-GB"/>
              </w:rPr>
              <w:t xml:space="preserve">Data Protection and Privacy </w:t>
            </w:r>
          </w:p>
        </w:tc>
        <w:tc>
          <w:tcPr>
            <w:tcW w:w="1205" w:type="pct"/>
          </w:tcPr>
          <w:p w14:paraId="748B4708">
            <w:pPr>
              <w:pStyle w:val="3"/>
              <w:rPr>
                <w:rFonts w:ascii="Arial" w:hAnsi="Arial" w:cs="Arial"/>
                <w:sz w:val="20"/>
                <w:szCs w:val="20"/>
                <w:lang w:val="en-GB"/>
              </w:rPr>
            </w:pPr>
            <w:r>
              <w:rPr>
                <w:rFonts w:ascii="Arial" w:hAnsi="Arial" w:cs="Arial"/>
                <w:sz w:val="20"/>
                <w:szCs w:val="20"/>
                <w:lang w:val="en-GB"/>
              </w:rPr>
              <w:t xml:space="preserve">Y </w:t>
            </w:r>
            <w:r>
              <w:rPr>
                <w:rFonts w:hint="default" w:ascii="Arial" w:hAnsi="Arial" w:cs="Arial"/>
                <w:sz w:val="20"/>
                <w:szCs w:val="20"/>
                <w:lang w:val="en-US"/>
              </w:rPr>
              <w:t>-</w:t>
            </w:r>
            <w:r>
              <w:rPr>
                <w:rFonts w:ascii="Arial" w:hAnsi="Arial" w:cs="Arial"/>
                <w:sz w:val="20"/>
                <w:szCs w:val="20"/>
                <w:lang w:val="en-GB"/>
              </w:rPr>
              <w:t xml:space="preserve"> MSS stores highly sensitive patient health data (pathology, imaging, medication history) on a third-party SaaS platform, raising risk of </w:t>
            </w:r>
            <w:r>
              <w:rPr>
                <w:rFonts w:ascii="Arial" w:hAnsi="Arial" w:cs="Arial"/>
                <w:sz w:val="20"/>
                <w:szCs w:val="20"/>
                <w:lang w:val="en-US"/>
              </w:rPr>
              <w:t>unauthorized</w:t>
            </w:r>
            <w:r>
              <w:rPr>
                <w:rFonts w:ascii="Arial" w:hAnsi="Arial" w:cs="Arial"/>
                <w:sz w:val="20"/>
                <w:szCs w:val="20"/>
                <w:lang w:val="en-GB"/>
              </w:rPr>
              <w:t xml:space="preserve"> access or misuse</w:t>
            </w:r>
          </w:p>
        </w:tc>
        <w:tc>
          <w:tcPr>
            <w:tcW w:w="942" w:type="pct"/>
          </w:tcPr>
          <w:p w14:paraId="3F242987">
            <w:pPr>
              <w:pStyle w:val="3"/>
              <w:rPr>
                <w:rFonts w:ascii="Arial" w:hAnsi="Arial" w:cs="Arial"/>
                <w:sz w:val="20"/>
                <w:szCs w:val="20"/>
                <w:lang w:val="en-GB"/>
              </w:rPr>
            </w:pPr>
            <w:r>
              <w:rPr>
                <w:rFonts w:hint="default" w:ascii="Arial" w:hAnsi="Arial" w:cs="Arial"/>
                <w:sz w:val="20"/>
                <w:szCs w:val="20"/>
                <w:lang w:val="en-GB"/>
              </w:rPr>
              <w:t>Expectant mothers, clinicians, MSI</w:t>
            </w:r>
          </w:p>
        </w:tc>
        <w:tc>
          <w:tcPr>
            <w:tcW w:w="942" w:type="pct"/>
          </w:tcPr>
          <w:p w14:paraId="190571DB">
            <w:pPr>
              <w:pStyle w:val="3"/>
              <w:jc w:val="left"/>
              <w:rPr>
                <w:rFonts w:ascii="Arial" w:hAnsi="Arial" w:cs="Arial"/>
                <w:sz w:val="20"/>
                <w:szCs w:val="20"/>
                <w:lang w:val="en-GB"/>
              </w:rPr>
            </w:pPr>
            <w:r>
              <w:rPr>
                <w:rFonts w:hint="default" w:ascii="Arial" w:hAnsi="Arial" w:cs="Arial"/>
                <w:sz w:val="20"/>
                <w:szCs w:val="20"/>
                <w:lang w:val="en-GB"/>
              </w:rPr>
              <w:t>Enforce encryption in transit/at rest, strict role-based access control, and mandatory privacy compliance audits of the chosen SaaS vendor before contract signature</w:t>
            </w:r>
          </w:p>
        </w:tc>
        <w:tc>
          <w:tcPr>
            <w:tcW w:w="1084" w:type="pct"/>
          </w:tcPr>
          <w:p w14:paraId="1E30E8C2">
            <w:pPr>
              <w:pStyle w:val="3"/>
              <w:jc w:val="left"/>
              <w:rPr>
                <w:rFonts w:ascii="Arial" w:hAnsi="Arial" w:cs="Arial"/>
                <w:sz w:val="20"/>
                <w:szCs w:val="20"/>
                <w:lang w:val="en-GB"/>
              </w:rPr>
            </w:pPr>
            <w:r>
              <w:rPr>
                <w:rFonts w:hint="default" w:ascii="Arial" w:hAnsi="Arial" w:cs="Arial"/>
                <w:sz w:val="20"/>
                <w:szCs w:val="20"/>
                <w:lang w:val="en-GB"/>
              </w:rPr>
              <w:t>Australian Privacy Principles (APPs); Privacy Act 1988 (Cth)</w:t>
            </w:r>
          </w:p>
        </w:tc>
      </w:tr>
      <w:tr w14:paraId="11C4F7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27" w:type="pct"/>
            <w:shd w:val="clear" w:color="auto" w:fill="F1F1F1" w:themeFill="background1" w:themeFillShade="F2"/>
          </w:tcPr>
          <w:p w14:paraId="146C99C3">
            <w:pPr>
              <w:pStyle w:val="3"/>
              <w:jc w:val="left"/>
              <w:rPr>
                <w:rFonts w:ascii="Arial" w:hAnsi="Arial" w:cs="Arial"/>
                <w:b w:val="0"/>
                <w:bCs w:val="0"/>
                <w:sz w:val="20"/>
                <w:szCs w:val="20"/>
                <w:lang w:val="en-GB"/>
              </w:rPr>
            </w:pPr>
            <w:r>
              <w:rPr>
                <w:rFonts w:ascii="Arial" w:hAnsi="Arial" w:cs="Arial"/>
                <w:b w:val="0"/>
                <w:bCs w:val="0"/>
                <w:sz w:val="20"/>
                <w:szCs w:val="20"/>
                <w:lang w:val="en-GB"/>
              </w:rPr>
              <w:t>Transparency and accountability</w:t>
            </w:r>
          </w:p>
        </w:tc>
        <w:tc>
          <w:tcPr>
            <w:tcW w:w="1205" w:type="pct"/>
            <w:shd w:val="clear" w:color="auto" w:fill="F1F1F1" w:themeFill="background1" w:themeFillShade="F2"/>
          </w:tcPr>
          <w:p w14:paraId="25539C24">
            <w:pPr>
              <w:pStyle w:val="3"/>
              <w:rPr>
                <w:rFonts w:ascii="Arial" w:hAnsi="Arial" w:cs="Arial"/>
                <w:sz w:val="20"/>
                <w:szCs w:val="20"/>
                <w:lang w:val="en-GB"/>
              </w:rPr>
            </w:pPr>
          </w:p>
        </w:tc>
        <w:tc>
          <w:tcPr>
            <w:tcW w:w="942" w:type="pct"/>
            <w:shd w:val="clear" w:color="auto" w:fill="F1F1F1" w:themeFill="background1" w:themeFillShade="F2"/>
          </w:tcPr>
          <w:p w14:paraId="0BF4F9FA">
            <w:pPr>
              <w:pStyle w:val="3"/>
              <w:rPr>
                <w:rFonts w:ascii="Arial" w:hAnsi="Arial" w:cs="Arial"/>
                <w:sz w:val="20"/>
                <w:szCs w:val="20"/>
                <w:lang w:val="en-GB"/>
              </w:rPr>
            </w:pPr>
          </w:p>
        </w:tc>
        <w:tc>
          <w:tcPr>
            <w:tcW w:w="942" w:type="pct"/>
            <w:shd w:val="clear" w:color="auto" w:fill="F1F1F1" w:themeFill="background1" w:themeFillShade="F2"/>
          </w:tcPr>
          <w:p w14:paraId="4AE4322E">
            <w:pPr>
              <w:pStyle w:val="3"/>
              <w:rPr>
                <w:rFonts w:ascii="Arial" w:hAnsi="Arial" w:cs="Arial"/>
                <w:sz w:val="20"/>
                <w:szCs w:val="20"/>
                <w:lang w:val="en-GB"/>
              </w:rPr>
            </w:pPr>
          </w:p>
        </w:tc>
        <w:tc>
          <w:tcPr>
            <w:tcW w:w="1084" w:type="pct"/>
            <w:shd w:val="clear" w:color="auto" w:fill="F1F1F1" w:themeFill="background1" w:themeFillShade="F2"/>
          </w:tcPr>
          <w:p w14:paraId="1399E3CD">
            <w:pPr>
              <w:pStyle w:val="3"/>
              <w:rPr>
                <w:rFonts w:ascii="Arial" w:hAnsi="Arial" w:cs="Arial"/>
                <w:sz w:val="20"/>
                <w:szCs w:val="20"/>
                <w:lang w:val="en-GB"/>
              </w:rPr>
            </w:pPr>
          </w:p>
        </w:tc>
      </w:tr>
      <w:tr w14:paraId="042630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5" w:hRule="atLeast"/>
        </w:trPr>
        <w:tc>
          <w:tcPr>
            <w:tcW w:w="827" w:type="pct"/>
          </w:tcPr>
          <w:p w14:paraId="4C5132C6">
            <w:pPr>
              <w:pStyle w:val="3"/>
              <w:jc w:val="left"/>
              <w:rPr>
                <w:rFonts w:ascii="Arial" w:hAnsi="Arial" w:cs="Arial"/>
                <w:b w:val="0"/>
                <w:bCs w:val="0"/>
                <w:sz w:val="20"/>
                <w:szCs w:val="20"/>
                <w:lang w:val="en-GB"/>
              </w:rPr>
            </w:pPr>
            <w:r>
              <w:rPr>
                <w:rFonts w:ascii="Arial" w:hAnsi="Arial" w:cs="Arial"/>
                <w:b w:val="0"/>
                <w:bCs w:val="0"/>
                <w:sz w:val="20"/>
                <w:szCs w:val="20"/>
                <w:lang w:val="en-GB"/>
              </w:rPr>
              <w:t>Diversity and inclusivity</w:t>
            </w:r>
          </w:p>
        </w:tc>
        <w:tc>
          <w:tcPr>
            <w:tcW w:w="1205" w:type="pct"/>
          </w:tcPr>
          <w:p w14:paraId="6215A6ED">
            <w:pPr>
              <w:pStyle w:val="3"/>
              <w:rPr>
                <w:rFonts w:hint="default" w:ascii="Arial" w:hAnsi="Arial" w:cs="Arial"/>
                <w:sz w:val="20"/>
                <w:szCs w:val="20"/>
                <w:lang w:val="en-US"/>
              </w:rPr>
            </w:pPr>
            <w:r>
              <w:rPr>
                <w:rFonts w:hint="default" w:ascii="Arial" w:hAnsi="Arial" w:cs="Arial"/>
                <w:sz w:val="20"/>
                <w:szCs w:val="20"/>
                <w:lang w:val="en-GB"/>
              </w:rPr>
              <w:t>Y — a generic system design may not account for the cultural, linguistic, or communication needs of Aboriginal and CALD communitie</w:t>
            </w:r>
            <w:r>
              <w:rPr>
                <w:rFonts w:hint="default" w:ascii="Arial" w:hAnsi="Arial" w:cs="Arial"/>
                <w:sz w:val="20"/>
                <w:szCs w:val="20"/>
                <w:lang w:val="en-US"/>
              </w:rPr>
              <w:t>s</w:t>
            </w:r>
          </w:p>
        </w:tc>
        <w:tc>
          <w:tcPr>
            <w:tcW w:w="942" w:type="pct"/>
          </w:tcPr>
          <w:p w14:paraId="7F83493F">
            <w:pPr>
              <w:pStyle w:val="3"/>
              <w:rPr>
                <w:rFonts w:ascii="Arial" w:hAnsi="Arial" w:cs="Arial"/>
                <w:sz w:val="20"/>
                <w:szCs w:val="20"/>
                <w:lang w:val="en-GB"/>
              </w:rPr>
            </w:pPr>
            <w:r>
              <w:rPr>
                <w:rFonts w:hint="default" w:ascii="Arial" w:hAnsi="Arial" w:cs="Arial"/>
                <w:sz w:val="20"/>
                <w:szCs w:val="20"/>
                <w:lang w:val="en-GB"/>
              </w:rPr>
              <w:t>CALD and Aboriginal mothers, patient advocates</w:t>
            </w:r>
          </w:p>
        </w:tc>
        <w:tc>
          <w:tcPr>
            <w:tcW w:w="942" w:type="pct"/>
          </w:tcPr>
          <w:p w14:paraId="7098359D">
            <w:pPr>
              <w:pStyle w:val="3"/>
              <w:jc w:val="left"/>
              <w:rPr>
                <w:rFonts w:ascii="Arial" w:hAnsi="Arial" w:cs="Arial"/>
                <w:sz w:val="20"/>
                <w:szCs w:val="20"/>
                <w:lang w:val="en-GB"/>
              </w:rPr>
            </w:pPr>
            <w:r>
              <w:rPr>
                <w:rFonts w:hint="default" w:ascii="Arial" w:hAnsi="Arial" w:cs="Arial"/>
                <w:sz w:val="20"/>
                <w:szCs w:val="20"/>
                <w:lang w:val="en-GB"/>
              </w:rPr>
              <w:t>Co-design patient-facing features with patient advocates and cultural liaison input; provide multilingual support</w:t>
            </w:r>
          </w:p>
        </w:tc>
        <w:tc>
          <w:tcPr>
            <w:tcW w:w="1084" w:type="pct"/>
          </w:tcPr>
          <w:p w14:paraId="73B1B97F">
            <w:pPr>
              <w:pStyle w:val="3"/>
              <w:jc w:val="left"/>
              <w:rPr>
                <w:rFonts w:ascii="Arial" w:hAnsi="Arial" w:cs="Arial"/>
                <w:sz w:val="20"/>
                <w:szCs w:val="20"/>
                <w:lang w:val="en-GB"/>
              </w:rPr>
            </w:pPr>
            <w:r>
              <w:rPr>
                <w:rFonts w:hint="default" w:ascii="Arial" w:hAnsi="Arial" w:cs="Arial"/>
                <w:sz w:val="20"/>
                <w:szCs w:val="20"/>
                <w:lang w:val="en-GB"/>
              </w:rPr>
              <w:t>WA Health cultural safety frameworks; principle of culturally appropriate care</w:t>
            </w:r>
          </w:p>
        </w:tc>
      </w:tr>
      <w:tr w14:paraId="73D600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27" w:type="pct"/>
            <w:shd w:val="clear" w:color="auto" w:fill="F1F1F1" w:themeFill="background1" w:themeFillShade="F2"/>
          </w:tcPr>
          <w:p w14:paraId="481D9A99">
            <w:pPr>
              <w:pStyle w:val="3"/>
              <w:jc w:val="left"/>
              <w:rPr>
                <w:rFonts w:ascii="Arial" w:hAnsi="Arial" w:cs="Arial"/>
                <w:b w:val="0"/>
                <w:bCs w:val="0"/>
                <w:sz w:val="20"/>
                <w:szCs w:val="20"/>
                <w:lang w:val="en-GB"/>
              </w:rPr>
            </w:pPr>
            <w:r>
              <w:rPr>
                <w:rFonts w:ascii="Arial" w:hAnsi="Arial" w:cs="Arial"/>
                <w:b w:val="0"/>
                <w:bCs w:val="0"/>
                <w:sz w:val="20"/>
                <w:szCs w:val="20"/>
                <w:lang w:val="en-GB"/>
              </w:rPr>
              <w:t>Fairness and Equity</w:t>
            </w:r>
          </w:p>
        </w:tc>
        <w:tc>
          <w:tcPr>
            <w:tcW w:w="1205" w:type="pct"/>
            <w:shd w:val="clear" w:color="auto" w:fill="F1F1F1" w:themeFill="background1" w:themeFillShade="F2"/>
          </w:tcPr>
          <w:p w14:paraId="32C0ABDC">
            <w:pPr>
              <w:pStyle w:val="3"/>
              <w:rPr>
                <w:rFonts w:ascii="Arial" w:hAnsi="Arial" w:cs="Arial"/>
                <w:sz w:val="20"/>
                <w:szCs w:val="20"/>
                <w:lang w:val="en-GB"/>
              </w:rPr>
            </w:pPr>
            <w:r>
              <w:rPr>
                <w:rFonts w:hint="default" w:ascii="Arial" w:hAnsi="Arial" w:cs="Arial"/>
                <w:sz w:val="20"/>
                <w:szCs w:val="20"/>
                <w:lang w:val="en-GB"/>
              </w:rPr>
              <w:t>Y — a digital-first platform risks excluding patients with limited digital literacy, connectivity, or device access, particularly in regional/remote areas</w:t>
            </w:r>
          </w:p>
        </w:tc>
        <w:tc>
          <w:tcPr>
            <w:tcW w:w="942" w:type="pct"/>
            <w:shd w:val="clear" w:color="auto" w:fill="F1F1F1" w:themeFill="background1" w:themeFillShade="F2"/>
          </w:tcPr>
          <w:p w14:paraId="0B6095C7">
            <w:pPr>
              <w:pStyle w:val="3"/>
              <w:jc w:val="left"/>
              <w:rPr>
                <w:rFonts w:ascii="Arial" w:hAnsi="Arial" w:cs="Arial"/>
                <w:sz w:val="20"/>
                <w:szCs w:val="20"/>
                <w:lang w:val="en-GB"/>
              </w:rPr>
            </w:pPr>
            <w:r>
              <w:rPr>
                <w:rFonts w:hint="default" w:ascii="Arial" w:hAnsi="Arial" w:cs="Arial"/>
                <w:sz w:val="20"/>
                <w:szCs w:val="20"/>
                <w:lang w:val="en-GB"/>
              </w:rPr>
              <w:t>Regional and remote expectant mothers, Aboriginal patients</w:t>
            </w:r>
          </w:p>
        </w:tc>
        <w:tc>
          <w:tcPr>
            <w:tcW w:w="942" w:type="pct"/>
            <w:shd w:val="clear" w:color="auto" w:fill="F1F1F1" w:themeFill="background1" w:themeFillShade="F2"/>
          </w:tcPr>
          <w:p w14:paraId="3A588760">
            <w:pPr>
              <w:pStyle w:val="3"/>
              <w:jc w:val="left"/>
              <w:rPr>
                <w:rFonts w:ascii="Arial" w:hAnsi="Arial" w:cs="Arial"/>
                <w:sz w:val="20"/>
                <w:szCs w:val="20"/>
                <w:lang w:val="en-GB"/>
              </w:rPr>
            </w:pPr>
            <w:r>
              <w:rPr>
                <w:rFonts w:hint="default" w:ascii="Arial" w:hAnsi="Arial" w:cs="Arial"/>
                <w:sz w:val="20"/>
                <w:szCs w:val="20"/>
                <w:lang w:val="en-GB"/>
              </w:rPr>
              <w:t>Maintain phone/in-person fallback channels alongside MSS rather than replacing them outright</w:t>
            </w:r>
          </w:p>
        </w:tc>
        <w:tc>
          <w:tcPr>
            <w:tcW w:w="1084" w:type="pct"/>
            <w:shd w:val="clear" w:color="auto" w:fill="F1F1F1" w:themeFill="background1" w:themeFillShade="F2"/>
          </w:tcPr>
          <w:p w14:paraId="248DED51">
            <w:pPr>
              <w:pStyle w:val="3"/>
              <w:rPr>
                <w:rFonts w:ascii="Arial" w:hAnsi="Arial" w:cs="Arial"/>
                <w:sz w:val="20"/>
                <w:szCs w:val="20"/>
                <w:lang w:val="en-GB"/>
              </w:rPr>
            </w:pPr>
            <w:r>
              <w:rPr>
                <w:rFonts w:ascii="Arial" w:hAnsi="Arial" w:cs="Arial"/>
                <w:sz w:val="20"/>
                <w:szCs w:val="20"/>
                <w:lang w:val="en-GB"/>
              </w:rPr>
              <w:t>WA Country Health Service equity objectives; principle of equitable access to healthcare</w:t>
            </w:r>
          </w:p>
        </w:tc>
      </w:tr>
      <w:tr w14:paraId="050651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27" w:type="pct"/>
          </w:tcPr>
          <w:p w14:paraId="73DC8602">
            <w:pPr>
              <w:pStyle w:val="3"/>
              <w:jc w:val="left"/>
              <w:rPr>
                <w:rFonts w:ascii="Arial" w:hAnsi="Arial" w:cs="Arial"/>
                <w:b w:val="0"/>
                <w:bCs w:val="0"/>
                <w:sz w:val="20"/>
                <w:szCs w:val="20"/>
                <w:lang w:val="en-GB"/>
              </w:rPr>
            </w:pPr>
            <w:r>
              <w:rPr>
                <w:rFonts w:ascii="Arial" w:hAnsi="Arial" w:cs="Arial"/>
                <w:b w:val="0"/>
                <w:bCs w:val="0"/>
                <w:sz w:val="20"/>
                <w:szCs w:val="20"/>
                <w:lang w:val="en-GB"/>
              </w:rPr>
              <w:t>Security and Compliance</w:t>
            </w:r>
          </w:p>
        </w:tc>
        <w:tc>
          <w:tcPr>
            <w:tcW w:w="1205" w:type="pct"/>
          </w:tcPr>
          <w:p w14:paraId="6E0DDE27">
            <w:pPr>
              <w:pStyle w:val="3"/>
              <w:rPr>
                <w:rFonts w:ascii="Arial" w:hAnsi="Arial" w:cs="Arial"/>
                <w:sz w:val="20"/>
                <w:szCs w:val="20"/>
                <w:lang w:val="en-GB"/>
              </w:rPr>
            </w:pPr>
            <w:r>
              <w:rPr>
                <w:rFonts w:hint="default" w:ascii="Arial" w:hAnsi="Arial" w:cs="Arial"/>
                <w:sz w:val="20"/>
                <w:szCs w:val="20"/>
                <w:lang w:val="en-GB"/>
              </w:rPr>
              <w:t>Y</w:t>
            </w:r>
            <w:r>
              <w:rPr>
                <w:rFonts w:hint="default" w:ascii="Arial" w:hAnsi="Arial" w:cs="Arial"/>
                <w:sz w:val="20"/>
                <w:szCs w:val="20"/>
                <w:lang w:val="en-US"/>
              </w:rPr>
              <w:t xml:space="preserve"> -</w:t>
            </w:r>
            <w:r>
              <w:rPr>
                <w:rFonts w:hint="default" w:ascii="Arial" w:hAnsi="Arial" w:cs="Arial"/>
                <w:sz w:val="20"/>
                <w:szCs w:val="20"/>
                <w:lang w:val="en-GB"/>
              </w:rPr>
              <w:t xml:space="preserve"> as a cloud-hosted healthcare system, MSS is a target for cyberattack; a breach could expose clinical data or disrupt patient care</w:t>
            </w:r>
          </w:p>
        </w:tc>
        <w:tc>
          <w:tcPr>
            <w:tcW w:w="942" w:type="pct"/>
          </w:tcPr>
          <w:p w14:paraId="0AFCDFD4">
            <w:pPr>
              <w:pStyle w:val="3"/>
              <w:rPr>
                <w:rFonts w:ascii="Arial" w:hAnsi="Arial" w:cs="Arial"/>
                <w:sz w:val="20"/>
                <w:szCs w:val="20"/>
                <w:lang w:val="en-GB"/>
              </w:rPr>
            </w:pPr>
            <w:r>
              <w:rPr>
                <w:rFonts w:hint="default" w:ascii="Arial" w:hAnsi="Arial" w:cs="Arial"/>
                <w:sz w:val="20"/>
                <w:szCs w:val="20"/>
                <w:lang w:val="en-GB"/>
              </w:rPr>
              <w:t>Patients, clinicians, MSI, WA Health</w:t>
            </w:r>
          </w:p>
        </w:tc>
        <w:tc>
          <w:tcPr>
            <w:tcW w:w="942" w:type="pct"/>
          </w:tcPr>
          <w:p w14:paraId="06F764AF">
            <w:pPr>
              <w:pStyle w:val="3"/>
              <w:jc w:val="left"/>
              <w:rPr>
                <w:rFonts w:ascii="Arial" w:hAnsi="Arial" w:cs="Arial"/>
                <w:sz w:val="20"/>
                <w:szCs w:val="20"/>
                <w:lang w:val="en-GB"/>
              </w:rPr>
            </w:pPr>
            <w:r>
              <w:rPr>
                <w:rFonts w:hint="default" w:ascii="Arial" w:hAnsi="Arial" w:cs="Arial"/>
                <w:sz w:val="20"/>
                <w:szCs w:val="20"/>
                <w:lang w:val="en-GB"/>
              </w:rPr>
              <w:t>Require security certification and penetration testing of the SaaS provider prior to go-live; engage Don Morrison (Security &amp; Compliance Expert) throughout design</w:t>
            </w:r>
          </w:p>
        </w:tc>
        <w:tc>
          <w:tcPr>
            <w:tcW w:w="1084" w:type="pct"/>
          </w:tcPr>
          <w:p w14:paraId="25107FDF">
            <w:pPr>
              <w:pStyle w:val="3"/>
              <w:rPr>
                <w:rFonts w:ascii="Arial" w:hAnsi="Arial" w:cs="Arial"/>
                <w:sz w:val="20"/>
                <w:szCs w:val="20"/>
                <w:lang w:val="en-GB"/>
              </w:rPr>
            </w:pPr>
            <w:r>
              <w:rPr>
                <w:rFonts w:hint="default" w:ascii="Arial" w:hAnsi="Arial" w:cs="Arial"/>
                <w:sz w:val="20"/>
                <w:szCs w:val="20"/>
                <w:lang w:val="en-GB"/>
              </w:rPr>
              <w:t>APPs; HL7 and FHIR healthcare data standards; MSI's regulatory compliance obligations to WA Health</w:t>
            </w:r>
          </w:p>
        </w:tc>
      </w:tr>
      <w:tr w14:paraId="7C9EC8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27" w:type="pct"/>
            <w:shd w:val="clear" w:color="auto" w:fill="F1F1F1" w:themeFill="background1" w:themeFillShade="F2"/>
          </w:tcPr>
          <w:p w14:paraId="5E780E25">
            <w:pPr>
              <w:pStyle w:val="3"/>
              <w:jc w:val="left"/>
              <w:rPr>
                <w:rFonts w:ascii="Arial" w:hAnsi="Arial" w:cs="Arial"/>
                <w:b w:val="0"/>
                <w:bCs w:val="0"/>
                <w:sz w:val="20"/>
                <w:szCs w:val="20"/>
                <w:lang w:val="en-GB"/>
              </w:rPr>
            </w:pPr>
            <w:r>
              <w:rPr>
                <w:rFonts w:ascii="Arial" w:hAnsi="Arial" w:cs="Arial"/>
                <w:b w:val="0"/>
                <w:bCs w:val="0"/>
                <w:sz w:val="20"/>
                <w:szCs w:val="20"/>
                <w:lang w:val="en-GB"/>
              </w:rPr>
              <w:t>Social and Environmental Responsibility</w:t>
            </w:r>
          </w:p>
        </w:tc>
        <w:tc>
          <w:tcPr>
            <w:tcW w:w="1205" w:type="pct"/>
            <w:shd w:val="clear" w:color="auto" w:fill="F1F1F1" w:themeFill="background1" w:themeFillShade="F2"/>
          </w:tcPr>
          <w:p w14:paraId="3EC39967">
            <w:pPr>
              <w:pStyle w:val="3"/>
              <w:rPr>
                <w:rFonts w:ascii="Arial" w:hAnsi="Arial" w:cs="Arial"/>
                <w:sz w:val="20"/>
                <w:szCs w:val="20"/>
                <w:lang w:val="en-GB"/>
              </w:rPr>
            </w:pPr>
          </w:p>
        </w:tc>
        <w:tc>
          <w:tcPr>
            <w:tcW w:w="942" w:type="pct"/>
            <w:shd w:val="clear" w:color="auto" w:fill="F1F1F1" w:themeFill="background1" w:themeFillShade="F2"/>
          </w:tcPr>
          <w:p w14:paraId="5D76D37E">
            <w:pPr>
              <w:pStyle w:val="3"/>
              <w:rPr>
                <w:rFonts w:ascii="Arial" w:hAnsi="Arial" w:cs="Arial"/>
                <w:sz w:val="20"/>
                <w:szCs w:val="20"/>
                <w:lang w:val="en-GB"/>
              </w:rPr>
            </w:pPr>
          </w:p>
        </w:tc>
        <w:tc>
          <w:tcPr>
            <w:tcW w:w="942" w:type="pct"/>
            <w:shd w:val="clear" w:color="auto" w:fill="F1F1F1" w:themeFill="background1" w:themeFillShade="F2"/>
          </w:tcPr>
          <w:p w14:paraId="142709F8">
            <w:pPr>
              <w:pStyle w:val="3"/>
              <w:rPr>
                <w:rFonts w:ascii="Arial" w:hAnsi="Arial" w:cs="Arial"/>
                <w:sz w:val="20"/>
                <w:szCs w:val="20"/>
                <w:lang w:val="en-GB"/>
              </w:rPr>
            </w:pPr>
          </w:p>
        </w:tc>
        <w:tc>
          <w:tcPr>
            <w:tcW w:w="1084" w:type="pct"/>
            <w:shd w:val="clear" w:color="auto" w:fill="F1F1F1" w:themeFill="background1" w:themeFillShade="F2"/>
          </w:tcPr>
          <w:p w14:paraId="70E0D6D6">
            <w:pPr>
              <w:pStyle w:val="3"/>
              <w:rPr>
                <w:rFonts w:ascii="Arial" w:hAnsi="Arial" w:cs="Arial"/>
                <w:sz w:val="20"/>
                <w:szCs w:val="20"/>
                <w:lang w:val="en-GB"/>
              </w:rPr>
            </w:pPr>
          </w:p>
        </w:tc>
      </w:tr>
    </w:tbl>
    <w:p w14:paraId="79ADF4AF">
      <w:pPr>
        <w:pStyle w:val="3"/>
        <w:rPr>
          <w:lang w:val="en-GB"/>
        </w:rPr>
      </w:pPr>
    </w:p>
    <w:p w14:paraId="57E71C64">
      <w:pPr>
        <w:pStyle w:val="3"/>
        <w:rPr>
          <w:lang w:val="en-GB"/>
        </w:rPr>
        <w:sectPr>
          <w:pgSz w:w="16838" w:h="11906" w:orient="landscape"/>
          <w:pgMar w:top="720" w:right="720" w:bottom="720" w:left="720" w:header="708" w:footer="708" w:gutter="0"/>
          <w:cols w:space="708" w:num="1"/>
          <w:titlePg/>
          <w:docGrid w:linePitch="360" w:charSpace="0"/>
        </w:sectPr>
      </w:pPr>
    </w:p>
    <w:p w14:paraId="0F84DFF7">
      <w:pPr>
        <w:pStyle w:val="2"/>
        <w:shd w:val="clear" w:color="auto" w:fill="4472C4" w:themeFill="accent1"/>
        <w:rPr>
          <w:color w:val="E7E6E6" w:themeColor="background2"/>
          <w14:textFill>
            <w14:solidFill>
              <w14:schemeClr w14:val="bg2"/>
            </w14:solidFill>
          </w14:textFill>
        </w:rPr>
      </w:pPr>
      <w:bookmarkStart w:id="7" w:name="_Ref11737132"/>
      <w:bookmarkStart w:id="8" w:name="_Toc218970119"/>
      <w:r>
        <w:rPr>
          <w:color w:val="E7E6E6" w:themeColor="background2"/>
          <w14:textFill>
            <w14:solidFill>
              <w14:schemeClr w14:val="bg2"/>
            </w14:solidFill>
          </w14:textFill>
        </w:rPr>
        <w:t>Assumptions</w:t>
      </w:r>
      <w:bookmarkEnd w:id="7"/>
      <w:r>
        <w:rPr>
          <w:color w:val="E7E6E6" w:themeColor="background2"/>
          <w14:textFill>
            <w14:solidFill>
              <w14:schemeClr w14:val="bg2"/>
            </w14:solidFill>
          </w14:textFill>
        </w:rPr>
        <w:t>, Constraints, and Potential Risk</w:t>
      </w:r>
      <w:bookmarkEnd w:id="8"/>
    </w:p>
    <w:p w14:paraId="67F0F4AF">
      <w:pPr>
        <w:spacing w:after="0"/>
        <w:jc w:val="both"/>
        <w:rPr>
          <w:color w:val="0000FF"/>
          <w:lang w:val="en-GB"/>
        </w:rPr>
      </w:pP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7794"/>
      </w:tblGrid>
      <w:tr w14:paraId="78227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3836684D">
            <w:pPr>
              <w:spacing w:before="120" w:after="120" w:line="240" w:lineRule="auto"/>
              <w:jc w:val="both"/>
              <w:rPr>
                <w:rFonts w:ascii="Arial" w:hAnsi="Arial" w:cs="Arial"/>
                <w:b/>
                <w:bCs/>
                <w:sz w:val="22"/>
                <w:szCs w:val="22"/>
                <w:lang w:val="en-GB"/>
              </w:rPr>
            </w:pPr>
            <w:r>
              <w:rPr>
                <w:rFonts w:ascii="Arial" w:hAnsi="Arial" w:cs="Arial"/>
                <w:b/>
                <w:bCs/>
                <w:sz w:val="22"/>
                <w:szCs w:val="22"/>
                <w:lang w:val="en-GB"/>
              </w:rPr>
              <w:t>Assumptions:</w:t>
            </w:r>
          </w:p>
        </w:tc>
        <w:tc>
          <w:tcPr>
            <w:tcW w:w="3823" w:type="pct"/>
          </w:tcPr>
          <w:p w14:paraId="399C18D7">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The selected Healthcare SaaS vendor will be able to meet HL7 and FHIR compliance standards within the contracted timeframe</w:t>
            </w:r>
          </w:p>
          <w:p w14:paraId="5F31685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Network infrastructure in Rockingham and Mandurah is adequate, or can be upgraded within the allocated budget, to support the platform</w:t>
            </w:r>
          </w:p>
          <w:p w14:paraId="0D584B6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Contractors and third-party specialists (StreamTech, DCPlus, DemSet) will have capacity to engage once formally selected via the RFT process</w:t>
            </w:r>
          </w:p>
          <w:p w14:paraId="1852389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WA Health will continue to support and, where relevant, co-fund the initiative throughout the Pilot Project</w:t>
            </w:r>
          </w:p>
          <w:p w14:paraId="453E5EA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Clinicians and administrative staff will be available for user story validation, UAT, and workflow consultation as needed</w:t>
            </w:r>
          </w:p>
          <w:p w14:paraId="67CC664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Expectant mothers across all three regions will have sufficient access to internet-connected devices to use the platform</w:t>
            </w:r>
          </w:p>
          <w:p w14:paraId="27D69C68">
            <w:pPr>
              <w:spacing w:before="120" w:after="120" w:line="240" w:lineRule="auto"/>
              <w:jc w:val="both"/>
              <w:rPr>
                <w:color w:val="0000FF"/>
                <w:lang w:val="en-GB"/>
              </w:rPr>
            </w:pPr>
          </w:p>
          <w:p w14:paraId="3162D090">
            <w:pPr>
              <w:spacing w:before="120" w:after="120" w:line="240" w:lineRule="auto"/>
              <w:jc w:val="both"/>
              <w:rPr>
                <w:lang w:val="en-GB"/>
              </w:rPr>
            </w:pPr>
          </w:p>
          <w:p w14:paraId="456C7631">
            <w:pPr>
              <w:spacing w:before="120" w:after="120" w:line="240" w:lineRule="auto"/>
              <w:jc w:val="both"/>
              <w:rPr>
                <w:lang w:val="en-GB"/>
              </w:rPr>
            </w:pPr>
          </w:p>
          <w:p w14:paraId="1A4C31E2">
            <w:pPr>
              <w:spacing w:before="120" w:after="120" w:line="240" w:lineRule="auto"/>
              <w:jc w:val="both"/>
              <w:rPr>
                <w:lang w:val="en-GB"/>
              </w:rPr>
            </w:pPr>
          </w:p>
        </w:tc>
      </w:tr>
      <w:tr w14:paraId="390E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5C730454">
            <w:pPr>
              <w:spacing w:before="120" w:after="120" w:line="240" w:lineRule="auto"/>
              <w:jc w:val="both"/>
              <w:rPr>
                <w:rFonts w:ascii="Arial" w:hAnsi="Arial" w:cs="Arial"/>
                <w:b/>
                <w:bCs/>
                <w:sz w:val="22"/>
                <w:szCs w:val="22"/>
                <w:lang w:val="en-GB"/>
              </w:rPr>
            </w:pPr>
            <w:r>
              <w:rPr>
                <w:rFonts w:ascii="Arial" w:hAnsi="Arial" w:cs="Arial"/>
                <w:b/>
                <w:bCs/>
                <w:sz w:val="22"/>
                <w:szCs w:val="22"/>
                <w:lang w:val="en-GB"/>
              </w:rPr>
              <w:t>Potential Constraint:</w:t>
            </w:r>
          </w:p>
        </w:tc>
        <w:tc>
          <w:tcPr>
            <w:tcW w:w="3823" w:type="pct"/>
          </w:tcPr>
          <w:p w14:paraId="176D4A8B">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The Go-Live date of 05 May 2027 is a Board-identified hard-wall milestone and cannot be moved</w:t>
            </w:r>
          </w:p>
          <w:p w14:paraId="6A39945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Project funding is limited to a fixed bank loan (4.8% p.a.) with no additional equity or grant funding available</w:t>
            </w:r>
          </w:p>
          <w:p w14:paraId="79DADAD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The Pilot Project is limited in scope to three sites only (Perth, Rockingham, Mandurah) and four core services (pathology, imaging, pharmacy, telehealth)</w:t>
            </w:r>
          </w:p>
          <w:p w14:paraId="497190A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All patient data handling must comply with strict Australian healthcare privacy regulation, limiting vendor and architecture choices</w:t>
            </w:r>
          </w:p>
          <w:p w14:paraId="228C322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The Product Owner role covers only Sub-Project I (software); Sub-Projects II and III (infrastructure and data migration) run on a shared timeline requiring cross-team coordination</w:t>
            </w:r>
          </w:p>
          <w:p w14:paraId="48188606">
            <w:pPr>
              <w:spacing w:before="120" w:after="120" w:line="240" w:lineRule="auto"/>
              <w:jc w:val="both"/>
              <w:rPr>
                <w:color w:val="0000FF"/>
                <w:lang w:val="en-GB"/>
              </w:rPr>
            </w:pPr>
          </w:p>
          <w:p w14:paraId="7BBABF19">
            <w:pPr>
              <w:spacing w:before="120" w:after="120" w:line="240" w:lineRule="auto"/>
              <w:jc w:val="both"/>
              <w:rPr>
                <w:lang w:val="en-GB"/>
              </w:rPr>
            </w:pPr>
          </w:p>
          <w:p w14:paraId="0EDA05D5">
            <w:pPr>
              <w:spacing w:before="120" w:after="120" w:line="240" w:lineRule="auto"/>
              <w:jc w:val="both"/>
              <w:rPr>
                <w:lang w:val="en-GB"/>
              </w:rPr>
            </w:pPr>
          </w:p>
          <w:p w14:paraId="5C9ABB42">
            <w:pPr>
              <w:spacing w:before="120" w:after="120" w:line="240" w:lineRule="auto"/>
              <w:jc w:val="both"/>
              <w:rPr>
                <w:lang w:val="en-GB"/>
              </w:rPr>
            </w:pPr>
          </w:p>
          <w:p w14:paraId="4379F73D">
            <w:pPr>
              <w:spacing w:before="120" w:after="120" w:line="240" w:lineRule="auto"/>
              <w:jc w:val="both"/>
              <w:rPr>
                <w:lang w:val="en-GB"/>
              </w:rPr>
            </w:pPr>
          </w:p>
        </w:tc>
      </w:tr>
      <w:tr w14:paraId="08EC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pct"/>
          </w:tcPr>
          <w:p w14:paraId="025543C6">
            <w:pPr>
              <w:spacing w:before="120" w:after="120" w:line="240" w:lineRule="auto"/>
              <w:jc w:val="both"/>
              <w:rPr>
                <w:rFonts w:ascii="Arial" w:hAnsi="Arial" w:cs="Arial"/>
                <w:b/>
                <w:bCs/>
                <w:sz w:val="22"/>
                <w:szCs w:val="22"/>
                <w:lang w:val="en-GB"/>
              </w:rPr>
            </w:pPr>
            <w:r>
              <w:rPr>
                <w:rFonts w:ascii="Arial" w:hAnsi="Arial" w:cs="Arial"/>
                <w:b/>
                <w:bCs/>
                <w:sz w:val="22"/>
                <w:szCs w:val="22"/>
                <w:lang w:val="en-GB"/>
              </w:rPr>
              <w:t>Potential Risks:</w:t>
            </w:r>
          </w:p>
        </w:tc>
        <w:tc>
          <w:tcPr>
            <w:tcW w:w="3823" w:type="pct"/>
          </w:tcPr>
          <w:p w14:paraId="4DCAC1DD">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The selected SaaS vendor fails to meet healthcare compliance or security standards, delaying development or go-live</w:t>
            </w:r>
          </w:p>
          <w:p w14:paraId="472B005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Actual project costs exceed the ROM estimates beyond the stated 25–40% variance, straining the fixed loan-based budget</w:t>
            </w:r>
          </w:p>
          <w:p w14:paraId="4EB936E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Low digital adoption among target patient groups (particularly regional, Aboriginal, and CALD communities) undermines the platform's value case</w:t>
            </w:r>
          </w:p>
          <w:p w14:paraId="061E2A1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Data migration errors in Sub-Project III compromise the integrity of migrated clinical data</w:t>
            </w:r>
          </w:p>
          <w:p w14:paraId="7B22261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Delays from third-party contractors or providers cascade into missed quarterly release milestones</w:t>
            </w:r>
          </w:p>
          <w:p w14:paraId="78CCEE9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Network/infrastructure commissioning in Sub-Project II is delayed, jeopardising the fixed Go-Live date</w:t>
            </w:r>
          </w:p>
          <w:p w14:paraId="33A76C00">
            <w:pPr>
              <w:spacing w:before="120" w:after="120" w:line="240" w:lineRule="auto"/>
              <w:jc w:val="both"/>
              <w:rPr>
                <w:color w:val="0000FF"/>
              </w:rPr>
            </w:pPr>
          </w:p>
          <w:p w14:paraId="277121DF">
            <w:pPr>
              <w:spacing w:before="120" w:after="120" w:line="240" w:lineRule="auto"/>
              <w:jc w:val="both"/>
              <w:rPr>
                <w:lang w:val="en-GB"/>
              </w:rPr>
            </w:pPr>
          </w:p>
          <w:p w14:paraId="7542A461">
            <w:pPr>
              <w:spacing w:before="120" w:after="120" w:line="240" w:lineRule="auto"/>
              <w:jc w:val="both"/>
              <w:rPr>
                <w:lang w:val="en-GB"/>
              </w:rPr>
            </w:pPr>
          </w:p>
          <w:p w14:paraId="703BB282">
            <w:pPr>
              <w:spacing w:before="120" w:after="120" w:line="240" w:lineRule="auto"/>
              <w:jc w:val="both"/>
              <w:rPr>
                <w:lang w:val="en-GB"/>
              </w:rPr>
            </w:pPr>
          </w:p>
          <w:p w14:paraId="1C15BC7A">
            <w:pPr>
              <w:spacing w:before="120" w:after="120" w:line="240" w:lineRule="auto"/>
              <w:jc w:val="both"/>
              <w:rPr>
                <w:lang w:val="en-GB"/>
              </w:rPr>
            </w:pPr>
          </w:p>
        </w:tc>
      </w:tr>
    </w:tbl>
    <w:p w14:paraId="4CDD0E1E">
      <w:pPr>
        <w:pStyle w:val="2"/>
        <w:shd w:val="clear" w:color="auto" w:fill="4472C4" w:themeFill="accent1"/>
        <w:rPr>
          <w:color w:val="E7E6E6" w:themeColor="background2"/>
          <w:lang w:val="en-GB"/>
          <w14:textFill>
            <w14:solidFill>
              <w14:schemeClr w14:val="bg2"/>
            </w14:solidFill>
          </w14:textFill>
        </w:rPr>
      </w:pPr>
      <w:bookmarkStart w:id="9" w:name="_Toc218970120"/>
      <w:r>
        <w:rPr>
          <w:color w:val="E7E6E6" w:themeColor="background2"/>
          <w:lang w:val="en-GB"/>
          <w14:textFill>
            <w14:solidFill>
              <w14:schemeClr w14:val="bg2"/>
            </w14:solidFill>
          </w14:textFill>
        </w:rPr>
        <w:t>Sign-Off</w:t>
      </w:r>
      <w:bookmarkEnd w:id="9"/>
    </w:p>
    <w:p w14:paraId="29B92A14">
      <w:pPr>
        <w:pStyle w:val="3"/>
        <w:rPr>
          <w:lang w:val="en-GB"/>
        </w:rPr>
      </w:pP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8"/>
        <w:gridCol w:w="3366"/>
        <w:gridCol w:w="2041"/>
        <w:gridCol w:w="2549"/>
      </w:tblGrid>
      <w:tr w14:paraId="0928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pct"/>
          </w:tcPr>
          <w:p w14:paraId="24542446">
            <w:pPr>
              <w:spacing w:before="120" w:after="120" w:line="240" w:lineRule="auto"/>
              <w:jc w:val="both"/>
              <w:rPr>
                <w:rFonts w:ascii="Arial" w:hAnsi="Arial" w:cs="Arial"/>
                <w:b/>
                <w:bCs/>
                <w:sz w:val="22"/>
                <w:szCs w:val="22"/>
                <w:lang w:val="en-GB"/>
              </w:rPr>
            </w:pPr>
          </w:p>
        </w:tc>
        <w:tc>
          <w:tcPr>
            <w:tcW w:w="1651" w:type="pct"/>
          </w:tcPr>
          <w:p w14:paraId="4B004FB2">
            <w:pPr>
              <w:spacing w:before="120" w:after="120" w:line="240" w:lineRule="auto"/>
              <w:jc w:val="both"/>
              <w:rPr>
                <w:rFonts w:ascii="Arial" w:hAnsi="Arial" w:cs="Arial"/>
                <w:b/>
                <w:bCs/>
                <w:sz w:val="22"/>
                <w:szCs w:val="22"/>
                <w:lang w:val="en-GB"/>
              </w:rPr>
            </w:pPr>
            <w:r>
              <w:rPr>
                <w:rFonts w:ascii="Arial" w:hAnsi="Arial" w:cs="Arial"/>
                <w:b/>
                <w:bCs/>
                <w:sz w:val="22"/>
                <w:szCs w:val="22"/>
                <w:lang w:val="en-GB"/>
              </w:rPr>
              <w:t>Name</w:t>
            </w:r>
          </w:p>
        </w:tc>
        <w:tc>
          <w:tcPr>
            <w:tcW w:w="1001" w:type="pct"/>
          </w:tcPr>
          <w:p w14:paraId="65FE3754">
            <w:pPr>
              <w:spacing w:before="120" w:after="120" w:line="240" w:lineRule="auto"/>
              <w:jc w:val="both"/>
              <w:rPr>
                <w:rFonts w:ascii="Arial" w:hAnsi="Arial" w:cs="Arial"/>
                <w:b/>
                <w:bCs/>
                <w:sz w:val="22"/>
                <w:szCs w:val="22"/>
                <w:lang w:val="en-GB"/>
              </w:rPr>
            </w:pPr>
            <w:r>
              <w:rPr>
                <w:rFonts w:ascii="Arial" w:hAnsi="Arial" w:cs="Arial"/>
                <w:b/>
                <w:bCs/>
                <w:sz w:val="22"/>
                <w:szCs w:val="22"/>
                <w:lang w:val="en-GB"/>
              </w:rPr>
              <w:t>Signature</w:t>
            </w:r>
          </w:p>
        </w:tc>
        <w:tc>
          <w:tcPr>
            <w:tcW w:w="1250" w:type="pct"/>
          </w:tcPr>
          <w:p w14:paraId="52B26BF6">
            <w:pPr>
              <w:spacing w:before="120" w:after="120" w:line="240" w:lineRule="auto"/>
              <w:jc w:val="both"/>
              <w:rPr>
                <w:rFonts w:ascii="Arial" w:hAnsi="Arial" w:cs="Arial"/>
                <w:b/>
                <w:bCs/>
                <w:sz w:val="22"/>
                <w:szCs w:val="22"/>
                <w:lang w:val="en-GB"/>
              </w:rPr>
            </w:pPr>
            <w:r>
              <w:rPr>
                <w:rFonts w:ascii="Arial" w:hAnsi="Arial" w:cs="Arial"/>
                <w:b/>
                <w:bCs/>
                <w:sz w:val="22"/>
                <w:szCs w:val="22"/>
                <w:lang w:val="en-GB"/>
              </w:rPr>
              <w:t xml:space="preserve">Date </w:t>
            </w:r>
          </w:p>
          <w:p w14:paraId="649D7F49">
            <w:pPr>
              <w:spacing w:before="120" w:after="120" w:line="240" w:lineRule="auto"/>
              <w:jc w:val="both"/>
              <w:rPr>
                <w:rFonts w:ascii="Arial" w:hAnsi="Arial" w:cs="Arial"/>
                <w:b/>
                <w:bCs/>
                <w:sz w:val="22"/>
                <w:szCs w:val="22"/>
                <w:lang w:val="en-GB"/>
              </w:rPr>
            </w:pPr>
            <w:r>
              <w:rPr>
                <w:rFonts w:ascii="Arial" w:hAnsi="Arial" w:cs="Arial"/>
                <w:b/>
                <w:bCs/>
                <w:sz w:val="22"/>
                <w:szCs w:val="22"/>
                <w:lang w:val="en-GB"/>
              </w:rPr>
              <w:t>(dd/mm/yyyy)</w:t>
            </w:r>
          </w:p>
        </w:tc>
      </w:tr>
      <w:tr w14:paraId="17B5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pct"/>
          </w:tcPr>
          <w:p w14:paraId="02BF0D3E">
            <w:pPr>
              <w:spacing w:before="120" w:after="120" w:line="240" w:lineRule="auto"/>
              <w:jc w:val="both"/>
              <w:rPr>
                <w:rFonts w:ascii="Arial" w:hAnsi="Arial" w:cs="Arial"/>
                <w:b/>
                <w:bCs/>
                <w:sz w:val="22"/>
                <w:szCs w:val="22"/>
                <w:lang w:val="en-GB"/>
              </w:rPr>
            </w:pPr>
            <w:r>
              <w:rPr>
                <w:rFonts w:ascii="Arial" w:hAnsi="Arial" w:cs="Arial"/>
                <w:b/>
                <w:bCs/>
                <w:sz w:val="22"/>
                <w:szCs w:val="22"/>
                <w:lang w:val="en-GB"/>
              </w:rPr>
              <w:t>Project Sponsor</w:t>
            </w:r>
          </w:p>
        </w:tc>
        <w:tc>
          <w:tcPr>
            <w:tcW w:w="1651" w:type="pct"/>
          </w:tcPr>
          <w:p w14:paraId="766BC24F">
            <w:pPr>
              <w:spacing w:before="120" w:after="120" w:line="240" w:lineRule="auto"/>
              <w:jc w:val="both"/>
              <w:rPr>
                <w:rFonts w:hint="default"/>
                <w:lang w:val="en-US"/>
              </w:rPr>
            </w:pPr>
            <w:r>
              <w:rPr>
                <w:rFonts w:hint="default"/>
                <w:lang w:val="en-US"/>
              </w:rPr>
              <w:t>Ben Dover</w:t>
            </w:r>
          </w:p>
        </w:tc>
        <w:tc>
          <w:tcPr>
            <w:tcW w:w="1001" w:type="pct"/>
          </w:tcPr>
          <w:p w14:paraId="1F0A5926">
            <w:pPr>
              <w:spacing w:before="120" w:after="120" w:line="240" w:lineRule="auto"/>
              <w:jc w:val="both"/>
              <w:rPr>
                <w:lang w:val="en-GB"/>
              </w:rPr>
            </w:pPr>
          </w:p>
        </w:tc>
        <w:tc>
          <w:tcPr>
            <w:tcW w:w="1250" w:type="pct"/>
          </w:tcPr>
          <w:p w14:paraId="6B0AC85D">
            <w:pPr>
              <w:spacing w:before="120" w:after="120" w:line="240" w:lineRule="auto"/>
              <w:jc w:val="both"/>
              <w:rPr>
                <w:lang w:val="en-GB"/>
              </w:rPr>
            </w:pPr>
          </w:p>
        </w:tc>
      </w:tr>
      <w:tr w14:paraId="6F208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pct"/>
          </w:tcPr>
          <w:p w14:paraId="2C35BB00">
            <w:pPr>
              <w:spacing w:before="120" w:after="120" w:line="240" w:lineRule="auto"/>
              <w:jc w:val="both"/>
              <w:rPr>
                <w:rFonts w:ascii="Arial" w:hAnsi="Arial" w:cs="Arial"/>
                <w:b/>
                <w:bCs/>
                <w:sz w:val="22"/>
                <w:szCs w:val="22"/>
                <w:lang w:val="en-GB"/>
              </w:rPr>
            </w:pPr>
            <w:r>
              <w:rPr>
                <w:rFonts w:ascii="Arial" w:hAnsi="Arial" w:cs="Arial"/>
                <w:b/>
                <w:bCs/>
                <w:sz w:val="22"/>
                <w:szCs w:val="22"/>
                <w:lang w:val="en-GB"/>
              </w:rPr>
              <w:t>Senior Executive</w:t>
            </w:r>
          </w:p>
        </w:tc>
        <w:tc>
          <w:tcPr>
            <w:tcW w:w="1651" w:type="pct"/>
          </w:tcPr>
          <w:p w14:paraId="2453C4DF">
            <w:pPr>
              <w:spacing w:before="120" w:after="120" w:line="240" w:lineRule="auto"/>
              <w:jc w:val="both"/>
              <w:rPr>
                <w:rFonts w:hint="default"/>
                <w:lang w:val="en-US"/>
              </w:rPr>
            </w:pPr>
            <w:r>
              <w:rPr>
                <w:rFonts w:hint="default"/>
                <w:lang w:val="en-US"/>
              </w:rPr>
              <w:t>Dr Donna Jenner</w:t>
            </w:r>
          </w:p>
        </w:tc>
        <w:tc>
          <w:tcPr>
            <w:tcW w:w="1001" w:type="pct"/>
          </w:tcPr>
          <w:p w14:paraId="3CB458A2">
            <w:pPr>
              <w:spacing w:before="120" w:after="120" w:line="240" w:lineRule="auto"/>
              <w:jc w:val="both"/>
              <w:rPr>
                <w:lang w:val="en-GB"/>
              </w:rPr>
            </w:pPr>
          </w:p>
        </w:tc>
        <w:tc>
          <w:tcPr>
            <w:tcW w:w="1250" w:type="pct"/>
          </w:tcPr>
          <w:p w14:paraId="6DB90C7A">
            <w:pPr>
              <w:spacing w:before="120" w:after="120" w:line="240" w:lineRule="auto"/>
              <w:jc w:val="both"/>
              <w:rPr>
                <w:lang w:val="en-GB"/>
              </w:rPr>
            </w:pPr>
          </w:p>
        </w:tc>
      </w:tr>
      <w:tr w14:paraId="52A2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pct"/>
          </w:tcPr>
          <w:p w14:paraId="4D9D30BE">
            <w:pPr>
              <w:spacing w:before="120" w:after="120" w:line="240" w:lineRule="auto"/>
              <w:jc w:val="both"/>
              <w:rPr>
                <w:rFonts w:ascii="Arial" w:hAnsi="Arial" w:cs="Arial"/>
                <w:b/>
                <w:bCs/>
                <w:sz w:val="22"/>
                <w:szCs w:val="22"/>
                <w:lang w:val="en-GB"/>
              </w:rPr>
            </w:pPr>
            <w:r>
              <w:rPr>
                <w:rFonts w:ascii="Arial" w:hAnsi="Arial" w:cs="Arial"/>
                <w:b/>
                <w:bCs/>
                <w:sz w:val="22"/>
                <w:szCs w:val="22"/>
                <w:lang w:val="en-GB"/>
              </w:rPr>
              <w:t>Project Lead</w:t>
            </w:r>
          </w:p>
        </w:tc>
        <w:tc>
          <w:tcPr>
            <w:tcW w:w="1651" w:type="pct"/>
          </w:tcPr>
          <w:p w14:paraId="2263CDF4">
            <w:pPr>
              <w:spacing w:before="120" w:after="120" w:line="240" w:lineRule="auto"/>
              <w:jc w:val="both"/>
              <w:rPr>
                <w:rFonts w:hint="default"/>
                <w:i/>
                <w:iCs/>
                <w:lang w:val="en-US"/>
              </w:rPr>
            </w:pPr>
            <w:r>
              <w:rPr>
                <w:rFonts w:hint="default"/>
                <w:i/>
                <w:iCs/>
                <w:lang w:val="en-US"/>
              </w:rPr>
              <w:t>Vaasu Goyal</w:t>
            </w:r>
          </w:p>
        </w:tc>
        <w:tc>
          <w:tcPr>
            <w:tcW w:w="1001" w:type="pct"/>
          </w:tcPr>
          <w:p w14:paraId="69E0D6D1">
            <w:pPr>
              <w:spacing w:before="120" w:after="120" w:line="240" w:lineRule="auto"/>
              <w:jc w:val="both"/>
              <w:rPr>
                <w:lang w:val="en-GB"/>
              </w:rPr>
            </w:pPr>
            <w:bookmarkStart w:id="11" w:name="_GoBack"/>
            <w:bookmarkEnd w:id="11"/>
          </w:p>
        </w:tc>
        <w:tc>
          <w:tcPr>
            <w:tcW w:w="1250" w:type="pct"/>
          </w:tcPr>
          <w:p w14:paraId="719DED35">
            <w:pPr>
              <w:spacing w:before="120" w:after="120" w:line="240" w:lineRule="auto"/>
              <w:jc w:val="both"/>
              <w:rPr>
                <w:lang w:val="en-GB"/>
              </w:rPr>
            </w:pPr>
          </w:p>
        </w:tc>
      </w:tr>
      <w:tr w14:paraId="52BCA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pct"/>
          </w:tcPr>
          <w:p w14:paraId="2E49D2BD">
            <w:pPr>
              <w:spacing w:before="120" w:after="120" w:line="240" w:lineRule="auto"/>
              <w:jc w:val="both"/>
              <w:rPr>
                <w:rFonts w:ascii="Arial" w:hAnsi="Arial" w:cs="Arial"/>
                <w:b/>
                <w:bCs/>
                <w:sz w:val="22"/>
                <w:szCs w:val="22"/>
                <w:lang w:val="en-GB"/>
              </w:rPr>
            </w:pPr>
            <w:r>
              <w:rPr>
                <w:rFonts w:ascii="Arial" w:hAnsi="Arial" w:cs="Arial"/>
                <w:b/>
                <w:bCs/>
                <w:sz w:val="22"/>
                <w:szCs w:val="22"/>
                <w:lang w:val="en-GB"/>
              </w:rPr>
              <w:t>Notes:</w:t>
            </w:r>
          </w:p>
        </w:tc>
        <w:tc>
          <w:tcPr>
            <w:tcW w:w="3902" w:type="pct"/>
            <w:gridSpan w:val="3"/>
          </w:tcPr>
          <w:p w14:paraId="0935A61C">
            <w:pPr>
              <w:spacing w:before="120" w:after="120" w:line="240" w:lineRule="auto"/>
              <w:jc w:val="both"/>
              <w:rPr>
                <w:lang w:val="en-GB"/>
              </w:rPr>
            </w:pPr>
          </w:p>
          <w:p w14:paraId="2316B76D">
            <w:pPr>
              <w:spacing w:before="120" w:after="120" w:line="240" w:lineRule="auto"/>
              <w:jc w:val="both"/>
              <w:rPr>
                <w:lang w:val="en-GB"/>
              </w:rPr>
            </w:pPr>
          </w:p>
          <w:p w14:paraId="22E7B047">
            <w:pPr>
              <w:spacing w:before="120" w:after="120" w:line="240" w:lineRule="auto"/>
              <w:jc w:val="both"/>
              <w:rPr>
                <w:lang w:val="en-GB"/>
              </w:rPr>
            </w:pPr>
          </w:p>
          <w:p w14:paraId="59125A07">
            <w:pPr>
              <w:spacing w:before="120" w:after="120" w:line="240" w:lineRule="auto"/>
              <w:jc w:val="both"/>
              <w:rPr>
                <w:lang w:val="en-GB"/>
              </w:rPr>
            </w:pPr>
          </w:p>
          <w:p w14:paraId="2DD15528">
            <w:pPr>
              <w:spacing w:before="120" w:after="120" w:line="240" w:lineRule="auto"/>
              <w:jc w:val="both"/>
              <w:rPr>
                <w:lang w:val="en-GB"/>
              </w:rPr>
            </w:pPr>
          </w:p>
        </w:tc>
      </w:tr>
    </w:tbl>
    <w:p w14:paraId="59A9CED6">
      <w:pPr>
        <w:pStyle w:val="2"/>
        <w:shd w:val="clear" w:color="auto" w:fill="4472C4" w:themeFill="accent1"/>
        <w:rPr>
          <w:color w:val="E7E6E6" w:themeColor="background2"/>
          <w14:textFill>
            <w14:solidFill>
              <w14:schemeClr w14:val="bg2"/>
            </w14:solidFill>
          </w14:textFill>
        </w:rPr>
      </w:pPr>
      <w:bookmarkStart w:id="10" w:name="_Toc218970121"/>
      <w:r>
        <w:rPr>
          <w:color w:val="E7E6E6" w:themeColor="background2"/>
          <w14:textFill>
            <w14:solidFill>
              <w14:schemeClr w14:val="bg2"/>
            </w14:solidFill>
          </w14:textFill>
        </w:rPr>
        <w:t>Definitions and Acronyms</w:t>
      </w:r>
      <w:bookmarkEnd w:id="10"/>
    </w:p>
    <w:p w14:paraId="2F2B5A4E">
      <w:pPr>
        <w:jc w:val="both"/>
        <w:rPr>
          <w:rFonts w:hint="default"/>
          <w:lang w:val="en-GB"/>
        </w:rPr>
      </w:pPr>
      <w:r>
        <w:rPr>
          <w:rFonts w:hint="default"/>
          <w:lang w:val="en-GB"/>
        </w:rPr>
        <w:t>API Gateway — a secure, controlled entry point for external access to MSS data and functionality, enabling integration with other healthcare systems (e.g. EHRs) while maintaining regulatory compliance</w:t>
      </w:r>
    </w:p>
    <w:p w14:paraId="68D506D8">
      <w:pPr>
        <w:jc w:val="both"/>
        <w:rPr>
          <w:rFonts w:hint="default"/>
          <w:lang w:val="en-GB"/>
        </w:rPr>
      </w:pPr>
      <w:r>
        <w:rPr>
          <w:rFonts w:hint="default"/>
          <w:lang w:val="en-GB"/>
        </w:rPr>
        <w:t>APP — Australian Privacy Principles</w:t>
      </w:r>
    </w:p>
    <w:p w14:paraId="1A124587">
      <w:pPr>
        <w:jc w:val="both"/>
        <w:rPr>
          <w:rFonts w:hint="default"/>
          <w:lang w:val="en-GB"/>
        </w:rPr>
      </w:pPr>
      <w:r>
        <w:rPr>
          <w:rFonts w:hint="default"/>
          <w:lang w:val="en-GB"/>
        </w:rPr>
        <w:t>CALD — Culturally and Linguistically Diverse</w:t>
      </w:r>
    </w:p>
    <w:p w14:paraId="4E002674">
      <w:pPr>
        <w:jc w:val="both"/>
        <w:rPr>
          <w:rFonts w:hint="default"/>
          <w:lang w:val="en-GB"/>
        </w:rPr>
      </w:pPr>
      <w:r>
        <w:rPr>
          <w:rFonts w:hint="default"/>
          <w:lang w:val="en-GB"/>
        </w:rPr>
        <w:t>CEO — Chief Executive Officer</w:t>
      </w:r>
    </w:p>
    <w:p w14:paraId="2FEEB392">
      <w:pPr>
        <w:jc w:val="both"/>
        <w:rPr>
          <w:rFonts w:hint="default"/>
          <w:lang w:val="en-GB"/>
        </w:rPr>
      </w:pPr>
      <w:r>
        <w:rPr>
          <w:rFonts w:hint="default"/>
          <w:lang w:val="en-GB"/>
        </w:rPr>
        <w:t>CIO — Chief Information Officer</w:t>
      </w:r>
    </w:p>
    <w:p w14:paraId="6EB88D49">
      <w:pPr>
        <w:jc w:val="both"/>
        <w:rPr>
          <w:rFonts w:hint="default"/>
          <w:lang w:val="en-GB"/>
        </w:rPr>
      </w:pPr>
      <w:r>
        <w:rPr>
          <w:rFonts w:hint="default"/>
          <w:lang w:val="en-GB"/>
        </w:rPr>
        <w:t>CIS — Clinical Information System — a computer-based system for collecting, storing, and managing patient data to support point-of-care decisions</w:t>
      </w:r>
    </w:p>
    <w:p w14:paraId="4F5B9269">
      <w:pPr>
        <w:jc w:val="both"/>
        <w:rPr>
          <w:rFonts w:hint="default"/>
          <w:lang w:val="en-GB"/>
        </w:rPr>
      </w:pPr>
      <w:r>
        <w:rPr>
          <w:rFonts w:hint="default"/>
          <w:lang w:val="en-GB"/>
        </w:rPr>
        <w:t>Data Bus — links disparate data sources, performs consolidation/federation, and provides a unified data model to the Healthcare Service Bus</w:t>
      </w:r>
    </w:p>
    <w:p w14:paraId="55DB2557">
      <w:pPr>
        <w:jc w:val="both"/>
        <w:rPr>
          <w:rFonts w:hint="default"/>
          <w:lang w:val="en-GB"/>
        </w:rPr>
      </w:pPr>
      <w:r>
        <w:rPr>
          <w:rFonts w:hint="default"/>
          <w:lang w:val="en-GB"/>
        </w:rPr>
        <w:t>EHR — Electronic Health Record</w:t>
      </w:r>
    </w:p>
    <w:p w14:paraId="58EEF4C7">
      <w:pPr>
        <w:jc w:val="both"/>
        <w:rPr>
          <w:rFonts w:hint="default"/>
          <w:lang w:val="en-GB"/>
        </w:rPr>
      </w:pPr>
      <w:r>
        <w:rPr>
          <w:rFonts w:hint="default"/>
          <w:lang w:val="en-GB"/>
        </w:rPr>
        <w:t>EMM — Enterprise Mobility Management — securing and managing mobile devices, applications, and content used for telehealth and remote work</w:t>
      </w:r>
    </w:p>
    <w:p w14:paraId="6C8F5069">
      <w:pPr>
        <w:jc w:val="both"/>
        <w:rPr>
          <w:rFonts w:hint="default"/>
          <w:lang w:val="en-GB"/>
        </w:rPr>
      </w:pPr>
      <w:r>
        <w:rPr>
          <w:rFonts w:hint="default"/>
          <w:lang w:val="en-GB"/>
        </w:rPr>
        <w:t>EULA — End User License Agreement</w:t>
      </w:r>
    </w:p>
    <w:p w14:paraId="2554A99D">
      <w:pPr>
        <w:jc w:val="both"/>
        <w:rPr>
          <w:rFonts w:hint="default"/>
          <w:lang w:val="en-GB"/>
        </w:rPr>
      </w:pPr>
      <w:r>
        <w:rPr>
          <w:rFonts w:hint="default"/>
          <w:lang w:val="en-GB"/>
        </w:rPr>
        <w:t>Event Queue — stores generated system events (e.g. record updates, lab results, logins) in order for asynchronous processing, decoupling event generation from processing</w:t>
      </w:r>
    </w:p>
    <w:p w14:paraId="51466015">
      <w:pPr>
        <w:jc w:val="both"/>
        <w:rPr>
          <w:rFonts w:hint="default"/>
          <w:lang w:val="en-GB"/>
        </w:rPr>
      </w:pPr>
      <w:r>
        <w:rPr>
          <w:rFonts w:hint="default"/>
          <w:lang w:val="en-GB"/>
        </w:rPr>
        <w:t>FHIR — Fast Healthcare Interoperability Resources — a standard for electronic healthcare information exchange</w:t>
      </w:r>
    </w:p>
    <w:p w14:paraId="0AD6759B">
      <w:pPr>
        <w:jc w:val="both"/>
        <w:rPr>
          <w:rFonts w:hint="default"/>
          <w:lang w:val="en-GB"/>
        </w:rPr>
      </w:pPr>
      <w:r>
        <w:rPr>
          <w:rFonts w:hint="default"/>
          <w:lang w:val="en-GB"/>
        </w:rPr>
        <w:t>HCB — Healthcare Service Bus — a central communication hub (built on an enterprise service bus) enabling integration between systems like EHRs, LIS, and PACS</w:t>
      </w:r>
    </w:p>
    <w:p w14:paraId="10303BC6">
      <w:pPr>
        <w:jc w:val="both"/>
        <w:rPr>
          <w:rFonts w:hint="default"/>
          <w:lang w:val="en-GB"/>
        </w:rPr>
      </w:pPr>
      <w:r>
        <w:rPr>
          <w:rFonts w:hint="default"/>
          <w:lang w:val="en-GB"/>
        </w:rPr>
        <w:t>HL7 — Health Level Seven — international standards for transferring clinical and administrative health data</w:t>
      </w:r>
    </w:p>
    <w:p w14:paraId="79BF776A">
      <w:pPr>
        <w:jc w:val="both"/>
        <w:rPr>
          <w:rFonts w:hint="default"/>
          <w:lang w:val="en-GB"/>
        </w:rPr>
      </w:pPr>
      <w:r>
        <w:rPr>
          <w:rFonts w:hint="default"/>
          <w:lang w:val="en-GB"/>
        </w:rPr>
        <w:t>IAM — Identity and Access Management — controls user identity and system access, integrating with systems like LDAP, Active Directory, or OAuth 2.0</w:t>
      </w:r>
    </w:p>
    <w:p w14:paraId="3AA49075">
      <w:pPr>
        <w:jc w:val="both"/>
        <w:rPr>
          <w:rFonts w:hint="default"/>
          <w:lang w:val="en-GB"/>
        </w:rPr>
      </w:pPr>
      <w:r>
        <w:rPr>
          <w:rFonts w:hint="default"/>
          <w:lang w:val="en-GB"/>
        </w:rPr>
        <w:t>LIS — Laboratory Information System</w:t>
      </w:r>
    </w:p>
    <w:p w14:paraId="50F8ED43">
      <w:pPr>
        <w:jc w:val="both"/>
        <w:rPr>
          <w:rFonts w:hint="default"/>
          <w:lang w:val="en-GB"/>
        </w:rPr>
      </w:pPr>
      <w:r>
        <w:rPr>
          <w:rFonts w:hint="default"/>
          <w:lang w:val="en-GB"/>
        </w:rPr>
        <w:t>MFA — Multi-Factor Authentication — requires multiple forms of authentication (e.g. password + SMS code) for added security</w:t>
      </w:r>
    </w:p>
    <w:p w14:paraId="1A200910">
      <w:pPr>
        <w:jc w:val="both"/>
        <w:rPr>
          <w:rFonts w:hint="default"/>
          <w:lang w:val="en-GB"/>
        </w:rPr>
      </w:pPr>
      <w:r>
        <w:rPr>
          <w:rFonts w:hint="default"/>
          <w:lang w:val="en-GB"/>
        </w:rPr>
        <w:t>MSI — Maternity Stream International Pty Ltd</w:t>
      </w:r>
    </w:p>
    <w:p w14:paraId="55B52356">
      <w:pPr>
        <w:jc w:val="both"/>
        <w:rPr>
          <w:rFonts w:hint="default"/>
          <w:lang w:val="en-GB"/>
        </w:rPr>
      </w:pPr>
      <w:r>
        <w:rPr>
          <w:rFonts w:hint="default"/>
          <w:lang w:val="en-GB"/>
        </w:rPr>
        <w:t>MSS — Maternity Stream System</w:t>
      </w:r>
    </w:p>
    <w:p w14:paraId="3DCD9D86">
      <w:pPr>
        <w:jc w:val="both"/>
        <w:rPr>
          <w:rFonts w:hint="default"/>
          <w:lang w:val="en-GB"/>
        </w:rPr>
      </w:pPr>
      <w:r>
        <w:rPr>
          <w:rFonts w:hint="default"/>
          <w:lang w:val="en-GB"/>
        </w:rPr>
        <w:t>NPV — Net Present Value</w:t>
      </w:r>
    </w:p>
    <w:p w14:paraId="14D1F33E">
      <w:pPr>
        <w:jc w:val="both"/>
        <w:rPr>
          <w:rFonts w:hint="default"/>
          <w:lang w:val="en-GB"/>
        </w:rPr>
      </w:pPr>
      <w:r>
        <w:rPr>
          <w:rFonts w:hint="default"/>
          <w:lang w:val="en-GB"/>
        </w:rPr>
        <w:t>PACS — Picture Archiving and Communication System — used for sharing medical imaging</w:t>
      </w:r>
    </w:p>
    <w:p w14:paraId="6ECAA1A7">
      <w:pPr>
        <w:jc w:val="both"/>
        <w:rPr>
          <w:rFonts w:hint="default"/>
          <w:lang w:val="en-GB"/>
        </w:rPr>
      </w:pPr>
      <w:r>
        <w:rPr>
          <w:rFonts w:hint="default"/>
          <w:lang w:val="en-GB"/>
        </w:rPr>
        <w:t>PO — Product Owner</w:t>
      </w:r>
    </w:p>
    <w:p w14:paraId="6FC43A24">
      <w:pPr>
        <w:jc w:val="both"/>
        <w:rPr>
          <w:rFonts w:hint="default"/>
          <w:lang w:val="en-GB"/>
        </w:rPr>
      </w:pPr>
      <w:r>
        <w:rPr>
          <w:rFonts w:hint="default"/>
          <w:lang w:val="en-GB"/>
        </w:rPr>
        <w:t>QA — Quality Assurance</w:t>
      </w:r>
    </w:p>
    <w:p w14:paraId="2C6FBBC2">
      <w:pPr>
        <w:jc w:val="both"/>
        <w:rPr>
          <w:rFonts w:hint="default"/>
          <w:lang w:val="en-GB"/>
        </w:rPr>
      </w:pPr>
      <w:r>
        <w:rPr>
          <w:rFonts w:hint="default"/>
          <w:lang w:val="en-GB"/>
        </w:rPr>
        <w:t>RFT — Request for Tender</w:t>
      </w:r>
    </w:p>
    <w:p w14:paraId="00B4A8BE">
      <w:pPr>
        <w:jc w:val="both"/>
        <w:rPr>
          <w:rFonts w:hint="default"/>
          <w:lang w:val="en-GB"/>
        </w:rPr>
      </w:pPr>
      <w:r>
        <w:rPr>
          <w:rFonts w:hint="default"/>
          <w:lang w:val="en-GB"/>
        </w:rPr>
        <w:t>ROI — Return on Investment</w:t>
      </w:r>
    </w:p>
    <w:p w14:paraId="5B0FC9C2">
      <w:pPr>
        <w:jc w:val="both"/>
        <w:rPr>
          <w:rFonts w:hint="default"/>
          <w:lang w:val="en-GB"/>
        </w:rPr>
      </w:pPr>
      <w:r>
        <w:rPr>
          <w:rFonts w:hint="default"/>
          <w:lang w:val="en-GB"/>
        </w:rPr>
        <w:t>ROM — Rough Order of Magnitude</w:t>
      </w:r>
    </w:p>
    <w:p w14:paraId="5426B172">
      <w:pPr>
        <w:jc w:val="both"/>
        <w:rPr>
          <w:rFonts w:hint="default"/>
          <w:lang w:val="en-GB"/>
        </w:rPr>
      </w:pPr>
      <w:r>
        <w:rPr>
          <w:rFonts w:hint="default"/>
          <w:lang w:val="en-GB"/>
        </w:rPr>
        <w:t>SaaS — Software as a Service</w:t>
      </w:r>
    </w:p>
    <w:p w14:paraId="41EEB4C6">
      <w:pPr>
        <w:jc w:val="both"/>
        <w:rPr>
          <w:rFonts w:hint="default"/>
          <w:lang w:val="en-GB"/>
        </w:rPr>
      </w:pPr>
      <w:r>
        <w:rPr>
          <w:rFonts w:hint="default"/>
          <w:lang w:val="en-GB"/>
        </w:rPr>
        <w:t>Security Gateway — provides access control for data, granting/revoking permissions so sensitive records are only visible to authorised users</w:t>
      </w:r>
    </w:p>
    <w:p w14:paraId="4CE8E64E">
      <w:pPr>
        <w:jc w:val="both"/>
        <w:rPr>
          <w:rFonts w:hint="default"/>
          <w:lang w:val="en-GB"/>
        </w:rPr>
      </w:pPr>
      <w:r>
        <w:rPr>
          <w:rFonts w:hint="default"/>
          <w:lang w:val="en-GB"/>
        </w:rPr>
        <w:t>SLA — Service Level Agreement — commitments from the SaaS provider on system uptime and reliability</w:t>
      </w:r>
    </w:p>
    <w:p w14:paraId="4FD9D1A5">
      <w:pPr>
        <w:jc w:val="both"/>
        <w:rPr>
          <w:rFonts w:hint="default"/>
          <w:lang w:val="en-GB"/>
        </w:rPr>
      </w:pPr>
      <w:r>
        <w:rPr>
          <w:rFonts w:hint="default"/>
          <w:lang w:val="en-GB"/>
        </w:rPr>
        <w:t>SME — Subject Matter Expert</w:t>
      </w:r>
    </w:p>
    <w:p w14:paraId="24F77C32">
      <w:pPr>
        <w:jc w:val="both"/>
        <w:rPr>
          <w:rFonts w:hint="default"/>
          <w:lang w:val="en-GB"/>
        </w:rPr>
      </w:pPr>
      <w:r>
        <w:rPr>
          <w:rFonts w:hint="default"/>
          <w:lang w:val="en-GB"/>
        </w:rPr>
        <w:t>SSO — Single Sign-On</w:t>
      </w:r>
    </w:p>
    <w:p w14:paraId="33110C0B">
      <w:pPr>
        <w:jc w:val="both"/>
        <w:rPr>
          <w:rFonts w:hint="default"/>
          <w:lang w:val="en-GB"/>
        </w:rPr>
      </w:pPr>
      <w:r>
        <w:rPr>
          <w:rFonts w:hint="default"/>
          <w:lang w:val="en-GB"/>
        </w:rPr>
        <w:t>UAT — User Acceptance Testing</w:t>
      </w:r>
    </w:p>
    <w:p w14:paraId="65DE0223">
      <w:pPr>
        <w:jc w:val="both"/>
        <w:rPr>
          <w:rFonts w:hint="default"/>
          <w:lang w:val="en-GB"/>
        </w:rPr>
      </w:pPr>
      <w:r>
        <w:rPr>
          <w:rFonts w:hint="default"/>
          <w:lang w:val="en-GB"/>
        </w:rPr>
        <w:t>WA Health — Western Australia Department of Health</w:t>
      </w:r>
    </w:p>
    <w:p w14:paraId="575CB361">
      <w:pPr>
        <w:jc w:val="both"/>
        <w:rPr>
          <w:lang w:val="en-GB"/>
        </w:rPr>
      </w:pPr>
      <w:r>
        <w:rPr>
          <w:rFonts w:hint="default"/>
          <w:lang w:val="en-GB"/>
        </w:rPr>
        <w:t>WACHS — WA Country Health Service</w:t>
      </w:r>
    </w:p>
    <w:p w14:paraId="64BE1503">
      <w:pPr>
        <w:jc w:val="both"/>
        <w:rPr>
          <w:lang w:val="en-GB"/>
        </w:rPr>
      </w:pPr>
    </w:p>
    <w:p w14:paraId="049BF7A7">
      <w:pPr>
        <w:jc w:val="both"/>
        <w:rPr>
          <w:lang w:val="en-GB"/>
        </w:rPr>
      </w:pPr>
    </w:p>
    <w:p w14:paraId="1B52FF39">
      <w:pPr>
        <w:jc w:val="both"/>
        <w:rPr>
          <w:lang w:val="en-GB"/>
        </w:rPr>
      </w:pPr>
    </w:p>
    <w:p w14:paraId="1740F929">
      <w:pPr>
        <w:jc w:val="both"/>
        <w:rPr>
          <w:lang w:val="en-GB"/>
        </w:rPr>
      </w:pPr>
    </w:p>
    <w:p w14:paraId="604A1FCF">
      <w:pPr>
        <w:jc w:val="both"/>
        <w:rPr>
          <w:lang w:val="en-GB"/>
        </w:rPr>
      </w:pPr>
    </w:p>
    <w:p w14:paraId="37261F90">
      <w:pPr>
        <w:pStyle w:val="3"/>
        <w:pBdr>
          <w:bottom w:val="single" w:color="auto" w:sz="6" w:space="1"/>
        </w:pBdr>
        <w:rPr>
          <w:lang w:val="en-GB"/>
        </w:rPr>
      </w:pPr>
    </w:p>
    <w:p w14:paraId="4FD2ADE9">
      <w:pPr>
        <w:pStyle w:val="3"/>
        <w:rPr>
          <w:sz w:val="18"/>
          <w:szCs w:val="18"/>
          <w:lang w:val="en-GB"/>
        </w:rPr>
      </w:pPr>
      <w:r>
        <w:rPr>
          <w:sz w:val="18"/>
          <w:szCs w:val="18"/>
          <w:lang w:val="en-GB"/>
        </w:rPr>
        <w:t>END OF DOCUMENT</w:t>
      </w:r>
    </w:p>
    <w:sectPr>
      <w:pgSz w:w="11906" w:h="16838"/>
      <w:pgMar w:top="964" w:right="964" w:bottom="964" w:left="964"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Angsana New">
    <w:altName w:val="Microsoft Sans Serif"/>
    <w:panose1 w:val="02020603050405020304"/>
    <w:charset w:val="DE"/>
    <w:family w:val="roman"/>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rdia New">
    <w:altName w:val="Microsoft Sans Serif"/>
    <w:panose1 w:val="020B0304020202020204"/>
    <w:charset w:val="DE"/>
    <w:family w:val="swiss"/>
    <w:pitch w:val="default"/>
    <w:sig w:usb0="00000000" w:usb1="00000000" w:usb2="00000000" w:usb3="00000000" w:csb0="00010001" w:csb1="00000000"/>
  </w:font>
  <w:font w:name="Aptos ExtraBold">
    <w:altName w:val="Franklin Gothic Demi"/>
    <w:panose1 w:val="00000000000000000000"/>
    <w:charset w:val="00"/>
    <w:family w:val="swiss"/>
    <w:pitch w:val="default"/>
    <w:sig w:usb0="00000000" w:usb1="00000000" w:usb2="00000000" w:usb3="00000000" w:csb0="0000019F" w:csb1="00000000"/>
  </w:font>
  <w:font w:name="Franklin Gothic Demi">
    <w:panose1 w:val="020B070302010202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9B63D">
    <w:pPr>
      <w:pStyle w:val="19"/>
      <w:pBdr>
        <w:top w:val="single" w:color="auto" w:sz="4" w:space="1"/>
      </w:pBdr>
      <w:tabs>
        <w:tab w:val="center" w:pos="6804"/>
        <w:tab w:val="clear" w:pos="4513"/>
      </w:tabs>
    </w:pPr>
    <w:r>
      <mc:AlternateContent>
        <mc:Choice Requires="wps">
          <w:drawing>
            <wp:anchor distT="0" distB="0" distL="0" distR="0" simplePos="0" relativeHeight="251661312" behindDoc="0" locked="0" layoutInCell="1" allowOverlap="1">
              <wp:simplePos x="0" y="0"/>
              <wp:positionH relativeFrom="page">
                <wp:align>left</wp:align>
              </wp:positionH>
              <wp:positionV relativeFrom="page">
                <wp:align>bottom</wp:align>
              </wp:positionV>
              <wp:extent cx="845185" cy="374650"/>
              <wp:effectExtent l="0" t="0" r="12065" b="0"/>
              <wp:wrapNone/>
              <wp:docPr id="935077210" name="Text Box 3" descr="[OFFICIAL]"/>
              <wp:cNvGraphicFramePr/>
              <a:graphic xmlns:a="http://schemas.openxmlformats.org/drawingml/2006/main">
                <a:graphicData uri="http://schemas.microsoft.com/office/word/2010/wordprocessingShape">
                  <wps:wsp>
                    <wps:cNvSpPr txBox="1"/>
                    <wps:spPr>
                      <a:xfrm>
                        <a:off x="0" y="0"/>
                        <a:ext cx="845185" cy="374650"/>
                      </a:xfrm>
                      <a:prstGeom prst="rect">
                        <a:avLst/>
                      </a:prstGeom>
                      <a:noFill/>
                      <a:ln>
                        <a:noFill/>
                      </a:ln>
                    </wps:spPr>
                    <wps:txbx>
                      <w:txbxContent>
                        <w:p w14:paraId="556F4818">
                          <w:pPr>
                            <w:spacing w:after="0"/>
                            <w:rPr>
                              <w:rFonts w:ascii="Calibri" w:hAnsi="Calibri" w:eastAsia="Calibri" w:cs="Calibri"/>
                              <w:color w:val="008000"/>
                              <w:sz w:val="22"/>
                              <w:szCs w:val="22"/>
                            </w:rPr>
                          </w:pPr>
                          <w:r>
                            <w:rPr>
                              <w:rFonts w:ascii="Calibri" w:hAnsi="Calibri" w:eastAsia="Calibri" w:cs="Calibri"/>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Text Box 3" o:spid="_x0000_s1026" o:spt="202" alt="[OFFICIAL]" type="#_x0000_t202" style="position:absolute;left:0pt;height:29.5pt;width:66.55pt;mso-position-horizontal:left;mso-position-horizontal-relative:page;mso-position-vertical:bottom;mso-position-vertical-relative:page;mso-wrap-style:none;z-index:251661312;v-text-anchor:bottom;mso-width-relative:page;mso-height-relative:page;" filled="f" stroked="f" coordsize="21600,21600" o:gfxdata="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CnIpn7TAAAABAEAAA8AAAAAAAAAAQAgAAAAIgAAAGRycy9kb3du&#10;cmV2LnhtbFBLAQIUABQAAAAIAIdO4kDRyddnPQIAAG4EAAAOAAAAAAAAAAEAIAAAACIBAABkcnMv&#10;ZTJvRG9jLnhtbFBLBQYAAAAABgAGAFkBAADRBQAAAAA=&#10;">
              <v:fill on="f" focussize="0,0"/>
              <v:stroke on="f"/>
              <v:imagedata o:title=""/>
              <o:lock v:ext="edit" aspectratio="f"/>
              <v:textbox inset="20pt,0mm,0mm,15pt" style="mso-fit-shape-to-text:t;">
                <w:txbxContent>
                  <w:p w14:paraId="556F4818">
                    <w:pPr>
                      <w:spacing w:after="0"/>
                      <w:rPr>
                        <w:rFonts w:ascii="Calibri" w:hAnsi="Calibri" w:eastAsia="Calibri" w:cs="Calibri"/>
                        <w:color w:val="008000"/>
                        <w:sz w:val="22"/>
                        <w:szCs w:val="22"/>
                      </w:rPr>
                    </w:pPr>
                    <w:r>
                      <w:rPr>
                        <w:rFonts w:ascii="Calibri" w:hAnsi="Calibri" w:eastAsia="Calibri" w:cs="Calibri"/>
                        <w:color w:val="008000"/>
                        <w:sz w:val="22"/>
                        <w:szCs w:val="22"/>
                      </w:rPr>
                      <w:t>[OFFICIAL]</w:t>
                    </w:r>
                  </w:p>
                </w:txbxContent>
              </v:textbox>
            </v:shape>
          </w:pict>
        </mc:Fallback>
      </mc:AlternateContent>
    </w:r>
    <w:r>
      <w:t>Murdoch University</w:t>
    </w:r>
    <w:r>
      <w:tab/>
    </w:r>
    <w:r>
      <w:tab/>
    </w:r>
    <w:r>
      <w:t xml:space="preserve">Page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22AA6">
    <w:pPr>
      <w:pStyle w:val="19"/>
    </w:pPr>
    <w: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bottom</wp:align>
              </wp:positionV>
              <wp:extent cx="845185" cy="374650"/>
              <wp:effectExtent l="0" t="0" r="12065" b="0"/>
              <wp:wrapNone/>
              <wp:docPr id="250690544" name="Text Box 2" descr="[OFFICIAL]"/>
              <wp:cNvGraphicFramePr/>
              <a:graphic xmlns:a="http://schemas.openxmlformats.org/drawingml/2006/main">
                <a:graphicData uri="http://schemas.microsoft.com/office/word/2010/wordprocessingShape">
                  <wps:wsp>
                    <wps:cNvSpPr txBox="1"/>
                    <wps:spPr>
                      <a:xfrm>
                        <a:off x="0" y="0"/>
                        <a:ext cx="845185" cy="374650"/>
                      </a:xfrm>
                      <a:prstGeom prst="rect">
                        <a:avLst/>
                      </a:prstGeom>
                      <a:noFill/>
                      <a:ln>
                        <a:noFill/>
                      </a:ln>
                    </wps:spPr>
                    <wps:txbx>
                      <w:txbxContent>
                        <w:p w14:paraId="1123AB49">
                          <w:pPr>
                            <w:spacing w:after="0"/>
                            <w:rPr>
                              <w:rFonts w:ascii="Calibri" w:hAnsi="Calibri" w:eastAsia="Calibri" w:cs="Calibri"/>
                              <w:color w:val="008000"/>
                              <w:sz w:val="22"/>
                              <w:szCs w:val="22"/>
                            </w:rPr>
                          </w:pPr>
                          <w:r>
                            <w:rPr>
                              <w:rFonts w:ascii="Calibri" w:hAnsi="Calibri" w:eastAsia="Calibri" w:cs="Calibri"/>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Text Box 2" o:spid="_x0000_s1026" o:spt="202" alt="[OFFICIAL]" type="#_x0000_t202" style="position:absolute;left:0pt;height:29.5pt;width:66.55pt;mso-position-horizontal:left;mso-position-horizontal-relative:page;mso-position-vertical:bottom;mso-position-vertical-relative:page;mso-wrap-style:none;z-index:251660288;v-text-anchor:bottom;mso-width-relative:page;mso-height-relative:page;" filled="f" stroked="f" coordsize="21600,21600" o:gfxdata="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pyKZ+0wAAAAQBAAAPAAAAAAAAAAEAIAAAACIAAABkcnMvZG93bnJl&#10;di54bWxQSwECFAAUAAAACACHTuJAG+iXxDsCAABuBAAADgAAAAAAAAABACAAAAAiAQAAZHJzL2Uy&#10;b0RvYy54bWxQSwUGAAAAAAYABgBZAQAAzwUAAAAA&#10;">
              <v:fill on="f" focussize="0,0"/>
              <v:stroke on="f"/>
              <v:imagedata o:title=""/>
              <o:lock v:ext="edit" aspectratio="f"/>
              <v:textbox inset="20pt,0mm,0mm,15pt" style="mso-fit-shape-to-text:t;">
                <w:txbxContent>
                  <w:p w14:paraId="1123AB49">
                    <w:pPr>
                      <w:spacing w:after="0"/>
                      <w:rPr>
                        <w:rFonts w:ascii="Calibri" w:hAnsi="Calibri" w:eastAsia="Calibri" w:cs="Calibri"/>
                        <w:color w:val="008000"/>
                        <w:sz w:val="22"/>
                        <w:szCs w:val="22"/>
                      </w:rPr>
                    </w:pPr>
                    <w:r>
                      <w:rPr>
                        <w:rFonts w:ascii="Calibri" w:hAnsi="Calibri" w:eastAsia="Calibri" w:cs="Calibri"/>
                        <w:color w:val="008000"/>
                        <w:sz w:val="22"/>
                        <w:szCs w:val="22"/>
                      </w:rPr>
                      <w:t>[OFFICIAL]</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fixed"/>
      <w:tblCellMar>
        <w:top w:w="0" w:type="dxa"/>
        <w:left w:w="108" w:type="dxa"/>
        <w:bottom w:w="0" w:type="dxa"/>
        <w:right w:w="108" w:type="dxa"/>
      </w:tblCellMar>
    </w:tblPr>
    <w:tblGrid>
      <w:gridCol w:w="3005"/>
      <w:gridCol w:w="3005"/>
      <w:gridCol w:w="3005"/>
    </w:tblGrid>
    <w:tr w14:paraId="412C5497">
      <w:tblPrEx>
        <w:tblCellMar>
          <w:top w:w="0" w:type="dxa"/>
          <w:left w:w="108" w:type="dxa"/>
          <w:bottom w:w="0" w:type="dxa"/>
          <w:right w:w="108" w:type="dxa"/>
        </w:tblCellMar>
      </w:tblPrEx>
      <w:trPr>
        <w:trHeight w:val="300" w:hRule="atLeast"/>
      </w:trPr>
      <w:tc>
        <w:tcPr>
          <w:tcW w:w="3005" w:type="dxa"/>
        </w:tcPr>
        <w:p w14:paraId="5A5E52A1">
          <w:pPr>
            <w:pStyle w:val="22"/>
            <w:ind w:left="-115"/>
          </w:pPr>
        </w:p>
      </w:tc>
      <w:tc>
        <w:tcPr>
          <w:tcW w:w="3005" w:type="dxa"/>
        </w:tcPr>
        <w:p w14:paraId="2CE770E8">
          <w:pPr>
            <w:pStyle w:val="22"/>
            <w:jc w:val="center"/>
          </w:pPr>
        </w:p>
      </w:tc>
      <w:tc>
        <w:tcPr>
          <w:tcW w:w="3005" w:type="dxa"/>
        </w:tcPr>
        <w:p w14:paraId="14DDCA3A">
          <w:pPr>
            <w:pStyle w:val="22"/>
            <w:ind w:right="-115"/>
            <w:jc w:val="right"/>
          </w:pPr>
        </w:p>
      </w:tc>
    </w:tr>
  </w:tbl>
  <w:p w14:paraId="2DB2C5B8">
    <w:pPr>
      <w:pStyle w:val="19"/>
      <w:pBdr>
        <w:top w:val="single" w:color="auto" w:sz="4" w:space="1"/>
      </w:pBdr>
      <w:tabs>
        <w:tab w:val="center" w:pos="6804"/>
        <w:tab w:val="clear" w:pos="4513"/>
      </w:tabs>
    </w:pPr>
    <w:r>
      <w:t>Murdoch University</w:t>
    </w:r>
    <w:r>
      <w:tab/>
    </w:r>
    <w:r>
      <w:tab/>
    </w:r>
    <w:r>
      <w:t xml:space="preserve">Page </w:t>
    </w:r>
    <w:r>
      <w:fldChar w:fldCharType="begin"/>
    </w:r>
    <w:r>
      <w:instrText xml:space="preserve"> PAGE   \* MERGEFORMAT </w:instrText>
    </w:r>
    <w:r>
      <w:fldChar w:fldCharType="separate"/>
    </w:r>
    <w:r>
      <w:t>5</w:t>
    </w:r>
    <w:r>
      <w:fldChar w:fldCharType="end"/>
    </w:r>
  </w:p>
  <w:p w14:paraId="5289057D">
    <w:pPr>
      <w:pStyle w:val="19"/>
    </w:pPr>
    <w:r>
      <mc:AlternateContent>
        <mc:Choice Requires="wps">
          <w:drawing>
            <wp:anchor distT="0" distB="0" distL="0" distR="0" simplePos="0" relativeHeight="251659264" behindDoc="0" locked="0" layoutInCell="1" allowOverlap="1">
              <wp:simplePos x="0" y="0"/>
              <wp:positionH relativeFrom="margin">
                <wp:align>left</wp:align>
              </wp:positionH>
              <wp:positionV relativeFrom="bottomMargin">
                <wp:posOffset>3692525</wp:posOffset>
              </wp:positionV>
              <wp:extent cx="845185" cy="374650"/>
              <wp:effectExtent l="0" t="0" r="12065" b="0"/>
              <wp:wrapNone/>
              <wp:docPr id="1852477744" name="Text Box 1" descr="[OFFICIAL]"/>
              <wp:cNvGraphicFramePr/>
              <a:graphic xmlns:a="http://schemas.openxmlformats.org/drawingml/2006/main">
                <a:graphicData uri="http://schemas.microsoft.com/office/word/2010/wordprocessingShape">
                  <wps:wsp>
                    <wps:cNvSpPr txBox="1"/>
                    <wps:spPr>
                      <a:xfrm>
                        <a:off x="0" y="0"/>
                        <a:ext cx="845185" cy="374650"/>
                      </a:xfrm>
                      <a:prstGeom prst="rect">
                        <a:avLst/>
                      </a:prstGeom>
                      <a:noFill/>
                      <a:ln>
                        <a:noFill/>
                      </a:ln>
                    </wps:spPr>
                    <wps:txbx>
                      <w:txbxContent>
                        <w:p w14:paraId="399A4978">
                          <w:pPr>
                            <w:spacing w:after="0"/>
                            <w:rPr>
                              <w:rFonts w:ascii="Calibri" w:hAnsi="Calibri" w:eastAsia="Calibri" w:cs="Calibri"/>
                              <w:color w:val="008000"/>
                              <w:sz w:val="22"/>
                              <w:szCs w:val="22"/>
                            </w:rPr>
                          </w:pPr>
                          <w:r>
                            <w:rPr>
                              <w:rFonts w:ascii="Calibri" w:hAnsi="Calibri" w:eastAsia="Calibri" w:cs="Calibri"/>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Text Box 1" o:spid="_x0000_s1026" o:spt="202" alt="[OFFICIAL]" type="#_x0000_t202" style="position:absolute;left:0pt;margin-left:36pt;margin-top:806.55pt;height:29.5pt;width:66.55pt;mso-position-horizontal-relative:page;mso-position-vertical-relative:page;mso-wrap-style:none;z-index:251659264;v-text-anchor:bottom;mso-width-relative:page;mso-height-relative:page;" filled="f" stroked="f" coordsize="21600,21600" o:gfxdata="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WN5YW1gAAAAgBAAAPAAAAAAAAAAEAIAAAACIAAABkcnMvZG93&#10;bnJldi54bWxQSwECFAAUAAAACACHTuJA64DMETsCAABvBAAADgAAAAAAAAABACAAAAAlAQAAZHJz&#10;L2Uyb0RvYy54bWxQSwUGAAAAAAYABgBZAQAA0gUAAAAA&#10;">
              <v:fill on="f" focussize="0,0"/>
              <v:stroke on="f"/>
              <v:imagedata o:title=""/>
              <o:lock v:ext="edit" aspectratio="f"/>
              <v:textbox inset="20pt,0mm,0mm,15pt" style="mso-fit-shape-to-text:t;">
                <w:txbxContent>
                  <w:p w14:paraId="399A4978">
                    <w:pPr>
                      <w:spacing w:after="0"/>
                      <w:rPr>
                        <w:rFonts w:ascii="Calibri" w:hAnsi="Calibri" w:eastAsia="Calibri" w:cs="Calibri"/>
                        <w:color w:val="008000"/>
                        <w:sz w:val="22"/>
                        <w:szCs w:val="22"/>
                      </w:rPr>
                    </w:pPr>
                    <w:r>
                      <w:rPr>
                        <w:rFonts w:ascii="Calibri" w:hAnsi="Calibri" w:eastAsia="Calibri" w:cs="Calibri"/>
                        <w:color w:val="008000"/>
                        <w:sz w:val="22"/>
                        <w:szCs w:val="22"/>
                      </w:rPr>
                      <w:t>[OFFICIAL]</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E1A27">
    <w:pPr>
      <w:pStyle w:val="22"/>
      <w:pBdr>
        <w:bottom w:val="single" w:color="auto" w:sz="4" w:space="1"/>
      </w:pBdr>
      <w:tabs>
        <w:tab w:val="right" w:pos="8931"/>
        <w:tab w:val="clear" w:pos="9026"/>
      </w:tabs>
      <w:rPr>
        <w:rFonts w:ascii="Arial" w:hAnsi="Arial" w:cs="Arial"/>
      </w:rPr>
    </w:pPr>
    <w:r>
      <w:rPr>
        <w:rFonts w:ascii="Arial" w:hAnsi="Arial" w:cs="Arial"/>
        <w:sz w:val="20"/>
        <w:szCs w:val="20"/>
      </w:rPr>
      <w:t>ICT508:  Assignment 1 - Project Charter</w:t>
    </w:r>
    <w:r>
      <w:rPr>
        <w:rFonts w:ascii="Arial" w:hAnsi="Arial" w:cs="Arial"/>
      </w:rPr>
      <w:tab/>
    </w:r>
    <w:r>
      <w:rPr>
        <w:rFonts w:ascii="Arial" w:hAnsi="Arial" w:cs="Arial"/>
      </w:rPr>
      <w:tab/>
    </w:r>
  </w:p>
  <w:p w14:paraId="6129DB27">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EA81D">
    <w:pPr>
      <w:pStyle w:val="22"/>
      <w:pBdr>
        <w:bottom w:val="single" w:color="auto" w:sz="4" w:space="1"/>
      </w:pBdr>
      <w:tabs>
        <w:tab w:val="right" w:pos="8931"/>
        <w:tab w:val="clear" w:pos="9026"/>
      </w:tabs>
      <w:rPr>
        <w:rFonts w:ascii="Arial" w:hAnsi="Arial" w:cs="Arial"/>
      </w:rPr>
    </w:pPr>
    <w:r>
      <w:rPr>
        <w:rFonts w:ascii="Arial" w:hAnsi="Arial" w:cs="Arial"/>
        <w:sz w:val="20"/>
        <w:szCs w:val="20"/>
      </w:rPr>
      <w:t>ICT508:  Assignment 1 - Project Charter</w:t>
    </w:r>
    <w:r>
      <w:rPr>
        <w:rFonts w:ascii="Arial" w:hAnsi="Arial" w:cs="Arial"/>
      </w:rPr>
      <w:tab/>
    </w:r>
    <w:r>
      <w:rPr>
        <w:rFonts w:ascii="Arial" w:hAnsi="Arial" w:cs="Arial"/>
      </w:rPr>
      <w:tab/>
    </w:r>
  </w:p>
  <w:p w14:paraId="35F9FA87">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1">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2">
    <w:nsid w:val="3D4F5258"/>
    <w:multiLevelType w:val="multilevel"/>
    <w:tmpl w:val="3D4F5258"/>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3F542D41"/>
    <w:multiLevelType w:val="multilevel"/>
    <w:tmpl w:val="3F542D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pStyle w:val="25"/>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zYBkhbm5gYmZqbGFko6SsGpxcWZ+XkgBSaGtQBiZMuALQAAAA=="/>
    <w:docVar w:name="EN.InstantFormat" w:val="&lt;ENInstantFormat&gt;&lt;Enabled&gt;1&lt;/Enabled&gt;&lt;ScanUnformatted&gt;1&lt;/ScanUnformatted&gt;&lt;ScanChanges&gt;1&lt;/ScanChanges&gt;&lt;Suspended&gt;1&lt;/Suspended&gt;&lt;/ENInstantFormat&gt;"/>
    <w:docVar w:name="EN.Layout" w:val="&lt;ENLayout&gt;&lt;Style&gt;APA_Edi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sszxs5rd99v4e52dcp0e2te5xrxawewze0&quot;&gt;Thesis-Saved2&lt;record-ids&gt;&lt;item&gt;3137&lt;/item&gt;&lt;/record-ids&gt;&lt;/item&gt;&lt;/Libraries&gt;"/>
  </w:docVars>
  <w:rsids>
    <w:rsidRoot w:val="00510D4E"/>
    <w:rsid w:val="00002990"/>
    <w:rsid w:val="00003447"/>
    <w:rsid w:val="00012A5B"/>
    <w:rsid w:val="0001365C"/>
    <w:rsid w:val="00014C8E"/>
    <w:rsid w:val="000165D3"/>
    <w:rsid w:val="00017E43"/>
    <w:rsid w:val="00017EFC"/>
    <w:rsid w:val="0002299A"/>
    <w:rsid w:val="00027F8D"/>
    <w:rsid w:val="00037CFC"/>
    <w:rsid w:val="0004167A"/>
    <w:rsid w:val="00042651"/>
    <w:rsid w:val="00044D60"/>
    <w:rsid w:val="000459BA"/>
    <w:rsid w:val="00047AD8"/>
    <w:rsid w:val="000517BD"/>
    <w:rsid w:val="0005199C"/>
    <w:rsid w:val="000555CF"/>
    <w:rsid w:val="000657A4"/>
    <w:rsid w:val="00066AB4"/>
    <w:rsid w:val="00073470"/>
    <w:rsid w:val="00074827"/>
    <w:rsid w:val="0007601D"/>
    <w:rsid w:val="0008675D"/>
    <w:rsid w:val="0008786A"/>
    <w:rsid w:val="00087C4C"/>
    <w:rsid w:val="00091C3D"/>
    <w:rsid w:val="00094525"/>
    <w:rsid w:val="00095C6D"/>
    <w:rsid w:val="000A2AF7"/>
    <w:rsid w:val="000A64C8"/>
    <w:rsid w:val="000B6704"/>
    <w:rsid w:val="000B6B18"/>
    <w:rsid w:val="000C348C"/>
    <w:rsid w:val="000C3788"/>
    <w:rsid w:val="000D403A"/>
    <w:rsid w:val="000D58F6"/>
    <w:rsid w:val="000E5CC6"/>
    <w:rsid w:val="000E7C4F"/>
    <w:rsid w:val="000F30C5"/>
    <w:rsid w:val="000F5759"/>
    <w:rsid w:val="00104BAE"/>
    <w:rsid w:val="0011150C"/>
    <w:rsid w:val="00115227"/>
    <w:rsid w:val="001206C7"/>
    <w:rsid w:val="00132202"/>
    <w:rsid w:val="001327F6"/>
    <w:rsid w:val="0013345E"/>
    <w:rsid w:val="001413DB"/>
    <w:rsid w:val="001527C2"/>
    <w:rsid w:val="00154F8C"/>
    <w:rsid w:val="00155595"/>
    <w:rsid w:val="00155AC7"/>
    <w:rsid w:val="00156C91"/>
    <w:rsid w:val="00164396"/>
    <w:rsid w:val="00164FBF"/>
    <w:rsid w:val="00167BA8"/>
    <w:rsid w:val="00170469"/>
    <w:rsid w:val="0017280A"/>
    <w:rsid w:val="00172863"/>
    <w:rsid w:val="00174D58"/>
    <w:rsid w:val="001753B0"/>
    <w:rsid w:val="00176EA3"/>
    <w:rsid w:val="001805A8"/>
    <w:rsid w:val="0018242F"/>
    <w:rsid w:val="0018495C"/>
    <w:rsid w:val="00184C58"/>
    <w:rsid w:val="00185963"/>
    <w:rsid w:val="00190187"/>
    <w:rsid w:val="00192567"/>
    <w:rsid w:val="00193FF4"/>
    <w:rsid w:val="00194899"/>
    <w:rsid w:val="001A084C"/>
    <w:rsid w:val="001A4C6A"/>
    <w:rsid w:val="001A76A9"/>
    <w:rsid w:val="001B0099"/>
    <w:rsid w:val="001B04E0"/>
    <w:rsid w:val="001B1601"/>
    <w:rsid w:val="001C68E8"/>
    <w:rsid w:val="001D0D82"/>
    <w:rsid w:val="001D2217"/>
    <w:rsid w:val="001D6C5A"/>
    <w:rsid w:val="001D7D7B"/>
    <w:rsid w:val="001E3472"/>
    <w:rsid w:val="001E3936"/>
    <w:rsid w:val="001E7743"/>
    <w:rsid w:val="001E7F5C"/>
    <w:rsid w:val="001F225E"/>
    <w:rsid w:val="001F262D"/>
    <w:rsid w:val="002000FC"/>
    <w:rsid w:val="00200B5E"/>
    <w:rsid w:val="00204225"/>
    <w:rsid w:val="00206412"/>
    <w:rsid w:val="00214AA9"/>
    <w:rsid w:val="002214CC"/>
    <w:rsid w:val="0022156F"/>
    <w:rsid w:val="00222B38"/>
    <w:rsid w:val="002274EA"/>
    <w:rsid w:val="002275E6"/>
    <w:rsid w:val="00227936"/>
    <w:rsid w:val="0023034D"/>
    <w:rsid w:val="00232692"/>
    <w:rsid w:val="002343B1"/>
    <w:rsid w:val="002354FF"/>
    <w:rsid w:val="002433D9"/>
    <w:rsid w:val="00244F0C"/>
    <w:rsid w:val="002477CD"/>
    <w:rsid w:val="00250CBA"/>
    <w:rsid w:val="00252B16"/>
    <w:rsid w:val="00255585"/>
    <w:rsid w:val="00257EF8"/>
    <w:rsid w:val="0026549F"/>
    <w:rsid w:val="00266631"/>
    <w:rsid w:val="00267FF2"/>
    <w:rsid w:val="00275795"/>
    <w:rsid w:val="00282B97"/>
    <w:rsid w:val="002876DA"/>
    <w:rsid w:val="002876F3"/>
    <w:rsid w:val="002921FF"/>
    <w:rsid w:val="0029331C"/>
    <w:rsid w:val="0029484D"/>
    <w:rsid w:val="00294F6E"/>
    <w:rsid w:val="002950AE"/>
    <w:rsid w:val="0029618B"/>
    <w:rsid w:val="00296A3F"/>
    <w:rsid w:val="00296E93"/>
    <w:rsid w:val="0029777E"/>
    <w:rsid w:val="00297FE5"/>
    <w:rsid w:val="002A035A"/>
    <w:rsid w:val="002B1F5E"/>
    <w:rsid w:val="002C02CC"/>
    <w:rsid w:val="002C4A89"/>
    <w:rsid w:val="002D1C97"/>
    <w:rsid w:val="002D2FA1"/>
    <w:rsid w:val="002D65D5"/>
    <w:rsid w:val="002D6668"/>
    <w:rsid w:val="002E170A"/>
    <w:rsid w:val="002E5D20"/>
    <w:rsid w:val="002E6602"/>
    <w:rsid w:val="002F4268"/>
    <w:rsid w:val="002F49C4"/>
    <w:rsid w:val="00300E2E"/>
    <w:rsid w:val="00302461"/>
    <w:rsid w:val="00302CFB"/>
    <w:rsid w:val="00305161"/>
    <w:rsid w:val="003104E9"/>
    <w:rsid w:val="003167D2"/>
    <w:rsid w:val="00317B32"/>
    <w:rsid w:val="003232AB"/>
    <w:rsid w:val="003247EB"/>
    <w:rsid w:val="00332E27"/>
    <w:rsid w:val="003343D5"/>
    <w:rsid w:val="00334520"/>
    <w:rsid w:val="003365B7"/>
    <w:rsid w:val="0035230B"/>
    <w:rsid w:val="00354953"/>
    <w:rsid w:val="00355CED"/>
    <w:rsid w:val="0035788B"/>
    <w:rsid w:val="003700F4"/>
    <w:rsid w:val="00370E94"/>
    <w:rsid w:val="003710E0"/>
    <w:rsid w:val="003727FF"/>
    <w:rsid w:val="0037309A"/>
    <w:rsid w:val="003764EE"/>
    <w:rsid w:val="0038122A"/>
    <w:rsid w:val="00384F33"/>
    <w:rsid w:val="00390991"/>
    <w:rsid w:val="00392379"/>
    <w:rsid w:val="00397C7D"/>
    <w:rsid w:val="003A141E"/>
    <w:rsid w:val="003A17A2"/>
    <w:rsid w:val="003A1C21"/>
    <w:rsid w:val="003A1FE1"/>
    <w:rsid w:val="003A215A"/>
    <w:rsid w:val="003B7178"/>
    <w:rsid w:val="003C111B"/>
    <w:rsid w:val="003C5D2A"/>
    <w:rsid w:val="003D00E7"/>
    <w:rsid w:val="003D1497"/>
    <w:rsid w:val="003D4AF5"/>
    <w:rsid w:val="003D52D9"/>
    <w:rsid w:val="003D6BCA"/>
    <w:rsid w:val="003E1B43"/>
    <w:rsid w:val="003E22D0"/>
    <w:rsid w:val="003F611A"/>
    <w:rsid w:val="00400CB7"/>
    <w:rsid w:val="004023BD"/>
    <w:rsid w:val="00407C66"/>
    <w:rsid w:val="00410C0F"/>
    <w:rsid w:val="00411B3F"/>
    <w:rsid w:val="00415251"/>
    <w:rsid w:val="00417E09"/>
    <w:rsid w:val="00417F78"/>
    <w:rsid w:val="00424E3A"/>
    <w:rsid w:val="0043273E"/>
    <w:rsid w:val="00433B9A"/>
    <w:rsid w:val="0044215D"/>
    <w:rsid w:val="004510AC"/>
    <w:rsid w:val="004571C6"/>
    <w:rsid w:val="00460C57"/>
    <w:rsid w:val="004624B5"/>
    <w:rsid w:val="00463A5E"/>
    <w:rsid w:val="004660F5"/>
    <w:rsid w:val="00467C78"/>
    <w:rsid w:val="00472111"/>
    <w:rsid w:val="00473201"/>
    <w:rsid w:val="00475C9D"/>
    <w:rsid w:val="00480689"/>
    <w:rsid w:val="004813ED"/>
    <w:rsid w:val="0048170F"/>
    <w:rsid w:val="004862BC"/>
    <w:rsid w:val="00487100"/>
    <w:rsid w:val="004930CC"/>
    <w:rsid w:val="00497DB0"/>
    <w:rsid w:val="004A0605"/>
    <w:rsid w:val="004A2730"/>
    <w:rsid w:val="004A3162"/>
    <w:rsid w:val="004A6CDD"/>
    <w:rsid w:val="004A7C45"/>
    <w:rsid w:val="004B1440"/>
    <w:rsid w:val="004C00EA"/>
    <w:rsid w:val="004C0982"/>
    <w:rsid w:val="004C37AD"/>
    <w:rsid w:val="004C4CDE"/>
    <w:rsid w:val="004C6009"/>
    <w:rsid w:val="004D06FE"/>
    <w:rsid w:val="004D12C9"/>
    <w:rsid w:val="004D2D0A"/>
    <w:rsid w:val="004D4574"/>
    <w:rsid w:val="004D51AE"/>
    <w:rsid w:val="004E569E"/>
    <w:rsid w:val="004E5766"/>
    <w:rsid w:val="00503B16"/>
    <w:rsid w:val="005056A1"/>
    <w:rsid w:val="00510D4E"/>
    <w:rsid w:val="0051257C"/>
    <w:rsid w:val="00513E4E"/>
    <w:rsid w:val="00517B01"/>
    <w:rsid w:val="00520AEA"/>
    <w:rsid w:val="00521441"/>
    <w:rsid w:val="00522F09"/>
    <w:rsid w:val="00522F3B"/>
    <w:rsid w:val="00524CAF"/>
    <w:rsid w:val="00525B17"/>
    <w:rsid w:val="00525DCC"/>
    <w:rsid w:val="00533313"/>
    <w:rsid w:val="0053392B"/>
    <w:rsid w:val="00533DD5"/>
    <w:rsid w:val="00534C98"/>
    <w:rsid w:val="00536E9C"/>
    <w:rsid w:val="00544F42"/>
    <w:rsid w:val="00545903"/>
    <w:rsid w:val="00551EF6"/>
    <w:rsid w:val="00551FF4"/>
    <w:rsid w:val="00553966"/>
    <w:rsid w:val="00554D31"/>
    <w:rsid w:val="00554E55"/>
    <w:rsid w:val="00557988"/>
    <w:rsid w:val="005614A5"/>
    <w:rsid w:val="00561795"/>
    <w:rsid w:val="005643AF"/>
    <w:rsid w:val="00573D6C"/>
    <w:rsid w:val="0057532A"/>
    <w:rsid w:val="0057663B"/>
    <w:rsid w:val="00577DD0"/>
    <w:rsid w:val="005819A3"/>
    <w:rsid w:val="0058512B"/>
    <w:rsid w:val="00586168"/>
    <w:rsid w:val="00586AC8"/>
    <w:rsid w:val="00586F04"/>
    <w:rsid w:val="0059089B"/>
    <w:rsid w:val="00590E8F"/>
    <w:rsid w:val="005943CB"/>
    <w:rsid w:val="00595040"/>
    <w:rsid w:val="00595F6D"/>
    <w:rsid w:val="005A0323"/>
    <w:rsid w:val="005A03A8"/>
    <w:rsid w:val="005A16A7"/>
    <w:rsid w:val="005A1AA9"/>
    <w:rsid w:val="005A5D57"/>
    <w:rsid w:val="005B0962"/>
    <w:rsid w:val="005B2738"/>
    <w:rsid w:val="005B46BB"/>
    <w:rsid w:val="005B587B"/>
    <w:rsid w:val="005B5FA0"/>
    <w:rsid w:val="005C11A1"/>
    <w:rsid w:val="005C2010"/>
    <w:rsid w:val="005C2C26"/>
    <w:rsid w:val="005C3F15"/>
    <w:rsid w:val="005C4A9D"/>
    <w:rsid w:val="005D2DF7"/>
    <w:rsid w:val="005E0189"/>
    <w:rsid w:val="005E0659"/>
    <w:rsid w:val="005F4EDC"/>
    <w:rsid w:val="005F58FF"/>
    <w:rsid w:val="005F5C91"/>
    <w:rsid w:val="005F6022"/>
    <w:rsid w:val="00601CA7"/>
    <w:rsid w:val="00607226"/>
    <w:rsid w:val="00616B38"/>
    <w:rsid w:val="00621EB3"/>
    <w:rsid w:val="006232B2"/>
    <w:rsid w:val="00626583"/>
    <w:rsid w:val="006310C3"/>
    <w:rsid w:val="0063215B"/>
    <w:rsid w:val="00634EDE"/>
    <w:rsid w:val="006354B9"/>
    <w:rsid w:val="0064005D"/>
    <w:rsid w:val="006414C9"/>
    <w:rsid w:val="00643422"/>
    <w:rsid w:val="00646B63"/>
    <w:rsid w:val="00647C5B"/>
    <w:rsid w:val="006530D2"/>
    <w:rsid w:val="006551D4"/>
    <w:rsid w:val="0065738D"/>
    <w:rsid w:val="00660B3E"/>
    <w:rsid w:val="00661F6D"/>
    <w:rsid w:val="006648E3"/>
    <w:rsid w:val="00666D03"/>
    <w:rsid w:val="0067303D"/>
    <w:rsid w:val="00676498"/>
    <w:rsid w:val="00677BC2"/>
    <w:rsid w:val="00685C50"/>
    <w:rsid w:val="00685D76"/>
    <w:rsid w:val="0068636B"/>
    <w:rsid w:val="00693C88"/>
    <w:rsid w:val="00693D8E"/>
    <w:rsid w:val="006A3CDC"/>
    <w:rsid w:val="006A56C6"/>
    <w:rsid w:val="006A574C"/>
    <w:rsid w:val="006A740B"/>
    <w:rsid w:val="006B25DC"/>
    <w:rsid w:val="006B4F4F"/>
    <w:rsid w:val="006B62BC"/>
    <w:rsid w:val="006C0E9B"/>
    <w:rsid w:val="006C3485"/>
    <w:rsid w:val="006D1B80"/>
    <w:rsid w:val="006D7928"/>
    <w:rsid w:val="006E1A7E"/>
    <w:rsid w:val="006F4F21"/>
    <w:rsid w:val="006F598C"/>
    <w:rsid w:val="006F6F17"/>
    <w:rsid w:val="006F73B2"/>
    <w:rsid w:val="00701011"/>
    <w:rsid w:val="007015A4"/>
    <w:rsid w:val="00702EA2"/>
    <w:rsid w:val="00706C65"/>
    <w:rsid w:val="007139E5"/>
    <w:rsid w:val="007141A9"/>
    <w:rsid w:val="007207B6"/>
    <w:rsid w:val="00720A3A"/>
    <w:rsid w:val="00727313"/>
    <w:rsid w:val="00736220"/>
    <w:rsid w:val="00752CFB"/>
    <w:rsid w:val="00754113"/>
    <w:rsid w:val="00754E92"/>
    <w:rsid w:val="00757B62"/>
    <w:rsid w:val="00760223"/>
    <w:rsid w:val="00767105"/>
    <w:rsid w:val="007672AD"/>
    <w:rsid w:val="007715A4"/>
    <w:rsid w:val="00772D0A"/>
    <w:rsid w:val="00776148"/>
    <w:rsid w:val="00776FBC"/>
    <w:rsid w:val="007809B1"/>
    <w:rsid w:val="00782050"/>
    <w:rsid w:val="007859D7"/>
    <w:rsid w:val="00793DE0"/>
    <w:rsid w:val="00796D22"/>
    <w:rsid w:val="00797108"/>
    <w:rsid w:val="00797CDD"/>
    <w:rsid w:val="007A0926"/>
    <w:rsid w:val="007A15F7"/>
    <w:rsid w:val="007A5045"/>
    <w:rsid w:val="007B1D18"/>
    <w:rsid w:val="007B4E36"/>
    <w:rsid w:val="007C0526"/>
    <w:rsid w:val="007D2794"/>
    <w:rsid w:val="007D7511"/>
    <w:rsid w:val="007D7A80"/>
    <w:rsid w:val="007E0B1F"/>
    <w:rsid w:val="007E0ED8"/>
    <w:rsid w:val="007E19FE"/>
    <w:rsid w:val="007E1C52"/>
    <w:rsid w:val="007E24F3"/>
    <w:rsid w:val="007E2E25"/>
    <w:rsid w:val="007E7DDE"/>
    <w:rsid w:val="007F6B67"/>
    <w:rsid w:val="0080506A"/>
    <w:rsid w:val="00823658"/>
    <w:rsid w:val="00830218"/>
    <w:rsid w:val="00831F35"/>
    <w:rsid w:val="00832DC7"/>
    <w:rsid w:val="0083430F"/>
    <w:rsid w:val="00834FC5"/>
    <w:rsid w:val="008359E6"/>
    <w:rsid w:val="008367F9"/>
    <w:rsid w:val="00836881"/>
    <w:rsid w:val="008377EB"/>
    <w:rsid w:val="00843A7B"/>
    <w:rsid w:val="00844493"/>
    <w:rsid w:val="00846221"/>
    <w:rsid w:val="0084684B"/>
    <w:rsid w:val="00847EA4"/>
    <w:rsid w:val="008574CD"/>
    <w:rsid w:val="0086290B"/>
    <w:rsid w:val="00864689"/>
    <w:rsid w:val="0086556B"/>
    <w:rsid w:val="00881B11"/>
    <w:rsid w:val="008827F7"/>
    <w:rsid w:val="00882E55"/>
    <w:rsid w:val="00884360"/>
    <w:rsid w:val="00885523"/>
    <w:rsid w:val="00891607"/>
    <w:rsid w:val="00892650"/>
    <w:rsid w:val="00892EB0"/>
    <w:rsid w:val="00893CFF"/>
    <w:rsid w:val="008A0E21"/>
    <w:rsid w:val="008A21BA"/>
    <w:rsid w:val="008A4CE6"/>
    <w:rsid w:val="008A70E9"/>
    <w:rsid w:val="008B2576"/>
    <w:rsid w:val="008C21E2"/>
    <w:rsid w:val="008C2DF5"/>
    <w:rsid w:val="008C3952"/>
    <w:rsid w:val="008C707E"/>
    <w:rsid w:val="008C7579"/>
    <w:rsid w:val="008D347C"/>
    <w:rsid w:val="008D7F70"/>
    <w:rsid w:val="008E0B0F"/>
    <w:rsid w:val="008E10F8"/>
    <w:rsid w:val="008E14EF"/>
    <w:rsid w:val="008E24D9"/>
    <w:rsid w:val="008E27FF"/>
    <w:rsid w:val="008E2AEA"/>
    <w:rsid w:val="008F0CA4"/>
    <w:rsid w:val="008F20AB"/>
    <w:rsid w:val="008F5DDD"/>
    <w:rsid w:val="009002AB"/>
    <w:rsid w:val="009019B6"/>
    <w:rsid w:val="00901BDD"/>
    <w:rsid w:val="009031A0"/>
    <w:rsid w:val="009130AC"/>
    <w:rsid w:val="00932FAB"/>
    <w:rsid w:val="009348AA"/>
    <w:rsid w:val="00934931"/>
    <w:rsid w:val="00937D17"/>
    <w:rsid w:val="00943390"/>
    <w:rsid w:val="009466CB"/>
    <w:rsid w:val="00953120"/>
    <w:rsid w:val="0096058D"/>
    <w:rsid w:val="0096341A"/>
    <w:rsid w:val="00964331"/>
    <w:rsid w:val="00964E15"/>
    <w:rsid w:val="00964FC0"/>
    <w:rsid w:val="00970F22"/>
    <w:rsid w:val="00972FC4"/>
    <w:rsid w:val="009744D0"/>
    <w:rsid w:val="00974E84"/>
    <w:rsid w:val="009761ED"/>
    <w:rsid w:val="0097690E"/>
    <w:rsid w:val="00980FB1"/>
    <w:rsid w:val="0099076C"/>
    <w:rsid w:val="00990C5F"/>
    <w:rsid w:val="00990EC5"/>
    <w:rsid w:val="00993180"/>
    <w:rsid w:val="009A198F"/>
    <w:rsid w:val="009A5662"/>
    <w:rsid w:val="009B1EDF"/>
    <w:rsid w:val="009B556C"/>
    <w:rsid w:val="009B675A"/>
    <w:rsid w:val="009C01C7"/>
    <w:rsid w:val="009C251E"/>
    <w:rsid w:val="009D0572"/>
    <w:rsid w:val="009D20DD"/>
    <w:rsid w:val="009E5377"/>
    <w:rsid w:val="009E55DB"/>
    <w:rsid w:val="009E689D"/>
    <w:rsid w:val="009F102B"/>
    <w:rsid w:val="009F227C"/>
    <w:rsid w:val="009F28C2"/>
    <w:rsid w:val="009F36EC"/>
    <w:rsid w:val="00A01636"/>
    <w:rsid w:val="00A04EB1"/>
    <w:rsid w:val="00A06001"/>
    <w:rsid w:val="00A06A85"/>
    <w:rsid w:val="00A10430"/>
    <w:rsid w:val="00A12356"/>
    <w:rsid w:val="00A1293B"/>
    <w:rsid w:val="00A15A1E"/>
    <w:rsid w:val="00A16F29"/>
    <w:rsid w:val="00A23C9B"/>
    <w:rsid w:val="00A27CFA"/>
    <w:rsid w:val="00A30B93"/>
    <w:rsid w:val="00A3129D"/>
    <w:rsid w:val="00A34CD1"/>
    <w:rsid w:val="00A35C73"/>
    <w:rsid w:val="00A47C5B"/>
    <w:rsid w:val="00A56262"/>
    <w:rsid w:val="00A70ABF"/>
    <w:rsid w:val="00A70E04"/>
    <w:rsid w:val="00A72091"/>
    <w:rsid w:val="00A77140"/>
    <w:rsid w:val="00A77B8D"/>
    <w:rsid w:val="00A77D39"/>
    <w:rsid w:val="00A823ED"/>
    <w:rsid w:val="00A8449D"/>
    <w:rsid w:val="00A84EEE"/>
    <w:rsid w:val="00A85D59"/>
    <w:rsid w:val="00A95E97"/>
    <w:rsid w:val="00A970F5"/>
    <w:rsid w:val="00AA030F"/>
    <w:rsid w:val="00AA5807"/>
    <w:rsid w:val="00AA7A2B"/>
    <w:rsid w:val="00AA7A4B"/>
    <w:rsid w:val="00AB6F0E"/>
    <w:rsid w:val="00AC07F3"/>
    <w:rsid w:val="00AC29B1"/>
    <w:rsid w:val="00AC2F7C"/>
    <w:rsid w:val="00AC3730"/>
    <w:rsid w:val="00AC5A4E"/>
    <w:rsid w:val="00AE49CB"/>
    <w:rsid w:val="00AF4BA3"/>
    <w:rsid w:val="00AF539C"/>
    <w:rsid w:val="00AF5654"/>
    <w:rsid w:val="00B01F33"/>
    <w:rsid w:val="00B05064"/>
    <w:rsid w:val="00B07177"/>
    <w:rsid w:val="00B13334"/>
    <w:rsid w:val="00B1712E"/>
    <w:rsid w:val="00B207B9"/>
    <w:rsid w:val="00B2658A"/>
    <w:rsid w:val="00B26D35"/>
    <w:rsid w:val="00B309E6"/>
    <w:rsid w:val="00B34C26"/>
    <w:rsid w:val="00B40756"/>
    <w:rsid w:val="00B41104"/>
    <w:rsid w:val="00B412D8"/>
    <w:rsid w:val="00B415E6"/>
    <w:rsid w:val="00B501A7"/>
    <w:rsid w:val="00B51B7A"/>
    <w:rsid w:val="00B521FF"/>
    <w:rsid w:val="00B55B94"/>
    <w:rsid w:val="00B61044"/>
    <w:rsid w:val="00B646B0"/>
    <w:rsid w:val="00B647C9"/>
    <w:rsid w:val="00B71A8B"/>
    <w:rsid w:val="00B771D2"/>
    <w:rsid w:val="00B81362"/>
    <w:rsid w:val="00B82E20"/>
    <w:rsid w:val="00B91F99"/>
    <w:rsid w:val="00B95287"/>
    <w:rsid w:val="00BA0BFB"/>
    <w:rsid w:val="00BA14DC"/>
    <w:rsid w:val="00BA505B"/>
    <w:rsid w:val="00BA5189"/>
    <w:rsid w:val="00BC2221"/>
    <w:rsid w:val="00BC4CF0"/>
    <w:rsid w:val="00BC5789"/>
    <w:rsid w:val="00BD286C"/>
    <w:rsid w:val="00BD59CE"/>
    <w:rsid w:val="00BE495A"/>
    <w:rsid w:val="00BE54D1"/>
    <w:rsid w:val="00BE7F34"/>
    <w:rsid w:val="00C02FCA"/>
    <w:rsid w:val="00C03F4D"/>
    <w:rsid w:val="00C04D9B"/>
    <w:rsid w:val="00C064BD"/>
    <w:rsid w:val="00C07EC9"/>
    <w:rsid w:val="00C17D20"/>
    <w:rsid w:val="00C2329C"/>
    <w:rsid w:val="00C2665F"/>
    <w:rsid w:val="00C3146F"/>
    <w:rsid w:val="00C3171B"/>
    <w:rsid w:val="00C32BB0"/>
    <w:rsid w:val="00C3591E"/>
    <w:rsid w:val="00C4170D"/>
    <w:rsid w:val="00C50749"/>
    <w:rsid w:val="00C52E7D"/>
    <w:rsid w:val="00C5439F"/>
    <w:rsid w:val="00C63474"/>
    <w:rsid w:val="00C64B74"/>
    <w:rsid w:val="00C64DB5"/>
    <w:rsid w:val="00C67B60"/>
    <w:rsid w:val="00C70C69"/>
    <w:rsid w:val="00C71C98"/>
    <w:rsid w:val="00C72D54"/>
    <w:rsid w:val="00C73B0B"/>
    <w:rsid w:val="00C772AF"/>
    <w:rsid w:val="00C80C45"/>
    <w:rsid w:val="00C87131"/>
    <w:rsid w:val="00C91781"/>
    <w:rsid w:val="00C91D98"/>
    <w:rsid w:val="00C9362A"/>
    <w:rsid w:val="00C95499"/>
    <w:rsid w:val="00C96914"/>
    <w:rsid w:val="00C97B6C"/>
    <w:rsid w:val="00CA134D"/>
    <w:rsid w:val="00CA2182"/>
    <w:rsid w:val="00CA2252"/>
    <w:rsid w:val="00CA43DA"/>
    <w:rsid w:val="00CA4E42"/>
    <w:rsid w:val="00CA753C"/>
    <w:rsid w:val="00CB06C0"/>
    <w:rsid w:val="00CC1ABD"/>
    <w:rsid w:val="00CC1C46"/>
    <w:rsid w:val="00CC1DED"/>
    <w:rsid w:val="00CC2707"/>
    <w:rsid w:val="00CC46FF"/>
    <w:rsid w:val="00CC52AF"/>
    <w:rsid w:val="00CC71FA"/>
    <w:rsid w:val="00CD42F0"/>
    <w:rsid w:val="00CD4300"/>
    <w:rsid w:val="00CD5F57"/>
    <w:rsid w:val="00CE140B"/>
    <w:rsid w:val="00CE367B"/>
    <w:rsid w:val="00CE6234"/>
    <w:rsid w:val="00CF1412"/>
    <w:rsid w:val="00D04728"/>
    <w:rsid w:val="00D11784"/>
    <w:rsid w:val="00D162ED"/>
    <w:rsid w:val="00D20EA3"/>
    <w:rsid w:val="00D2663A"/>
    <w:rsid w:val="00D26AB3"/>
    <w:rsid w:val="00D272F8"/>
    <w:rsid w:val="00D31473"/>
    <w:rsid w:val="00D31B6B"/>
    <w:rsid w:val="00D3330B"/>
    <w:rsid w:val="00D35010"/>
    <w:rsid w:val="00D3594D"/>
    <w:rsid w:val="00D37471"/>
    <w:rsid w:val="00D37677"/>
    <w:rsid w:val="00D40DA8"/>
    <w:rsid w:val="00D42921"/>
    <w:rsid w:val="00D451D0"/>
    <w:rsid w:val="00D500F8"/>
    <w:rsid w:val="00D52098"/>
    <w:rsid w:val="00D53125"/>
    <w:rsid w:val="00D54AFC"/>
    <w:rsid w:val="00D55EAE"/>
    <w:rsid w:val="00D55EF5"/>
    <w:rsid w:val="00D62D58"/>
    <w:rsid w:val="00D66161"/>
    <w:rsid w:val="00D66237"/>
    <w:rsid w:val="00D713B6"/>
    <w:rsid w:val="00D76140"/>
    <w:rsid w:val="00D77AED"/>
    <w:rsid w:val="00D83D2F"/>
    <w:rsid w:val="00D86C19"/>
    <w:rsid w:val="00D91D28"/>
    <w:rsid w:val="00D923B3"/>
    <w:rsid w:val="00DA6259"/>
    <w:rsid w:val="00DB3CDF"/>
    <w:rsid w:val="00DB3F63"/>
    <w:rsid w:val="00DB6DA4"/>
    <w:rsid w:val="00DB7922"/>
    <w:rsid w:val="00DD3571"/>
    <w:rsid w:val="00DE4F80"/>
    <w:rsid w:val="00DE74FA"/>
    <w:rsid w:val="00DF2D90"/>
    <w:rsid w:val="00DF4E36"/>
    <w:rsid w:val="00DF5E00"/>
    <w:rsid w:val="00DF5E42"/>
    <w:rsid w:val="00DF7ECF"/>
    <w:rsid w:val="00E05EBF"/>
    <w:rsid w:val="00E06EA2"/>
    <w:rsid w:val="00E1225A"/>
    <w:rsid w:val="00E159DC"/>
    <w:rsid w:val="00E16ABF"/>
    <w:rsid w:val="00E21C47"/>
    <w:rsid w:val="00E22A24"/>
    <w:rsid w:val="00E2690B"/>
    <w:rsid w:val="00E354D9"/>
    <w:rsid w:val="00E36875"/>
    <w:rsid w:val="00E4053C"/>
    <w:rsid w:val="00E40715"/>
    <w:rsid w:val="00E447DB"/>
    <w:rsid w:val="00E455F3"/>
    <w:rsid w:val="00E5345D"/>
    <w:rsid w:val="00E534FE"/>
    <w:rsid w:val="00E546B0"/>
    <w:rsid w:val="00E61C0B"/>
    <w:rsid w:val="00E62292"/>
    <w:rsid w:val="00E633DA"/>
    <w:rsid w:val="00E72216"/>
    <w:rsid w:val="00E72FDC"/>
    <w:rsid w:val="00E76E0D"/>
    <w:rsid w:val="00E77BE6"/>
    <w:rsid w:val="00E90B7A"/>
    <w:rsid w:val="00E92628"/>
    <w:rsid w:val="00E93F74"/>
    <w:rsid w:val="00E96E0C"/>
    <w:rsid w:val="00EA543B"/>
    <w:rsid w:val="00EA7852"/>
    <w:rsid w:val="00EB0096"/>
    <w:rsid w:val="00EB08D1"/>
    <w:rsid w:val="00EB45D3"/>
    <w:rsid w:val="00ED5E79"/>
    <w:rsid w:val="00ED6CD3"/>
    <w:rsid w:val="00EE021D"/>
    <w:rsid w:val="00EE2FEF"/>
    <w:rsid w:val="00EE3411"/>
    <w:rsid w:val="00EE6DB3"/>
    <w:rsid w:val="00EF248D"/>
    <w:rsid w:val="00EF2BAA"/>
    <w:rsid w:val="00EF4BB0"/>
    <w:rsid w:val="00EF5842"/>
    <w:rsid w:val="00F005CB"/>
    <w:rsid w:val="00F03D21"/>
    <w:rsid w:val="00F07022"/>
    <w:rsid w:val="00F20FBD"/>
    <w:rsid w:val="00F24570"/>
    <w:rsid w:val="00F2685E"/>
    <w:rsid w:val="00F26BB2"/>
    <w:rsid w:val="00F3381B"/>
    <w:rsid w:val="00F430A9"/>
    <w:rsid w:val="00F50ACC"/>
    <w:rsid w:val="00F54555"/>
    <w:rsid w:val="00F5762F"/>
    <w:rsid w:val="00F60E36"/>
    <w:rsid w:val="00F6367C"/>
    <w:rsid w:val="00F63E60"/>
    <w:rsid w:val="00F66A27"/>
    <w:rsid w:val="00F73763"/>
    <w:rsid w:val="00F75795"/>
    <w:rsid w:val="00F75D56"/>
    <w:rsid w:val="00F7661A"/>
    <w:rsid w:val="00F812FD"/>
    <w:rsid w:val="00F81C19"/>
    <w:rsid w:val="00F925F3"/>
    <w:rsid w:val="00FA71E3"/>
    <w:rsid w:val="00FB0FC5"/>
    <w:rsid w:val="00FB6C89"/>
    <w:rsid w:val="00FC0702"/>
    <w:rsid w:val="00FC6D66"/>
    <w:rsid w:val="00FD43C0"/>
    <w:rsid w:val="00FE1D8C"/>
    <w:rsid w:val="00FE4308"/>
    <w:rsid w:val="00FE645D"/>
    <w:rsid w:val="00FF2850"/>
    <w:rsid w:val="01407A8B"/>
    <w:rsid w:val="07CA6A21"/>
    <w:rsid w:val="0CAA041E"/>
    <w:rsid w:val="0CD41406"/>
    <w:rsid w:val="35E9E64E"/>
    <w:rsid w:val="38CD7870"/>
    <w:rsid w:val="3A437972"/>
    <w:rsid w:val="3B473747"/>
    <w:rsid w:val="3D147E19"/>
    <w:rsid w:val="484A55B4"/>
    <w:rsid w:val="51EC51F8"/>
    <w:rsid w:val="57E1103B"/>
    <w:rsid w:val="5C691AFD"/>
    <w:rsid w:val="79A6746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21" w:semiHidden="0" w:name="Normal"/>
    <w:lsdException w:qFormat="1" w:unhideWhenUsed="0" w:uiPriority="0" w:semiHidden="0" w:name="heading 1"/>
    <w:lsdException w:qFormat="1" w:unhideWhenUsed="0" w:uiPriority="1" w:semiHidden="0" w:name="heading 2"/>
    <w:lsdException w:qFormat="1" w:unhideWhenUsed="0" w:uiPriority="2"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5" w:semiHidden="0" w:name="List Bullet"/>
    <w:lsdException w:qFormat="1" w:unhideWhenUsed="0" w:uiPriority="8" w:semiHidden="0" w:name="List Number"/>
    <w:lsdException w:uiPriority="99" w:name="List 2"/>
    <w:lsdException w:uiPriority="99" w:name="List 3"/>
    <w:lsdException w:uiPriority="99" w:name="List 4"/>
    <w:lsdException w:uiPriority="99" w:name="List 5"/>
    <w:lsdException w:qFormat="1" w:unhideWhenUsed="0" w:uiPriority="6" w:semiHidden="0" w:name="List Bullet 2"/>
    <w:lsdException w:unhideWhenUsed="0" w:uiPriority="7" w:semiHidden="0" w:name="List Bullet 3"/>
    <w:lsdException w:uiPriority="99" w:name="List Bullet 4"/>
    <w:lsdException w:uiPriority="99" w:name="List Bullet 5"/>
    <w:lsdException w:qFormat="1" w:unhideWhenUsed="0" w:uiPriority="9" w:semiHidden="0" w:name="List Number 2"/>
    <w:lsdException w:qFormat="1" w:unhideWhenUsed="0" w:uiPriority="1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21"/>
    <w:pPr>
      <w:spacing w:after="160" w:line="259" w:lineRule="auto"/>
    </w:pPr>
    <w:rPr>
      <w:rFonts w:ascii="Times New Roman" w:hAnsi="Times New Roman" w:cs="Times New Roman" w:eastAsiaTheme="minorHAnsi"/>
      <w:sz w:val="24"/>
      <w:szCs w:val="24"/>
      <w:lang w:val="en-AU" w:eastAsia="en-US" w:bidi="ar-SA"/>
    </w:rPr>
  </w:style>
  <w:style w:type="paragraph" w:styleId="2">
    <w:name w:val="heading 1"/>
    <w:basedOn w:val="1"/>
    <w:next w:val="3"/>
    <w:link w:val="44"/>
    <w:qFormat/>
    <w:uiPriority w:val="0"/>
    <w:pPr>
      <w:keepNext/>
      <w:keepLines/>
      <w:numPr>
        <w:ilvl w:val="0"/>
        <w:numId w:val="1"/>
      </w:numPr>
      <w:spacing w:before="240" w:after="240"/>
      <w:ind w:left="851" w:hanging="851"/>
      <w:outlineLvl w:val="0"/>
    </w:pPr>
    <w:rPr>
      <w:rFonts w:ascii="Arial" w:hAnsi="Arial" w:cs="Arial" w:eastAsiaTheme="majorEastAsia"/>
      <w:b/>
      <w:sz w:val="28"/>
      <w:szCs w:val="28"/>
    </w:rPr>
  </w:style>
  <w:style w:type="paragraph" w:styleId="4">
    <w:name w:val="heading 2"/>
    <w:basedOn w:val="1"/>
    <w:next w:val="3"/>
    <w:link w:val="47"/>
    <w:qFormat/>
    <w:uiPriority w:val="1"/>
    <w:pPr>
      <w:keepNext/>
      <w:keepLines/>
      <w:numPr>
        <w:ilvl w:val="1"/>
        <w:numId w:val="1"/>
      </w:numPr>
      <w:spacing w:before="240" w:after="0"/>
      <w:ind w:left="851" w:hanging="851"/>
      <w:outlineLvl w:val="1"/>
    </w:pPr>
    <w:rPr>
      <w:rFonts w:ascii="Arial" w:hAnsi="Arial" w:cs="Arial" w:eastAsiaTheme="majorEastAsia"/>
      <w:b/>
      <w:sz w:val="26"/>
      <w:szCs w:val="26"/>
      <w:lang w:val="en-GB"/>
    </w:rPr>
  </w:style>
  <w:style w:type="paragraph" w:styleId="5">
    <w:name w:val="heading 3"/>
    <w:basedOn w:val="1"/>
    <w:next w:val="1"/>
    <w:link w:val="48"/>
    <w:qFormat/>
    <w:uiPriority w:val="2"/>
    <w:pPr>
      <w:numPr>
        <w:ilvl w:val="2"/>
        <w:numId w:val="1"/>
      </w:numPr>
      <w:outlineLvl w:val="2"/>
    </w:pPr>
    <w:rPr>
      <w:rFonts w:ascii="Arial" w:hAnsi="Arial" w:cs="Arial"/>
      <w:i/>
    </w:rPr>
  </w:style>
  <w:style w:type="paragraph" w:styleId="6">
    <w:name w:val="heading 4"/>
    <w:basedOn w:val="1"/>
    <w:next w:val="1"/>
    <w:link w:val="50"/>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paragraph" w:styleId="7">
    <w:name w:val="heading 5"/>
    <w:basedOn w:val="1"/>
    <w:next w:val="1"/>
    <w:link w:val="51"/>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8">
    <w:name w:val="heading 6"/>
    <w:basedOn w:val="1"/>
    <w:next w:val="1"/>
    <w:link w:val="52"/>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9">
    <w:name w:val="heading 7"/>
    <w:basedOn w:val="1"/>
    <w:next w:val="1"/>
    <w:link w:val="53"/>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10">
    <w:name w:val="heading 8"/>
    <w:basedOn w:val="1"/>
    <w:next w:val="1"/>
    <w:link w:val="54"/>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55"/>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Paragraph"/>
    <w:basedOn w:val="1"/>
    <w:qFormat/>
    <w:uiPriority w:val="4"/>
    <w:pPr>
      <w:spacing w:before="240" w:after="120" w:line="240" w:lineRule="auto"/>
      <w:jc w:val="both"/>
    </w:pPr>
  </w:style>
  <w:style w:type="paragraph" w:styleId="14">
    <w:name w:val="Balloon Text"/>
    <w:basedOn w:val="1"/>
    <w:link w:val="43"/>
    <w:semiHidden/>
    <w:unhideWhenUsed/>
    <w:qFormat/>
    <w:uiPriority w:val="99"/>
    <w:pPr>
      <w:spacing w:after="0" w:line="240" w:lineRule="auto"/>
    </w:pPr>
    <w:rPr>
      <w:rFonts w:ascii="Segoe UI" w:hAnsi="Segoe UI" w:cs="Segoe UI"/>
      <w:sz w:val="18"/>
      <w:szCs w:val="18"/>
    </w:rPr>
  </w:style>
  <w:style w:type="paragraph" w:styleId="15">
    <w:name w:val="caption"/>
    <w:basedOn w:val="1"/>
    <w:next w:val="1"/>
    <w:unhideWhenUsed/>
    <w:qFormat/>
    <w:uiPriority w:val="35"/>
    <w:pPr>
      <w:spacing w:after="120" w:line="240" w:lineRule="auto"/>
    </w:pPr>
    <w:rPr>
      <w:iCs/>
      <w:color w:val="2F5597" w:themeColor="accent1" w:themeShade="BF"/>
      <w:szCs w:val="18"/>
    </w:rPr>
  </w:style>
  <w:style w:type="character" w:styleId="16">
    <w:name w:val="annotation reference"/>
    <w:basedOn w:val="12"/>
    <w:semiHidden/>
    <w:unhideWhenUsed/>
    <w:qFormat/>
    <w:uiPriority w:val="99"/>
    <w:rPr>
      <w:sz w:val="16"/>
      <w:szCs w:val="16"/>
    </w:rPr>
  </w:style>
  <w:style w:type="paragraph" w:styleId="17">
    <w:name w:val="annotation text"/>
    <w:basedOn w:val="1"/>
    <w:link w:val="57"/>
    <w:semiHidden/>
    <w:unhideWhenUsed/>
    <w:qFormat/>
    <w:uiPriority w:val="99"/>
    <w:pPr>
      <w:spacing w:line="240" w:lineRule="auto"/>
    </w:pPr>
    <w:rPr>
      <w:sz w:val="20"/>
      <w:szCs w:val="20"/>
    </w:rPr>
  </w:style>
  <w:style w:type="paragraph" w:styleId="18">
    <w:name w:val="annotation subject"/>
    <w:basedOn w:val="17"/>
    <w:next w:val="17"/>
    <w:link w:val="58"/>
    <w:semiHidden/>
    <w:unhideWhenUsed/>
    <w:qFormat/>
    <w:uiPriority w:val="99"/>
    <w:rPr>
      <w:b/>
      <w:bCs/>
    </w:rPr>
  </w:style>
  <w:style w:type="paragraph" w:styleId="19">
    <w:name w:val="footer"/>
    <w:basedOn w:val="1"/>
    <w:link w:val="41"/>
    <w:unhideWhenUsed/>
    <w:qFormat/>
    <w:uiPriority w:val="99"/>
    <w:pPr>
      <w:tabs>
        <w:tab w:val="center" w:pos="4513"/>
        <w:tab w:val="right" w:pos="9026"/>
      </w:tabs>
      <w:spacing w:after="0" w:line="240" w:lineRule="auto"/>
    </w:pPr>
  </w:style>
  <w:style w:type="character" w:styleId="20">
    <w:name w:val="footnote reference"/>
    <w:basedOn w:val="12"/>
    <w:semiHidden/>
    <w:unhideWhenUsed/>
    <w:qFormat/>
    <w:uiPriority w:val="99"/>
    <w:rPr>
      <w:vertAlign w:val="superscript"/>
    </w:rPr>
  </w:style>
  <w:style w:type="paragraph" w:styleId="21">
    <w:name w:val="footnote text"/>
    <w:basedOn w:val="1"/>
    <w:link w:val="56"/>
    <w:semiHidden/>
    <w:unhideWhenUsed/>
    <w:qFormat/>
    <w:uiPriority w:val="99"/>
    <w:pPr>
      <w:spacing w:after="0" w:line="240" w:lineRule="auto"/>
    </w:pPr>
    <w:rPr>
      <w:sz w:val="20"/>
      <w:szCs w:val="20"/>
    </w:rPr>
  </w:style>
  <w:style w:type="paragraph" w:styleId="22">
    <w:name w:val="header"/>
    <w:basedOn w:val="1"/>
    <w:link w:val="40"/>
    <w:unhideWhenUsed/>
    <w:qFormat/>
    <w:uiPriority w:val="99"/>
    <w:pPr>
      <w:tabs>
        <w:tab w:val="center" w:pos="4513"/>
        <w:tab w:val="right" w:pos="9026"/>
      </w:tabs>
      <w:spacing w:after="0" w:line="240" w:lineRule="auto"/>
    </w:pPr>
  </w:style>
  <w:style w:type="character" w:styleId="23">
    <w:name w:val="Hyperlink"/>
    <w:basedOn w:val="12"/>
    <w:unhideWhenUsed/>
    <w:qFormat/>
    <w:uiPriority w:val="99"/>
    <w:rPr>
      <w:color w:val="0563C1" w:themeColor="hyperlink"/>
      <w:u w:val="single"/>
      <w14:textFill>
        <w14:solidFill>
          <w14:schemeClr w14:val="hlink"/>
        </w14:solidFill>
      </w14:textFill>
    </w:rPr>
  </w:style>
  <w:style w:type="paragraph" w:styleId="24">
    <w:name w:val="List Bullet"/>
    <w:basedOn w:val="1"/>
    <w:qFormat/>
    <w:uiPriority w:val="5"/>
    <w:pPr>
      <w:numPr>
        <w:ilvl w:val="0"/>
        <w:numId w:val="2"/>
      </w:numPr>
      <w:tabs>
        <w:tab w:val="left" w:pos="567"/>
        <w:tab w:val="clear" w:pos="360"/>
      </w:tabs>
      <w:spacing w:before="120" w:after="120" w:line="240" w:lineRule="auto"/>
      <w:ind w:left="567" w:hanging="567"/>
      <w:jc w:val="both"/>
    </w:pPr>
  </w:style>
  <w:style w:type="paragraph" w:styleId="25">
    <w:name w:val="List Bullet 2"/>
    <w:basedOn w:val="26"/>
    <w:qFormat/>
    <w:uiPriority w:val="6"/>
    <w:pPr>
      <w:numPr>
        <w:ilvl w:val="2"/>
        <w:numId w:val="3"/>
      </w:numPr>
      <w:spacing w:after="0" w:line="240" w:lineRule="auto"/>
      <w:ind w:left="1166"/>
    </w:pPr>
  </w:style>
  <w:style w:type="paragraph" w:styleId="26">
    <w:name w:val="List Paragraph"/>
    <w:basedOn w:val="1"/>
    <w:link w:val="46"/>
    <w:qFormat/>
    <w:uiPriority w:val="34"/>
    <w:pPr>
      <w:ind w:left="720"/>
      <w:contextualSpacing/>
    </w:pPr>
  </w:style>
  <w:style w:type="paragraph" w:styleId="27">
    <w:name w:val="List Number"/>
    <w:basedOn w:val="1"/>
    <w:qFormat/>
    <w:uiPriority w:val="8"/>
    <w:pPr>
      <w:numPr>
        <w:ilvl w:val="0"/>
        <w:numId w:val="4"/>
      </w:numPr>
      <w:contextualSpacing/>
    </w:pPr>
  </w:style>
  <w:style w:type="paragraph" w:styleId="28">
    <w:name w:val="List Number 2"/>
    <w:basedOn w:val="1"/>
    <w:qFormat/>
    <w:uiPriority w:val="9"/>
    <w:pPr>
      <w:spacing w:after="0" w:line="240" w:lineRule="auto"/>
      <w:ind w:left="599" w:hanging="599"/>
    </w:pPr>
  </w:style>
  <w:style w:type="paragraph" w:styleId="29">
    <w:name w:val="List Number 3"/>
    <w:basedOn w:val="28"/>
    <w:qFormat/>
    <w:uiPriority w:val="10"/>
  </w:style>
  <w:style w:type="character" w:styleId="30">
    <w:name w:val="page number"/>
    <w:basedOn w:val="12"/>
    <w:qFormat/>
    <w:uiPriority w:val="99"/>
    <w:rPr>
      <w:rFonts w:ascii="Arial" w:hAnsi="Arial" w:cs="Arial"/>
      <w:sz w:val="22"/>
      <w:szCs w:val="22"/>
      <w:lang w:val="en-AU" w:eastAsia="en-US"/>
    </w:rPr>
  </w:style>
  <w:style w:type="character" w:styleId="31">
    <w:name w:val="Strong"/>
    <w:basedOn w:val="12"/>
    <w:qFormat/>
    <w:uiPriority w:val="22"/>
    <w:rPr>
      <w:b/>
      <w:bCs/>
    </w:rPr>
  </w:style>
  <w:style w:type="table" w:styleId="32">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3">
    <w:name w:val="Title"/>
    <w:basedOn w:val="1"/>
    <w:next w:val="1"/>
    <w:link w:val="49"/>
    <w:qFormat/>
    <w:uiPriority w:val="10"/>
    <w:pPr>
      <w:spacing w:after="360" w:line="240" w:lineRule="auto"/>
      <w:contextualSpacing/>
      <w:jc w:val="center"/>
    </w:pPr>
    <w:rPr>
      <w:rFonts w:ascii="Arial" w:hAnsi="Arial" w:cs="Arial" w:eastAsiaTheme="majorEastAsia"/>
      <w:b/>
      <w:spacing w:val="-10"/>
      <w:kern w:val="28"/>
      <w:sz w:val="32"/>
      <w:szCs w:val="32"/>
      <w:lang w:val="en-GB"/>
    </w:rPr>
  </w:style>
  <w:style w:type="paragraph" w:styleId="34">
    <w:name w:val="toc 1"/>
    <w:basedOn w:val="1"/>
    <w:next w:val="1"/>
    <w:autoRedefine/>
    <w:unhideWhenUsed/>
    <w:qFormat/>
    <w:uiPriority w:val="39"/>
    <w:pPr>
      <w:spacing w:after="100"/>
    </w:pPr>
  </w:style>
  <w:style w:type="paragraph" w:styleId="35">
    <w:name w:val="toc 2"/>
    <w:basedOn w:val="1"/>
    <w:next w:val="1"/>
    <w:autoRedefine/>
    <w:unhideWhenUsed/>
    <w:qFormat/>
    <w:uiPriority w:val="39"/>
    <w:pPr>
      <w:spacing w:after="100"/>
      <w:ind w:left="240"/>
    </w:pPr>
  </w:style>
  <w:style w:type="paragraph" w:customStyle="1" w:styleId="36">
    <w:name w:val="EndNote Bibliography Title"/>
    <w:basedOn w:val="1"/>
    <w:link w:val="37"/>
    <w:qFormat/>
    <w:uiPriority w:val="0"/>
    <w:pPr>
      <w:spacing w:after="0"/>
      <w:jc w:val="center"/>
    </w:pPr>
    <w:rPr>
      <w:rFonts w:ascii="Calibri" w:hAnsi="Calibri" w:cs="Calibri"/>
      <w:lang w:val="en-US"/>
    </w:rPr>
  </w:style>
  <w:style w:type="character" w:customStyle="1" w:styleId="37">
    <w:name w:val="EndNote Bibliography Title Char"/>
    <w:basedOn w:val="12"/>
    <w:link w:val="36"/>
    <w:qFormat/>
    <w:uiPriority w:val="0"/>
    <w:rPr>
      <w:rFonts w:ascii="Calibri" w:hAnsi="Calibri" w:cs="Calibri"/>
      <w:lang w:val="en-US"/>
    </w:rPr>
  </w:style>
  <w:style w:type="paragraph" w:customStyle="1" w:styleId="38">
    <w:name w:val="EndNote Bibliography"/>
    <w:basedOn w:val="1"/>
    <w:link w:val="39"/>
    <w:qFormat/>
    <w:uiPriority w:val="0"/>
    <w:pPr>
      <w:spacing w:line="240" w:lineRule="auto"/>
    </w:pPr>
    <w:rPr>
      <w:rFonts w:ascii="Calibri" w:hAnsi="Calibri" w:cs="Calibri"/>
      <w:lang w:val="en-US"/>
    </w:rPr>
  </w:style>
  <w:style w:type="character" w:customStyle="1" w:styleId="39">
    <w:name w:val="EndNote Bibliography Char"/>
    <w:basedOn w:val="12"/>
    <w:link w:val="38"/>
    <w:qFormat/>
    <w:uiPriority w:val="0"/>
    <w:rPr>
      <w:rFonts w:ascii="Calibri" w:hAnsi="Calibri" w:cs="Calibri"/>
      <w:lang w:val="en-US"/>
    </w:rPr>
  </w:style>
  <w:style w:type="character" w:customStyle="1" w:styleId="40">
    <w:name w:val="Header Char"/>
    <w:basedOn w:val="12"/>
    <w:link w:val="22"/>
    <w:qFormat/>
    <w:uiPriority w:val="99"/>
  </w:style>
  <w:style w:type="character" w:customStyle="1" w:styleId="41">
    <w:name w:val="Footer Char"/>
    <w:basedOn w:val="12"/>
    <w:link w:val="19"/>
    <w:qFormat/>
    <w:uiPriority w:val="99"/>
  </w:style>
  <w:style w:type="character" w:customStyle="1" w:styleId="42">
    <w:name w:val="Unresolved Mention"/>
    <w:basedOn w:val="12"/>
    <w:semiHidden/>
    <w:unhideWhenUsed/>
    <w:qFormat/>
    <w:uiPriority w:val="99"/>
    <w:rPr>
      <w:color w:val="605E5C"/>
      <w:shd w:val="clear" w:color="auto" w:fill="E1DFDD"/>
    </w:rPr>
  </w:style>
  <w:style w:type="character" w:customStyle="1" w:styleId="43">
    <w:name w:val="Balloon Text Char"/>
    <w:basedOn w:val="12"/>
    <w:link w:val="14"/>
    <w:semiHidden/>
    <w:qFormat/>
    <w:uiPriority w:val="99"/>
    <w:rPr>
      <w:rFonts w:ascii="Segoe UI" w:hAnsi="Segoe UI" w:cs="Segoe UI"/>
      <w:sz w:val="18"/>
      <w:szCs w:val="18"/>
    </w:rPr>
  </w:style>
  <w:style w:type="character" w:customStyle="1" w:styleId="44">
    <w:name w:val="Heading 1 Char"/>
    <w:basedOn w:val="12"/>
    <w:link w:val="2"/>
    <w:qFormat/>
    <w:uiPriority w:val="0"/>
    <w:rPr>
      <w:rFonts w:ascii="Arial" w:hAnsi="Arial" w:cs="Arial" w:eastAsiaTheme="majorEastAsia"/>
      <w:b/>
      <w:sz w:val="28"/>
      <w:szCs w:val="28"/>
    </w:rPr>
  </w:style>
  <w:style w:type="paragraph" w:customStyle="1" w:styleId="45">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AU" w:eastAsia="en-US" w:bidi="ar-SA"/>
    </w:rPr>
  </w:style>
  <w:style w:type="character" w:customStyle="1" w:styleId="46">
    <w:name w:val="List Paragraph Char"/>
    <w:link w:val="26"/>
    <w:qFormat/>
    <w:locked/>
    <w:uiPriority w:val="34"/>
  </w:style>
  <w:style w:type="character" w:customStyle="1" w:styleId="47">
    <w:name w:val="Heading 2 Char"/>
    <w:basedOn w:val="12"/>
    <w:link w:val="4"/>
    <w:qFormat/>
    <w:uiPriority w:val="1"/>
    <w:rPr>
      <w:rFonts w:ascii="Arial" w:hAnsi="Arial" w:cs="Arial" w:eastAsiaTheme="majorEastAsia"/>
      <w:b/>
      <w:sz w:val="26"/>
      <w:szCs w:val="26"/>
      <w:lang w:val="en-GB"/>
    </w:rPr>
  </w:style>
  <w:style w:type="character" w:customStyle="1" w:styleId="48">
    <w:name w:val="Heading 3 Char"/>
    <w:basedOn w:val="12"/>
    <w:link w:val="5"/>
    <w:qFormat/>
    <w:uiPriority w:val="2"/>
    <w:rPr>
      <w:rFonts w:ascii="Arial" w:hAnsi="Arial" w:cs="Arial"/>
      <w:i/>
      <w:sz w:val="24"/>
      <w:szCs w:val="24"/>
    </w:rPr>
  </w:style>
  <w:style w:type="character" w:customStyle="1" w:styleId="49">
    <w:name w:val="Title Char"/>
    <w:basedOn w:val="12"/>
    <w:link w:val="33"/>
    <w:qFormat/>
    <w:uiPriority w:val="10"/>
    <w:rPr>
      <w:rFonts w:ascii="Arial" w:hAnsi="Arial" w:cs="Arial" w:eastAsiaTheme="majorEastAsia"/>
      <w:b/>
      <w:spacing w:val="-10"/>
      <w:kern w:val="28"/>
      <w:sz w:val="32"/>
      <w:szCs w:val="32"/>
      <w:lang w:val="en-GB"/>
    </w:rPr>
  </w:style>
  <w:style w:type="character" w:customStyle="1" w:styleId="50">
    <w:name w:val="Heading 4 Char"/>
    <w:basedOn w:val="12"/>
    <w:link w:val="6"/>
    <w:semiHidden/>
    <w:qFormat/>
    <w:uiPriority w:val="9"/>
    <w:rPr>
      <w:rFonts w:asciiTheme="majorHAnsi" w:hAnsiTheme="majorHAnsi" w:eastAsiaTheme="majorEastAsia" w:cstheme="majorBidi"/>
      <w:i/>
      <w:iCs/>
      <w:color w:val="2F5597" w:themeColor="accent1" w:themeShade="BF"/>
      <w:sz w:val="24"/>
      <w:szCs w:val="24"/>
    </w:rPr>
  </w:style>
  <w:style w:type="character" w:customStyle="1" w:styleId="51">
    <w:name w:val="Heading 5 Char"/>
    <w:basedOn w:val="12"/>
    <w:link w:val="7"/>
    <w:semiHidden/>
    <w:qFormat/>
    <w:uiPriority w:val="9"/>
    <w:rPr>
      <w:rFonts w:asciiTheme="majorHAnsi" w:hAnsiTheme="majorHAnsi" w:eastAsiaTheme="majorEastAsia" w:cstheme="majorBidi"/>
      <w:color w:val="2F5597" w:themeColor="accent1" w:themeShade="BF"/>
      <w:sz w:val="24"/>
      <w:szCs w:val="24"/>
    </w:rPr>
  </w:style>
  <w:style w:type="character" w:customStyle="1" w:styleId="52">
    <w:name w:val="Heading 6 Char"/>
    <w:basedOn w:val="12"/>
    <w:link w:val="8"/>
    <w:semiHidden/>
    <w:qFormat/>
    <w:uiPriority w:val="9"/>
    <w:rPr>
      <w:rFonts w:asciiTheme="majorHAnsi" w:hAnsiTheme="majorHAnsi" w:eastAsiaTheme="majorEastAsia" w:cstheme="majorBidi"/>
      <w:color w:val="203864" w:themeColor="accent1" w:themeShade="80"/>
      <w:sz w:val="24"/>
      <w:szCs w:val="24"/>
    </w:rPr>
  </w:style>
  <w:style w:type="character" w:customStyle="1" w:styleId="53">
    <w:name w:val="Heading 7 Char"/>
    <w:basedOn w:val="12"/>
    <w:link w:val="9"/>
    <w:semiHidden/>
    <w:qFormat/>
    <w:uiPriority w:val="9"/>
    <w:rPr>
      <w:rFonts w:asciiTheme="majorHAnsi" w:hAnsiTheme="majorHAnsi" w:eastAsiaTheme="majorEastAsia" w:cstheme="majorBidi"/>
      <w:i/>
      <w:iCs/>
      <w:color w:val="203864" w:themeColor="accent1" w:themeShade="80"/>
      <w:sz w:val="24"/>
      <w:szCs w:val="24"/>
    </w:rPr>
  </w:style>
  <w:style w:type="character" w:customStyle="1" w:styleId="54">
    <w:name w:val="Heading 8 Char"/>
    <w:basedOn w:val="12"/>
    <w:link w:val="10"/>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55">
    <w:name w:val="Heading 9 Char"/>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56">
    <w:name w:val="Footnote Text Char"/>
    <w:basedOn w:val="12"/>
    <w:link w:val="21"/>
    <w:semiHidden/>
    <w:qFormat/>
    <w:uiPriority w:val="99"/>
    <w:rPr>
      <w:rFonts w:ascii="Times New Roman" w:hAnsi="Times New Roman" w:cs="Times New Roman"/>
      <w:sz w:val="20"/>
      <w:szCs w:val="20"/>
    </w:rPr>
  </w:style>
  <w:style w:type="character" w:customStyle="1" w:styleId="57">
    <w:name w:val="Comment Text Char"/>
    <w:basedOn w:val="12"/>
    <w:link w:val="17"/>
    <w:semiHidden/>
    <w:qFormat/>
    <w:uiPriority w:val="99"/>
    <w:rPr>
      <w:rFonts w:ascii="Times New Roman" w:hAnsi="Times New Roman" w:cs="Times New Roman"/>
      <w:sz w:val="20"/>
      <w:szCs w:val="20"/>
    </w:rPr>
  </w:style>
  <w:style w:type="character" w:customStyle="1" w:styleId="58">
    <w:name w:val="Comment Subject Char"/>
    <w:basedOn w:val="57"/>
    <w:link w:val="18"/>
    <w:semiHidden/>
    <w:qFormat/>
    <w:uiPriority w:val="99"/>
    <w:rPr>
      <w:rFonts w:ascii="Times New Roman" w:hAnsi="Times New Roman" w:cs="Times New Roman"/>
      <w:b/>
      <w:bCs/>
      <w:sz w:val="20"/>
      <w:szCs w:val="20"/>
    </w:rPr>
  </w:style>
  <w:style w:type="paragraph" w:styleId="59">
    <w:name w:val="No Spacing"/>
    <w:link w:val="60"/>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60">
    <w:name w:val="No Spacing Char"/>
    <w:basedOn w:val="12"/>
    <w:link w:val="59"/>
    <w:qFormat/>
    <w:uiPriority w:val="1"/>
    <w:rPr>
      <w:rFonts w:eastAsiaTheme="minorEastAsia"/>
      <w:lang w:val="en-US"/>
    </w:rPr>
  </w:style>
  <w:style w:type="paragraph" w:customStyle="1" w:styleId="61">
    <w:name w:val="TOC Heading"/>
    <w:basedOn w:val="2"/>
    <w:next w:val="1"/>
    <w:unhideWhenUsed/>
    <w:qFormat/>
    <w:uiPriority w:val="39"/>
    <w:pPr>
      <w:numPr>
        <w:numId w:val="0"/>
      </w:numPr>
      <w:spacing w:after="0"/>
      <w:outlineLvl w:val="9"/>
    </w:pPr>
    <w:rPr>
      <w:rFonts w:asciiTheme="majorHAnsi" w:hAnsiTheme="majorHAnsi" w:cstheme="majorBidi"/>
      <w:b w:val="0"/>
      <w:color w:val="2F5597" w:themeColor="accent1" w:themeShade="BF"/>
      <w:sz w:val="32"/>
      <w:szCs w:val="32"/>
      <w:lang w:val="en-US"/>
    </w:rPr>
  </w:style>
  <w:style w:type="table" w:customStyle="1" w:styleId="62">
    <w:name w:val="Grid Table 1 Light"/>
    <w:basedOn w:val="13"/>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63">
    <w:name w:val="Plain Table 1"/>
    <w:basedOn w:val="13"/>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4">
    <w:name w:val="Grid Table 1 Light Accent 1"/>
    <w:basedOn w:val="13"/>
    <w:qFormat/>
    <w:uiPriority w:val="46"/>
    <w:pPr>
      <w:spacing w:after="0" w:line="240" w:lineRule="auto"/>
    </w:pPr>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D45067-6F7B-4223-AF66-B8709FFAE8B7}">
  <ds:schemaRefs/>
</ds:datastoreItem>
</file>

<file path=docProps/app.xml><?xml version="1.0" encoding="utf-8"?>
<Properties xmlns="http://schemas.openxmlformats.org/officeDocument/2006/extended-properties" xmlns:vt="http://schemas.openxmlformats.org/officeDocument/2006/docPropsVTypes">
  <Template>Normal</Template>
  <Company>Murdoch University</Company>
  <Pages>14</Pages>
  <Words>660</Words>
  <Characters>4040</Characters>
  <Lines>421</Lines>
  <Paragraphs>143</Paragraphs>
  <TotalTime>59</TotalTime>
  <ScaleCrop>false</ScaleCrop>
  <LinksUpToDate>false</LinksUpToDate>
  <CharactersWithSpaces>4690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2023-12-08T14:23:00Z</dcterms:created>
  <dc:creator>Author</dc:creator>
  <cp:keywords>2023</cp:keywords>
  <cp:lastModifiedBy>VAASU GOYAL</cp:lastModifiedBy>
  <cp:lastPrinted>2018-06-27T01:14:00Z</cp:lastPrinted>
  <dcterms:modified xsi:type="dcterms:W3CDTF">2026-09-13T15:26:24Z</dcterms:modified>
  <dc:subject>ICT508 Assignment 1</dc:subject>
  <dc:title>Project Charter</dc:title>
  <cp:revision>315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c0a1223c-8f5b-4a9a-8a0c-bb2e684e7aa3</vt:lpwstr>
  </property>
  <property fmtid="{D5CDD505-2E9C-101B-9397-08002B2CF9AE}" pid="3" name="ClassificationContentMarkingFooterShapeIds">
    <vt:lpwstr>6e6a9130,ef13bf0,37bc255a</vt:lpwstr>
  </property>
  <property fmtid="{D5CDD505-2E9C-101B-9397-08002B2CF9AE}" pid="4" name="ClassificationContentMarkingFooterFontProps">
    <vt:lpwstr>#008000,11,Calibri</vt:lpwstr>
  </property>
  <property fmtid="{D5CDD505-2E9C-101B-9397-08002B2CF9AE}" pid="5" name="ClassificationContentMarkingFooterText">
    <vt:lpwstr>[OFFICIAL]</vt:lpwstr>
  </property>
  <property fmtid="{D5CDD505-2E9C-101B-9397-08002B2CF9AE}" pid="6" name="MSIP_Label_374f931c-4856-410e-abf2-8a4d5c5dd217_Enabled">
    <vt:lpwstr>true</vt:lpwstr>
  </property>
  <property fmtid="{D5CDD505-2E9C-101B-9397-08002B2CF9AE}" pid="7" name="MSIP_Label_374f931c-4856-410e-abf2-8a4d5c5dd217_SetDate">
    <vt:lpwstr>2025-10-14T12:04:26Z</vt:lpwstr>
  </property>
  <property fmtid="{D5CDD505-2E9C-101B-9397-08002B2CF9AE}" pid="8" name="MSIP_Label_374f931c-4856-410e-abf2-8a4d5c5dd217_Method">
    <vt:lpwstr>Standard</vt:lpwstr>
  </property>
  <property fmtid="{D5CDD505-2E9C-101B-9397-08002B2CF9AE}" pid="9" name="MSIP_Label_374f931c-4856-410e-abf2-8a4d5c5dd217_Name">
    <vt:lpwstr>Official</vt:lpwstr>
  </property>
  <property fmtid="{D5CDD505-2E9C-101B-9397-08002B2CF9AE}" pid="10" name="MSIP_Label_374f931c-4856-410e-abf2-8a4d5c5dd217_SiteId">
    <vt:lpwstr>c00d4c1b-cf7b-4e93-b7c7-10113a9bc230</vt:lpwstr>
  </property>
  <property fmtid="{D5CDD505-2E9C-101B-9397-08002B2CF9AE}" pid="11" name="MSIP_Label_374f931c-4856-410e-abf2-8a4d5c5dd217_ActionId">
    <vt:lpwstr>1219bae2-92b9-4f61-a1f6-2144b92f3e36</vt:lpwstr>
  </property>
  <property fmtid="{D5CDD505-2E9C-101B-9397-08002B2CF9AE}" pid="12" name="MSIP_Label_374f931c-4856-410e-abf2-8a4d5c5dd217_ContentBits">
    <vt:lpwstr>2</vt:lpwstr>
  </property>
  <property fmtid="{D5CDD505-2E9C-101B-9397-08002B2CF9AE}" pid="13" name="MSIP_Label_374f931c-4856-410e-abf2-8a4d5c5dd217_Tag">
    <vt:lpwstr>10, 3, 0, 1</vt:lpwstr>
  </property>
  <property fmtid="{D5CDD505-2E9C-101B-9397-08002B2CF9AE}" pid="14" name="KSOTemplateDocerSaveRecord">
    <vt:lpwstr>eyJoZGlkIjoiZjA5MWM2Y2IzOTc0MDk5YzM2NjRhMjI4MGMzMWI2ZmEiLCJ1c2VySWQiOiI1Njc1MTU0NzUzMDIifQ==</vt:lpwstr>
  </property>
  <property fmtid="{D5CDD505-2E9C-101B-9397-08002B2CF9AE}" pid="15" name="KSOProductBuildVer">
    <vt:lpwstr>1033-12.1.0.28485</vt:lpwstr>
  </property>
  <property fmtid="{D5CDD505-2E9C-101B-9397-08002B2CF9AE}" pid="16" name="ICV">
    <vt:lpwstr>86156A78FB994B5C9E02F7D1F38124D6_12</vt:lpwstr>
  </property>
</Properties>
</file>