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1DB60" w14:textId="77777777" w:rsidR="00465D01" w:rsidRPr="00465D01" w:rsidRDefault="00465D01" w:rsidP="00465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65D0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1. Research design and unit of analysis</w:t>
      </w:r>
    </w:p>
    <w:p w14:paraId="6819BBD4" w14:textId="77777777" w:rsidR="00465D01" w:rsidRPr="00465D01" w:rsidRDefault="00465D01" w:rsidP="004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Abrir la sección explicando que el estudio adopta un diseño cuantitativo, longitudinal, comparativo y exploratorio orientado a desarrollar una primera operacionalización del concepto de </w:t>
      </w:r>
      <w:proofErr w:type="spellStart"/>
      <w:r w:rsidRPr="00465D01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Ownership</w:t>
      </w:r>
      <w:proofErr w:type="spellEnd"/>
      <w:r w:rsidRPr="00465D01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</w:t>
      </w:r>
      <w:proofErr w:type="spellStart"/>
      <w:r w:rsidRPr="00465D01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Landscape</w:t>
      </w:r>
      <w:proofErr w:type="spellEnd"/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</w:t>
      </w:r>
    </w:p>
    <w:p w14:paraId="3E479892" w14:textId="77777777" w:rsidR="00465D01" w:rsidRPr="00465D01" w:rsidRDefault="00465D01" w:rsidP="004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La idea central que debe quedar clara es que el constructo no se refiere al propietario de un club individual, sino a la </w:t>
      </w:r>
      <w:r w:rsidRPr="00465D0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distribución colectiva de modelos de propiedad dentro de una liga</w:t>
      </w: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 Por ello, los datos se recopilan al nivel club-temporada, pero se agregan y analizan principalmente al nivel liga-temporada.</w:t>
      </w:r>
    </w:p>
    <w:p w14:paraId="5BB4E9BC" w14:textId="77777777" w:rsidR="00465D01" w:rsidRPr="00465D01" w:rsidRDefault="00465D01" w:rsidP="004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Conviene anticipar brevemente la función de cada herramienta:</w:t>
      </w:r>
    </w:p>
    <w:p w14:paraId="4677C330" w14:textId="77777777" w:rsidR="00465D01" w:rsidRPr="00465D01" w:rsidRDefault="00465D01" w:rsidP="00465D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La entropía de Shannon mide diversidad y equilibrio. </w:t>
      </w:r>
    </w:p>
    <w:p w14:paraId="7B87E5DF" w14:textId="77777777" w:rsidR="00465D01" w:rsidRPr="00465D01" w:rsidRDefault="00465D01" w:rsidP="00465D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El HHI mide concentración. </w:t>
      </w:r>
    </w:p>
    <w:p w14:paraId="278A8942" w14:textId="77777777" w:rsidR="00465D01" w:rsidRPr="00465D01" w:rsidRDefault="00465D01" w:rsidP="00465D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El PCA permite representar la configuración conjunta de los distintos modelos de propiedad. </w:t>
      </w:r>
    </w:p>
    <w:p w14:paraId="08C07C86" w14:textId="77777777" w:rsidR="00465D01" w:rsidRPr="00465D01" w:rsidRDefault="00465D01" w:rsidP="004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No es necesario presentar el estudio como causal ni como una validación definitiva del constructo. Su contribución principal es metodológica y descriptiva: proponer una forma reproducible de medir y comparar distintos </w:t>
      </w:r>
      <w:proofErr w:type="spellStart"/>
      <w:r w:rsidRPr="00465D01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ownership</w:t>
      </w:r>
      <w:proofErr w:type="spellEnd"/>
      <w:r w:rsidRPr="00465D01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</w:t>
      </w:r>
      <w:proofErr w:type="spellStart"/>
      <w:r w:rsidRPr="00465D01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landscapes</w:t>
      </w:r>
      <w:proofErr w:type="spellEnd"/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</w:t>
      </w:r>
    </w:p>
    <w:p w14:paraId="5B75E876" w14:textId="77777777" w:rsidR="00465D01" w:rsidRPr="00465D01" w:rsidRDefault="00465D01" w:rsidP="00465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465D01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2. </w:t>
      </w:r>
      <w:proofErr w:type="spellStart"/>
      <w:r w:rsidRPr="00465D01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Empirical</w:t>
      </w:r>
      <w:proofErr w:type="spellEnd"/>
      <w:r w:rsidRPr="00465D01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 </w:t>
      </w:r>
      <w:proofErr w:type="spellStart"/>
      <w:r w:rsidRPr="00465D01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context</w:t>
      </w:r>
      <w:proofErr w:type="spellEnd"/>
      <w:r w:rsidRPr="00465D01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 and </w:t>
      </w:r>
      <w:proofErr w:type="spellStart"/>
      <w:r w:rsidRPr="00465D01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sample</w:t>
      </w:r>
      <w:proofErr w:type="spellEnd"/>
      <w:r w:rsidRPr="00465D01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 </w:t>
      </w:r>
      <w:proofErr w:type="spellStart"/>
      <w:r w:rsidRPr="00465D01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construction</w:t>
      </w:r>
      <w:proofErr w:type="spellEnd"/>
    </w:p>
    <w:p w14:paraId="5563D128" w14:textId="77777777" w:rsidR="00465D01" w:rsidRPr="00465D01" w:rsidRDefault="00465D01" w:rsidP="004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Explicar la selección de Bundesliga, </w:t>
      </w:r>
      <w:proofErr w:type="spellStart"/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LaLiga</w:t>
      </w:r>
      <w:proofErr w:type="spellEnd"/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, Ligue 1, Premier League y Serie A, destacando que combinan relevancia económica e institucional con una variación considerable en sus estructuras de propiedad.</w:t>
      </w:r>
    </w:p>
    <w:p w14:paraId="715BC0A6" w14:textId="77777777" w:rsidR="00465D01" w:rsidRPr="00465D01" w:rsidRDefault="00465D01" w:rsidP="004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Debe justificarse también el periodo 2019–2024 como una ventana suficiente para observar estabilidad y transformación de las configuraciones.</w:t>
      </w:r>
    </w:p>
    <w:p w14:paraId="67FA8754" w14:textId="77777777" w:rsidR="00465D01" w:rsidRPr="00465D01" w:rsidRDefault="00465D01" w:rsidP="004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Es importante detallar cómo se construyó el panel:</w:t>
      </w:r>
    </w:p>
    <w:p w14:paraId="1126986E" w14:textId="77777777" w:rsidR="00465D01" w:rsidRPr="00465D01" w:rsidRDefault="00465D01" w:rsidP="00465D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Identificación de los clubes que participaron realmente en cada liga y temporada. </w:t>
      </w:r>
    </w:p>
    <w:p w14:paraId="10B2718E" w14:textId="77777777" w:rsidR="00465D01" w:rsidRPr="00465D01" w:rsidRDefault="00465D01" w:rsidP="00465D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Incorporación de ascensos y exclusión de clubes descendidos. </w:t>
      </w:r>
    </w:p>
    <w:p w14:paraId="28BB13E7" w14:textId="77777777" w:rsidR="00465D01" w:rsidRPr="00465D01" w:rsidRDefault="00465D01" w:rsidP="00465D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Armonización de nombres e identificadores. </w:t>
      </w:r>
    </w:p>
    <w:p w14:paraId="2BF74B0D" w14:textId="77777777" w:rsidR="00465D01" w:rsidRPr="00465D01" w:rsidRDefault="00465D01" w:rsidP="00465D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Integración con la base de datos de propiedad. </w:t>
      </w:r>
    </w:p>
    <w:p w14:paraId="49070C29" w14:textId="77777777" w:rsidR="00465D01" w:rsidRPr="00465D01" w:rsidRDefault="00465D01" w:rsidP="004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La muestra final comprende </w:t>
      </w:r>
      <w:r w:rsidRPr="00465D0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176 clubes únicos, 584 observaciones club-temporada y 30 configuraciones liga-temporada</w:t>
      </w: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. </w:t>
      </w:r>
    </w:p>
    <w:p w14:paraId="2E6A63F3" w14:textId="77777777" w:rsidR="00465D01" w:rsidRPr="00465D01" w:rsidRDefault="00465D01" w:rsidP="004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Aquí conviene definir con claridad qué representa cada año y qué momento de referencia se utiliza para determinar la propiedad del club.</w:t>
      </w:r>
    </w:p>
    <w:p w14:paraId="42894010" w14:textId="77777777" w:rsidR="00465D01" w:rsidRPr="00465D01" w:rsidRDefault="00465D01" w:rsidP="00465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465D01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3. Data </w:t>
      </w:r>
      <w:proofErr w:type="spellStart"/>
      <w:r w:rsidRPr="00465D01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sources</w:t>
      </w:r>
      <w:proofErr w:type="spellEnd"/>
      <w:r w:rsidRPr="00465D01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 and </w:t>
      </w:r>
      <w:proofErr w:type="spellStart"/>
      <w:r w:rsidRPr="00465D01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ownership</w:t>
      </w:r>
      <w:proofErr w:type="spellEnd"/>
      <w:r w:rsidRPr="00465D01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 </w:t>
      </w:r>
      <w:proofErr w:type="spellStart"/>
      <w:r w:rsidRPr="00465D01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classification</w:t>
      </w:r>
      <w:proofErr w:type="spellEnd"/>
    </w:p>
    <w:p w14:paraId="266B7709" w14:textId="77777777" w:rsidR="00465D01" w:rsidRPr="00465D01" w:rsidRDefault="00465D01" w:rsidP="004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t>Describir las fuentes utilizadas para identificar el propietario último o la entidad que ejercía el control efectivo sobre cada club. Pueden incluirse documentos oficiales, registros societarios, informes corporativos, páginas oficiales de clubes y grupos propietarios, bases especializadas y prensa reputada utilizada para contrastar información.</w:t>
      </w:r>
    </w:p>
    <w:p w14:paraId="03C26A37" w14:textId="77777777" w:rsidR="00465D01" w:rsidRPr="00465D01" w:rsidRDefault="00465D01" w:rsidP="004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La clasificación emplea las siguientes categorías sustantivas:</w:t>
      </w:r>
    </w:p>
    <w:p w14:paraId="54718091" w14:textId="77777777" w:rsidR="00465D01" w:rsidRPr="00465D01" w:rsidRDefault="00465D01" w:rsidP="00465D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465D01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Member-owned</w:t>
      </w:r>
      <w:proofErr w:type="spellEnd"/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14:paraId="215E2A8C" w14:textId="77777777" w:rsidR="00465D01" w:rsidRPr="00465D01" w:rsidRDefault="00465D01" w:rsidP="00465D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465D01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Domestic</w:t>
      </w:r>
      <w:proofErr w:type="spellEnd"/>
      <w:r w:rsidRPr="00465D01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</w:t>
      </w:r>
      <w:proofErr w:type="spellStart"/>
      <w:r w:rsidRPr="00465D01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private</w:t>
      </w:r>
      <w:proofErr w:type="spellEnd"/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14:paraId="3492F79B" w14:textId="77777777" w:rsidR="00465D01" w:rsidRPr="00465D01" w:rsidRDefault="00465D01" w:rsidP="00465D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465D01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Foreign</w:t>
      </w:r>
      <w:proofErr w:type="spellEnd"/>
      <w:r w:rsidRPr="00465D01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</w:t>
      </w:r>
      <w:proofErr w:type="spellStart"/>
      <w:r w:rsidRPr="00465D01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private</w:t>
      </w:r>
      <w:proofErr w:type="spellEnd"/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14:paraId="0531B860" w14:textId="77777777" w:rsidR="00465D01" w:rsidRPr="00465D01" w:rsidRDefault="00465D01" w:rsidP="00465D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465D01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Investment</w:t>
      </w:r>
      <w:proofErr w:type="spellEnd"/>
      <w:r w:rsidRPr="00465D01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</w:t>
      </w:r>
      <w:proofErr w:type="spellStart"/>
      <w:r w:rsidRPr="00465D01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fund</w:t>
      </w:r>
      <w:proofErr w:type="spellEnd"/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14:paraId="5F7ADDCA" w14:textId="77777777" w:rsidR="00465D01" w:rsidRPr="00465D01" w:rsidRDefault="00465D01" w:rsidP="00465D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465D01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Hybrid</w:t>
      </w:r>
      <w:proofErr w:type="spellEnd"/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14:paraId="079B80F4" w14:textId="77777777" w:rsidR="00465D01" w:rsidRPr="00465D01" w:rsidRDefault="00465D01" w:rsidP="00465D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465D01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Corporate</w:t>
      </w:r>
      <w:proofErr w:type="spellEnd"/>
      <w:r w:rsidRPr="00465D01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-MCO</w:t>
      </w: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14:paraId="73AEB9B3" w14:textId="77777777" w:rsidR="00465D01" w:rsidRPr="00465D01" w:rsidRDefault="00465D01" w:rsidP="00465D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465D01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State-linked</w:t>
      </w:r>
      <w:proofErr w:type="spellEnd"/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14:paraId="1116F68D" w14:textId="77777777" w:rsidR="00465D01" w:rsidRPr="00465D01" w:rsidRDefault="00465D01" w:rsidP="004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Debe explicarse brevemente la lógica de estas categorías y cómo se resolvieron casos como consorcios, estructuras interpuestas, propiedad dispersa, cambios de control o modelos mixtos.</w:t>
      </w:r>
    </w:p>
    <w:p w14:paraId="38FD2FB4" w14:textId="77777777" w:rsidR="00465D01" w:rsidRPr="00465D01" w:rsidRDefault="00465D01" w:rsidP="004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También debería mencionarse la existencia de un libro de códigos con definiciones, criterios de inclusión y reglas para casos ambiguos. La metodología de los artículos adjuntos enfatiza precisamente la necesidad de hacer transparente el proceso de construcción y revisión de categorías, aunque el análisis final sea cuantitativo. </w:t>
      </w:r>
    </w:p>
    <w:p w14:paraId="641BD3DF" w14:textId="77777777" w:rsidR="00465D01" w:rsidRPr="00465D01" w:rsidRDefault="00465D01" w:rsidP="004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La categoría </w:t>
      </w:r>
      <w:proofErr w:type="spellStart"/>
      <w:r w:rsidRPr="00465D01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unknown</w:t>
      </w:r>
      <w:proofErr w:type="spellEnd"/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debería tratarse como información no resuelta, no como un modelo de propiedad equivalente a los demás. El coautor puede decidir la solución concreta, pero debe explicar si esos casos se excluyen, se mantienen únicamente para fines descriptivos o se someten a una comprobación de sensibilidad.</w:t>
      </w:r>
    </w:p>
    <w:p w14:paraId="1A9BF6CB" w14:textId="77777777" w:rsidR="00465D01" w:rsidRPr="00465D01" w:rsidRDefault="00465D01" w:rsidP="00465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465D01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4. </w:t>
      </w:r>
      <w:proofErr w:type="spellStart"/>
      <w:r w:rsidRPr="00465D01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Construction</w:t>
      </w:r>
      <w:proofErr w:type="spellEnd"/>
      <w:r w:rsidRPr="00465D01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 </w:t>
      </w:r>
      <w:proofErr w:type="spellStart"/>
      <w:r w:rsidRPr="00465D01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of</w:t>
      </w:r>
      <w:proofErr w:type="spellEnd"/>
      <w:r w:rsidRPr="00465D01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 </w:t>
      </w:r>
      <w:proofErr w:type="spellStart"/>
      <w:r w:rsidRPr="00465D01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the</w:t>
      </w:r>
      <w:proofErr w:type="spellEnd"/>
      <w:r w:rsidRPr="00465D01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 </w:t>
      </w:r>
      <w:proofErr w:type="spellStart"/>
      <w:r w:rsidRPr="00465D01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Ownership</w:t>
      </w:r>
      <w:proofErr w:type="spellEnd"/>
      <w:r w:rsidRPr="00465D01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 </w:t>
      </w:r>
      <w:proofErr w:type="spellStart"/>
      <w:r w:rsidRPr="00465D01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Landscape</w:t>
      </w:r>
      <w:proofErr w:type="spellEnd"/>
    </w:p>
    <w:p w14:paraId="6C5788FC" w14:textId="77777777" w:rsidR="00465D01" w:rsidRPr="00465D01" w:rsidRDefault="00465D01" w:rsidP="004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Explicar cómo se pasa de las clasificaciones individuales de los clubes a una distribución liga-temporada.</w:t>
      </w:r>
    </w:p>
    <w:p w14:paraId="752F1112" w14:textId="77777777" w:rsidR="00465D01" w:rsidRPr="00465D01" w:rsidRDefault="00465D01" w:rsidP="004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Para cada modelo de propiedad </w:t>
      </w:r>
      <w:proofErr w:type="spellStart"/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iii</w:t>
      </w:r>
      <w:proofErr w:type="spellEnd"/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, liga </w:t>
      </w:r>
      <w:proofErr w:type="spellStart"/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lll</w:t>
      </w:r>
      <w:proofErr w:type="spellEnd"/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y temporada </w:t>
      </w:r>
      <w:proofErr w:type="spellStart"/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ttt</w:t>
      </w:r>
      <w:proofErr w:type="spellEnd"/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, se calcula:</w:t>
      </w:r>
    </w:p>
    <w:p w14:paraId="29AEE48A" w14:textId="77777777" w:rsidR="00465D01" w:rsidRPr="00465D01" w:rsidRDefault="00465D01" w:rsidP="00465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gramStart"/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pi,l</w:t>
      </w:r>
      <w:proofErr w:type="gramEnd"/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,t=ni,l,tNl,tp_{i,l,t}=\frac{n_{i,l,t}}{N_{l,t}}pi,l,t​=Nl,t​ni,l,t​​ </w:t>
      </w:r>
    </w:p>
    <w:p w14:paraId="3582457F" w14:textId="77777777" w:rsidR="00465D01" w:rsidRPr="00465D01" w:rsidRDefault="00465D01" w:rsidP="004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donde </w:t>
      </w:r>
      <w:proofErr w:type="spellStart"/>
      <w:proofErr w:type="gramStart"/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ni,l</w:t>
      </w:r>
      <w:proofErr w:type="gramEnd"/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,tn</w:t>
      </w:r>
      <w:proofErr w:type="spellEnd"/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_{</w:t>
      </w:r>
      <w:proofErr w:type="spellStart"/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i,l,t</w:t>
      </w:r>
      <w:proofErr w:type="spellEnd"/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}</w:t>
      </w:r>
      <w:proofErr w:type="spellStart"/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ni,l,t</w:t>
      </w:r>
      <w:proofErr w:type="spellEnd"/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​ representa el número de clubes pertenecientes al modelo </w:t>
      </w:r>
      <w:proofErr w:type="spellStart"/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iii</w:t>
      </w:r>
      <w:proofErr w:type="spellEnd"/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, y </w:t>
      </w:r>
      <w:proofErr w:type="spellStart"/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Nl,tN</w:t>
      </w:r>
      <w:proofErr w:type="spellEnd"/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_{</w:t>
      </w:r>
      <w:proofErr w:type="spellStart"/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l,t</w:t>
      </w:r>
      <w:proofErr w:type="spellEnd"/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}</w:t>
      </w:r>
      <w:proofErr w:type="spellStart"/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Nl,t</w:t>
      </w:r>
      <w:proofErr w:type="spellEnd"/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​ el número total de clubes incluidos en esa liga y temporada.</w:t>
      </w:r>
    </w:p>
    <w:p w14:paraId="61B0D7ED" w14:textId="77777777" w:rsidR="00465D01" w:rsidRPr="00465D01" w:rsidRDefault="00465D01" w:rsidP="004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Las proporciones resultantes describen la composición de cada </w:t>
      </w:r>
      <w:proofErr w:type="spellStart"/>
      <w:r w:rsidRPr="00465D01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Ownership</w:t>
      </w:r>
      <w:proofErr w:type="spellEnd"/>
      <w:r w:rsidRPr="00465D01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</w:t>
      </w:r>
      <w:proofErr w:type="spellStart"/>
      <w:r w:rsidRPr="00465D01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Landscape</w:t>
      </w:r>
      <w:proofErr w:type="spellEnd"/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 Esta matriz constituye la base común para los tres análisis posteriores.</w:t>
      </w:r>
    </w:p>
    <w:p w14:paraId="5858812D" w14:textId="77777777" w:rsidR="00465D01" w:rsidRPr="00465D01" w:rsidRDefault="00465D01" w:rsidP="004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Aquí debe explicarse una distinción importante:</w:t>
      </w:r>
    </w:p>
    <w:p w14:paraId="566092A2" w14:textId="77777777" w:rsidR="00465D01" w:rsidRPr="00465D01" w:rsidRDefault="00465D01" w:rsidP="00465D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t xml:space="preserve">Shannon y HHI resumen la distribución en un único indicador. </w:t>
      </w:r>
    </w:p>
    <w:p w14:paraId="51E63149" w14:textId="77777777" w:rsidR="00465D01" w:rsidRPr="00465D01" w:rsidRDefault="00465D01" w:rsidP="00465D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PCA conserva información sobre qué tipos concretos de propiedad componen esa distribución. </w:t>
      </w:r>
    </w:p>
    <w:p w14:paraId="06FD8E99" w14:textId="77777777" w:rsidR="00465D01" w:rsidRPr="00465D01" w:rsidRDefault="00465D01" w:rsidP="00465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65D0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5. Shannon entropy and Herfindahl–Hirschman Index</w:t>
      </w:r>
    </w:p>
    <w:p w14:paraId="4854253A" w14:textId="77777777" w:rsidR="00465D01" w:rsidRPr="00465D01" w:rsidRDefault="00465D01" w:rsidP="004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Presentar ambos índices como medidas complementarias.</w:t>
      </w:r>
    </w:p>
    <w:p w14:paraId="5F24EAE6" w14:textId="77777777" w:rsidR="00465D01" w:rsidRPr="00465D01" w:rsidRDefault="00465D01" w:rsidP="004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La entropía de Shannon se calcula como:</w:t>
      </w:r>
    </w:p>
    <w:p w14:paraId="265468AD" w14:textId="77777777" w:rsidR="00465D01" w:rsidRPr="00465D01" w:rsidRDefault="00465D01" w:rsidP="00465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gramStart"/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Hl,t</w:t>
      </w:r>
      <w:proofErr w:type="gramEnd"/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=−∑i=1Kpi,l,tln⁡(pi,l,t)H_{l,t}=-\sum_{i=1}^{K}p_{i,l,t}\ln(p_{i,l,t})Hl,t​=−i=1∑K​pi,l,t​ln(pi,l,t​) </w:t>
      </w:r>
    </w:p>
    <w:p w14:paraId="0F4076A3" w14:textId="77777777" w:rsidR="00465D01" w:rsidRPr="00465D01" w:rsidRDefault="00465D01" w:rsidP="004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Mide simultáneamente la variedad de modelos presentes y el grado de equilibrio entre ellos. Puede utilizarse la versión original o normalizada, siempre que se justifique la elección.</w:t>
      </w:r>
    </w:p>
    <w:p w14:paraId="37141120" w14:textId="77777777" w:rsidR="00465D01" w:rsidRPr="00465D01" w:rsidRDefault="00465D01" w:rsidP="004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El índice </w:t>
      </w:r>
      <w:proofErr w:type="spellStart"/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Herfindahl</w:t>
      </w:r>
      <w:proofErr w:type="spellEnd"/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–</w:t>
      </w:r>
      <w:proofErr w:type="spellStart"/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Hirschman</w:t>
      </w:r>
      <w:proofErr w:type="spellEnd"/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se calcula como:</w:t>
      </w:r>
    </w:p>
    <w:p w14:paraId="17E1BE29" w14:textId="77777777" w:rsidR="00465D01" w:rsidRPr="00465D01" w:rsidRDefault="00465D01" w:rsidP="00465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gramStart"/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HHIl,t</w:t>
      </w:r>
      <w:proofErr w:type="gramEnd"/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=∑i=1Kpi,l,t2HHI_{l,t}=\sum_{i=1}^{K}p_{i,l,t}^{2}HHIl,t​=i=1∑K​pi,l,t2​ </w:t>
      </w:r>
    </w:p>
    <w:p w14:paraId="4A48F3F3" w14:textId="77777777" w:rsidR="00465D01" w:rsidRPr="00465D01" w:rsidRDefault="00465D01" w:rsidP="004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Mide el grado en que el </w:t>
      </w:r>
      <w:proofErr w:type="spellStart"/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landscape</w:t>
      </w:r>
      <w:proofErr w:type="spellEnd"/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está dominado por una o pocas categorías.</w:t>
      </w:r>
    </w:p>
    <w:p w14:paraId="6BC38EEF" w14:textId="77777777" w:rsidR="00465D01" w:rsidRPr="00465D01" w:rsidRDefault="00465D01" w:rsidP="004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Debe aclararse que ambos indicadores están relacionados, pero no son intercambiables:</w:t>
      </w:r>
    </w:p>
    <w:p w14:paraId="484F68F9" w14:textId="77777777" w:rsidR="00465D01" w:rsidRPr="00465D01" w:rsidRDefault="00465D01" w:rsidP="00465D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Shannon refleja principalmente diversidad y equilibrio general. </w:t>
      </w:r>
    </w:p>
    <w:p w14:paraId="297B05EE" w14:textId="77777777" w:rsidR="00465D01" w:rsidRPr="00465D01" w:rsidRDefault="00465D01" w:rsidP="00465D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HHI concede más peso a las categorías dominantes. </w:t>
      </w:r>
    </w:p>
    <w:p w14:paraId="6F9F3D65" w14:textId="77777777" w:rsidR="00465D01" w:rsidRPr="00465D01" w:rsidRDefault="00465D01" w:rsidP="004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No conviene describirlos como transformaciones matemáticas exactas ni asumir que evolucionan de forma perfectamente simétrica.</w:t>
      </w:r>
    </w:p>
    <w:p w14:paraId="4B0345E6" w14:textId="77777777" w:rsidR="00465D01" w:rsidRPr="00465D01" w:rsidRDefault="00465D01" w:rsidP="00465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465D01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6. Principal </w:t>
      </w:r>
      <w:proofErr w:type="spellStart"/>
      <w:r w:rsidRPr="00465D01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component</w:t>
      </w:r>
      <w:proofErr w:type="spellEnd"/>
      <w:r w:rsidRPr="00465D01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 </w:t>
      </w:r>
      <w:proofErr w:type="spellStart"/>
      <w:r w:rsidRPr="00465D01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analysis</w:t>
      </w:r>
      <w:proofErr w:type="spellEnd"/>
    </w:p>
    <w:p w14:paraId="579D6C48" w14:textId="77777777" w:rsidR="00465D01" w:rsidRPr="00465D01" w:rsidRDefault="00465D01" w:rsidP="004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Explicar que el PCA se emplea para reducir la dimensionalidad de la matriz de proporciones y representar las diferencias configuracionales entre las 30 observaciones liga-temporada.</w:t>
      </w:r>
    </w:p>
    <w:p w14:paraId="4D4FFD4B" w14:textId="77777777" w:rsidR="00465D01" w:rsidRPr="00465D01" w:rsidRDefault="00465D01" w:rsidP="004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Los puntos que deberían aparecer necesariamente son:</w:t>
      </w:r>
    </w:p>
    <w:p w14:paraId="10B4F8BF" w14:textId="77777777" w:rsidR="00465D01" w:rsidRPr="00465D01" w:rsidRDefault="00465D01" w:rsidP="00465D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Variables incluidas en el PCA. </w:t>
      </w:r>
    </w:p>
    <w:p w14:paraId="09B76A57" w14:textId="77777777" w:rsidR="00465D01" w:rsidRPr="00465D01" w:rsidRDefault="00465D01" w:rsidP="00465D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Tratamiento de la categoría </w:t>
      </w:r>
      <w:proofErr w:type="spellStart"/>
      <w:r w:rsidRPr="00465D01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unknown</w:t>
      </w:r>
      <w:proofErr w:type="spellEnd"/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. </w:t>
      </w:r>
    </w:p>
    <w:p w14:paraId="5C7752DC" w14:textId="77777777" w:rsidR="00465D01" w:rsidRPr="00465D01" w:rsidRDefault="00465D01" w:rsidP="00465D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Estandarización o transformación previa. </w:t>
      </w:r>
    </w:p>
    <w:p w14:paraId="68B2B828" w14:textId="77777777" w:rsidR="00465D01" w:rsidRPr="00465D01" w:rsidRDefault="00465D01" w:rsidP="00465D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Criterio para seleccionar el número de componentes. </w:t>
      </w:r>
    </w:p>
    <w:p w14:paraId="2B4FC880" w14:textId="77777777" w:rsidR="00465D01" w:rsidRPr="00465D01" w:rsidRDefault="00465D01" w:rsidP="00465D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Interpretación de las cargas. </w:t>
      </w:r>
    </w:p>
    <w:p w14:paraId="2ECB948B" w14:textId="77777777" w:rsidR="00465D01" w:rsidRPr="00465D01" w:rsidRDefault="00465D01" w:rsidP="00465D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Representación de las puntuaciones de cada liga-temporada. </w:t>
      </w:r>
    </w:p>
    <w:p w14:paraId="530E5B42" w14:textId="77777777" w:rsidR="00465D01" w:rsidRPr="00465D01" w:rsidRDefault="00465D01" w:rsidP="00465D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Conexión temporal de las observaciones para visualizar trayectorias. </w:t>
      </w:r>
    </w:p>
    <w:p w14:paraId="68CFC6BF" w14:textId="77777777" w:rsidR="00465D01" w:rsidRPr="00465D01" w:rsidRDefault="00465D01" w:rsidP="004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t xml:space="preserve">Dado que las proporciones suman 1, debe reconocerse su naturaleza composicional. Lo ideal sería aplicar una transformación adecuada, como la </w:t>
      </w:r>
      <w:proofErr w:type="spellStart"/>
      <w:r w:rsidRPr="00465D01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centered</w:t>
      </w:r>
      <w:proofErr w:type="spellEnd"/>
      <w:r w:rsidRPr="00465D01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log-ratio</w:t>
      </w: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, o al menos incluir una comprobación que compare el PCA convencional con una versión composicional.</w:t>
      </w:r>
    </w:p>
    <w:p w14:paraId="06086A14" w14:textId="77777777" w:rsidR="00465D01" w:rsidRPr="00465D01" w:rsidRDefault="00465D01" w:rsidP="004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Shannon y HHI no deberían introducirse como variables adicionales dentro del PCA, ya que se calculan a partir de las mismas proporciones y duplicarían información.</w:t>
      </w:r>
    </w:p>
    <w:p w14:paraId="0BDA28D5" w14:textId="77777777" w:rsidR="00465D01" w:rsidRPr="00465D01" w:rsidRDefault="00465D01" w:rsidP="004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También conviene dejar claro que los componentes se interpretan a partir de las cargas observadas y no se etiquetan de antemano. El análisis preliminar trabaja con 30 observaciones y ocho proporciones, y obtiene dos componentes principales que explican una parte sustancial de la varianza. </w:t>
      </w:r>
    </w:p>
    <w:p w14:paraId="4B5D2342" w14:textId="77777777" w:rsidR="00465D01" w:rsidRPr="00465D01" w:rsidRDefault="00465D01" w:rsidP="00465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465D01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7. </w:t>
      </w:r>
      <w:proofErr w:type="spellStart"/>
      <w:r w:rsidRPr="00465D01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Sensitivity</w:t>
      </w:r>
      <w:proofErr w:type="spellEnd"/>
      <w:r w:rsidRPr="00465D01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 and </w:t>
      </w:r>
      <w:proofErr w:type="spellStart"/>
      <w:r w:rsidRPr="00465D01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reproducibility</w:t>
      </w:r>
      <w:proofErr w:type="spellEnd"/>
    </w:p>
    <w:p w14:paraId="4F1E7770" w14:textId="77777777" w:rsidR="00465D01" w:rsidRPr="00465D01" w:rsidRDefault="00465D01" w:rsidP="004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Cerrar la metodología con una breve referencia a las comprobaciones realizadas y a la reproducibilidad del análisis.</w:t>
      </w:r>
    </w:p>
    <w:p w14:paraId="5ED8E312" w14:textId="77777777" w:rsidR="00465D01" w:rsidRPr="00465D01" w:rsidRDefault="00465D01" w:rsidP="004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Pueden mencionarse, sin necesidad de desarrollarlas demasiado:</w:t>
      </w:r>
    </w:p>
    <w:p w14:paraId="418C0C25" w14:textId="77777777" w:rsidR="00465D01" w:rsidRPr="00465D01" w:rsidRDefault="00465D01" w:rsidP="00465D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Entropía original frente a normalizada. </w:t>
      </w:r>
    </w:p>
    <w:p w14:paraId="34BAC2C8" w14:textId="77777777" w:rsidR="00465D01" w:rsidRPr="00465D01" w:rsidRDefault="00465D01" w:rsidP="00465D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PCA convencional frente a PCA composicional. </w:t>
      </w:r>
    </w:p>
    <w:p w14:paraId="7BCF363D" w14:textId="77777777" w:rsidR="00465D01" w:rsidRPr="00465D01" w:rsidRDefault="00465D01" w:rsidP="00465D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Resultados con y sin casos </w:t>
      </w:r>
      <w:proofErr w:type="spellStart"/>
      <w:r w:rsidRPr="00465D01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unknown</w:t>
      </w:r>
      <w:proofErr w:type="spellEnd"/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. </w:t>
      </w:r>
    </w:p>
    <w:p w14:paraId="5760BC38" w14:textId="77777777" w:rsidR="00465D01" w:rsidRPr="00465D01" w:rsidRDefault="00465D01" w:rsidP="00465D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Exclusión sucesiva de una liga. </w:t>
      </w:r>
    </w:p>
    <w:p w14:paraId="35218623" w14:textId="77777777" w:rsidR="00465D01" w:rsidRPr="00465D01" w:rsidRDefault="00465D01" w:rsidP="00465D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Estabilidad de las cargas y de la posición relativa de las ligas. </w:t>
      </w:r>
    </w:p>
    <w:p w14:paraId="6223C5BA" w14:textId="77777777" w:rsidR="00465D01" w:rsidRPr="00465D01" w:rsidRDefault="00465D01" w:rsidP="004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65D0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Finalmente, indicar el software y los paquetes utilizados, así como la disponibilidad del código, del libro de categorías y de las decisiones de clasificación.</w:t>
      </w:r>
    </w:p>
    <w:p w14:paraId="0573502E" w14:textId="77777777" w:rsidR="00AF2921" w:rsidRPr="00465D01" w:rsidRDefault="00465D01">
      <w:pPr>
        <w:rPr>
          <w:lang w:val="es-ES"/>
        </w:rPr>
      </w:pPr>
    </w:p>
    <w:sectPr w:rsidR="00AF2921" w:rsidRPr="00465D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F0AA7"/>
    <w:multiLevelType w:val="multilevel"/>
    <w:tmpl w:val="D21C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80A1E"/>
    <w:multiLevelType w:val="multilevel"/>
    <w:tmpl w:val="8620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9C6E6E"/>
    <w:multiLevelType w:val="multilevel"/>
    <w:tmpl w:val="96EE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C72FC5"/>
    <w:multiLevelType w:val="multilevel"/>
    <w:tmpl w:val="ACA8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7E5BA6"/>
    <w:multiLevelType w:val="multilevel"/>
    <w:tmpl w:val="91CA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137DC9"/>
    <w:multiLevelType w:val="multilevel"/>
    <w:tmpl w:val="D214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313844"/>
    <w:multiLevelType w:val="multilevel"/>
    <w:tmpl w:val="9520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6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D01"/>
    <w:rsid w:val="0039634A"/>
    <w:rsid w:val="00465D01"/>
    <w:rsid w:val="00557B41"/>
    <w:rsid w:val="00687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20B2A"/>
  <w15:chartTrackingRefBased/>
  <w15:docId w15:val="{D12B0273-0456-4BD7-B1C4-67EA390F1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465D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465D01"/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5D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nfasis">
    <w:name w:val="Emphasis"/>
    <w:basedOn w:val="Fuentedeprrafopredeter"/>
    <w:uiPriority w:val="20"/>
    <w:qFormat/>
    <w:rsid w:val="00465D01"/>
    <w:rPr>
      <w:i/>
      <w:iCs/>
    </w:rPr>
  </w:style>
  <w:style w:type="character" w:styleId="Textoennegrita">
    <w:name w:val="Strong"/>
    <w:basedOn w:val="Fuentedeprrafopredeter"/>
    <w:uiPriority w:val="22"/>
    <w:qFormat/>
    <w:rsid w:val="00465D01"/>
    <w:rPr>
      <w:b/>
      <w:bCs/>
    </w:rPr>
  </w:style>
  <w:style w:type="character" w:customStyle="1" w:styleId="katex-mathml">
    <w:name w:val="katex-mathml"/>
    <w:basedOn w:val="Fuentedeprrafopredeter"/>
    <w:rsid w:val="00465D01"/>
  </w:style>
  <w:style w:type="character" w:customStyle="1" w:styleId="mord">
    <w:name w:val="mord"/>
    <w:basedOn w:val="Fuentedeprrafopredeter"/>
    <w:rsid w:val="00465D01"/>
  </w:style>
  <w:style w:type="character" w:customStyle="1" w:styleId="mpunct">
    <w:name w:val="mpunct"/>
    <w:basedOn w:val="Fuentedeprrafopredeter"/>
    <w:rsid w:val="00465D01"/>
  </w:style>
  <w:style w:type="character" w:customStyle="1" w:styleId="vlist-s">
    <w:name w:val="vlist-s"/>
    <w:basedOn w:val="Fuentedeprrafopredeter"/>
    <w:rsid w:val="00465D01"/>
  </w:style>
  <w:style w:type="character" w:customStyle="1" w:styleId="mrel">
    <w:name w:val="mrel"/>
    <w:basedOn w:val="Fuentedeprrafopredeter"/>
    <w:rsid w:val="00465D01"/>
  </w:style>
  <w:style w:type="character" w:customStyle="1" w:styleId="mopen">
    <w:name w:val="mopen"/>
    <w:basedOn w:val="Fuentedeprrafopredeter"/>
    <w:rsid w:val="00465D01"/>
  </w:style>
  <w:style w:type="character" w:customStyle="1" w:styleId="mclose">
    <w:name w:val="mclose"/>
    <w:basedOn w:val="Fuentedeprrafopredeter"/>
    <w:rsid w:val="00465D01"/>
  </w:style>
  <w:style w:type="character" w:customStyle="1" w:styleId="mop">
    <w:name w:val="mop"/>
    <w:basedOn w:val="Fuentedeprrafopredeter"/>
    <w:rsid w:val="00465D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32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1086</Words>
  <Characters>5975</Characters>
  <Application>Microsoft Office Word</Application>
  <DocSecurity>0</DocSecurity>
  <Lines>49</Lines>
  <Paragraphs>14</Paragraphs>
  <ScaleCrop>false</ScaleCrop>
  <Company/>
  <LinksUpToDate>false</LinksUpToDate>
  <CharactersWithSpaces>7047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GUDEL FERNANDEZ</dc:creator>
  <cp:keywords/>
  <dc:description/>
  <cp:lastModifiedBy>RICARDO GUDEL FERNANDEZ</cp:lastModifiedBy>
  <cp:revision>1</cp:revision>
  <dcterms:created xsi:type="dcterms:W3CDTF">2026-07-08T11:10:00Z</dcterms:created>
  <dcterms:modified xsi:type="dcterms:W3CDTF">2026-07-08T11:28:00Z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351e2b73-d616-4d2d-975e-461629a54c52</vt:lpwstr>
  </property>
</Properties>
</file>