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89859" w14:textId="77777777" w:rsidR="001300E2" w:rsidRDefault="00000000">
      <w:pPr>
        <w:pStyle w:val="Ttulo1"/>
      </w:pPr>
      <w:bookmarkStart w:id="0" w:name="X2b529115dcb7b233da8054a95d660e768db0b1c"/>
      <w:r>
        <w:t>Methodological Design: Measurement and Analysis of the Ownership Landscape (2019–2024)</w:t>
      </w:r>
    </w:p>
    <w:p w14:paraId="46294BEC" w14:textId="77777777" w:rsidR="001300E2" w:rsidRDefault="00000000">
      <w:pPr>
        <w:pStyle w:val="FirstParagraph"/>
      </w:pPr>
      <w:r>
        <w:t xml:space="preserve">This document details the quantitative methodology employed for the operationalization, measurement, and comparative analysis of the </w:t>
      </w:r>
      <w:r>
        <w:rPr>
          <w:b/>
          <w:bCs/>
        </w:rPr>
        <w:t>Ownership Landscape</w:t>
      </w:r>
      <w:r>
        <w:t xml:space="preserve"> (OL) construct in elite European football. The focus is placed exclusively on the macro-configurational characterization of leagues through diversity and concentration indicators, as well as the dimensional reduction of the ownership space using Principal Component Analysis (PCA).</w:t>
      </w:r>
    </w:p>
    <w:p w14:paraId="3952826A" w14:textId="77777777" w:rsidR="001300E2" w:rsidRDefault="00000000">
      <w:r>
        <w:pict w14:anchorId="3A7038DD">
          <v:rect id="_x0000_i1025" style="width:0;height:1.5pt" o:hralign="center" o:hrstd="t" o:hr="t"/>
        </w:pict>
      </w:r>
    </w:p>
    <w:p w14:paraId="2D61E2A4" w14:textId="77777777" w:rsidR="001300E2" w:rsidRDefault="00000000">
      <w:pPr>
        <w:pStyle w:val="Ttulo2"/>
      </w:pPr>
      <w:bookmarkStart w:id="1" w:name="research-design-and-unit-of-analysis"/>
      <w:r>
        <w:t>1. Research Design and Unit of Analysis</w:t>
      </w:r>
    </w:p>
    <w:p w14:paraId="1F408805" w14:textId="77777777" w:rsidR="001300E2" w:rsidRDefault="00000000">
      <w:pPr>
        <w:pStyle w:val="FirstParagraph"/>
      </w:pPr>
      <w:r>
        <w:t xml:space="preserve">The study adopts a </w:t>
      </w:r>
      <w:r>
        <w:rPr>
          <w:b/>
          <w:bCs/>
        </w:rPr>
        <w:t>quantitative, longitudinal, comparative, and exploratory design</w:t>
      </w:r>
      <w:r>
        <w:t xml:space="preserve"> with the purpose of offering a first empirical and reproducible approximation of the </w:t>
      </w:r>
      <w:r>
        <w:rPr>
          <w:i/>
          <w:iCs/>
        </w:rPr>
        <w:t>Ownership Landscape</w:t>
      </w:r>
      <w:r>
        <w:t xml:space="preserve"> concept.</w:t>
      </w:r>
    </w:p>
    <w:p w14:paraId="09AEE483" w14:textId="77777777" w:rsidR="001300E2" w:rsidRDefault="00000000">
      <w:pPr>
        <w:pStyle w:val="Ttulo3"/>
      </w:pPr>
      <w:bookmarkStart w:id="2" w:name="Xdb4dda0dbc8262b38cfbf1a7c02df8e5de82a0e"/>
      <w:r>
        <w:t>Theoretical Distinction and Level of Aggregation</w:t>
      </w:r>
    </w:p>
    <w:p w14:paraId="2F740184" w14:textId="77777777" w:rsidR="00216E9B" w:rsidRDefault="00000000">
      <w:pPr>
        <w:pStyle w:val="FirstParagraph"/>
      </w:pPr>
      <w:r>
        <w:t xml:space="preserve">The fundamental premise of this design is that the </w:t>
      </w:r>
      <w:r>
        <w:rPr>
          <w:i/>
          <w:iCs/>
        </w:rPr>
        <w:t>Ownership Landscape</w:t>
      </w:r>
      <w:r>
        <w:t xml:space="preserve"> is not an individual property of clubs, but rather an </w:t>
      </w:r>
      <w:r>
        <w:rPr>
          <w:b/>
          <w:bCs/>
        </w:rPr>
        <w:t>emergent and collective property of the competitive environment</w:t>
      </w:r>
      <w:r>
        <w:t xml:space="preserve"> (the league), in line with the organizational configurations perspective (Fiss, 2007). Therefore: </w:t>
      </w:r>
    </w:p>
    <w:p w14:paraId="63E7071B" w14:textId="77777777" w:rsidR="00216E9B" w:rsidRDefault="00000000" w:rsidP="00216E9B">
      <w:pPr>
        <w:pStyle w:val="FirstParagraph"/>
        <w:numPr>
          <w:ilvl w:val="0"/>
          <w:numId w:val="7"/>
        </w:numPr>
      </w:pPr>
      <w:r>
        <w:rPr>
          <w:b/>
          <w:bCs/>
        </w:rPr>
        <w:t>Data collection unit</w:t>
      </w:r>
      <w:r>
        <w:t xml:space="preserve">: The primary level of observation is the </w:t>
      </w:r>
      <w:r>
        <w:rPr>
          <w:b/>
          <w:bCs/>
        </w:rPr>
        <w:t>club-season</w:t>
      </w:r>
      <w:r>
        <w:t xml:space="preserve"> (the ownership and financial characteristics of a specific club in a given year). </w:t>
      </w:r>
    </w:p>
    <w:p w14:paraId="15812E04" w14:textId="78A16D32" w:rsidR="001300E2" w:rsidRDefault="00000000" w:rsidP="00216E9B">
      <w:pPr>
        <w:pStyle w:val="FirstParagraph"/>
        <w:numPr>
          <w:ilvl w:val="0"/>
          <w:numId w:val="7"/>
        </w:numPr>
      </w:pPr>
      <w:r>
        <w:rPr>
          <w:b/>
          <w:bCs/>
        </w:rPr>
        <w:t>Unit of analysis</w:t>
      </w:r>
      <w:r>
        <w:t xml:space="preserve">: The main level of aggregation is the </w:t>
      </w:r>
      <w:r>
        <w:rPr>
          <w:b/>
          <w:bCs/>
        </w:rPr>
        <w:t>league-season</w:t>
      </w:r>
      <w:r>
        <w:t xml:space="preserve"> (the joint configuration resulting from the distribution of ownership models within a league in a given year).</w:t>
      </w:r>
    </w:p>
    <w:p w14:paraId="17CEFA51" w14:textId="77777777" w:rsidR="001300E2" w:rsidRDefault="00000000">
      <w:pPr>
        <w:pStyle w:val="Ttulo3"/>
      </w:pPr>
      <w:bookmarkStart w:id="3" w:name="X5b493ae495970ec0dd95608bb702c50149c95ad"/>
      <w:bookmarkEnd w:id="2"/>
      <w:r>
        <w:t>Analytical Tools and Their Collective Role</w:t>
      </w:r>
    </w:p>
    <w:p w14:paraId="2DFE4926" w14:textId="77777777" w:rsidR="00216E9B" w:rsidRDefault="00000000">
      <w:pPr>
        <w:pStyle w:val="FirstParagraph"/>
      </w:pPr>
      <w:r>
        <w:t xml:space="preserve">To capture the different dimensions of this collective structure, three complementary mathematical tools are employed: </w:t>
      </w:r>
    </w:p>
    <w:p w14:paraId="5AEA0A9D" w14:textId="77777777" w:rsidR="00216E9B" w:rsidRDefault="00000000" w:rsidP="00216E9B">
      <w:pPr>
        <w:pStyle w:val="FirstParagraph"/>
        <w:numPr>
          <w:ilvl w:val="0"/>
          <w:numId w:val="9"/>
        </w:numPr>
      </w:pPr>
      <w:r>
        <w:rPr>
          <w:b/>
          <w:bCs/>
        </w:rPr>
        <w:t>Shannon Entropy (</w:t>
      </w:r>
      <m:oMath>
        <m:r>
          <w:rPr>
            <w:rFonts w:ascii="Cambria Math" w:hAnsi="Cambria Math"/>
          </w:rPr>
          <m:t>H</m:t>
        </m:r>
      </m:oMath>
      <w:r>
        <w:rPr>
          <w:b/>
          <w:bCs/>
        </w:rPr>
        <w:t>)</w:t>
      </w:r>
      <w:r>
        <w:t xml:space="preserve">: Measures the degree of </w:t>
      </w:r>
      <w:r>
        <w:rPr>
          <w:b/>
          <w:bCs/>
        </w:rPr>
        <w:t>diversity and evenness</w:t>
      </w:r>
      <w:r>
        <w:t xml:space="preserve"> of the landscape. It indicates whether multiple ownership logics coexist or if the system is dominated by a few. </w:t>
      </w:r>
    </w:p>
    <w:p w14:paraId="56E6D4F6" w14:textId="77777777" w:rsidR="00216E9B" w:rsidRDefault="00000000" w:rsidP="00216E9B">
      <w:pPr>
        <w:pStyle w:val="FirstParagraph"/>
        <w:numPr>
          <w:ilvl w:val="0"/>
          <w:numId w:val="9"/>
        </w:numPr>
      </w:pPr>
      <w:r>
        <w:rPr>
          <w:b/>
          <w:bCs/>
        </w:rPr>
        <w:t>Herfindahl-Hirschman Index (HHI)</w:t>
      </w:r>
      <w:r>
        <w:t xml:space="preserve">: Measures the degree of </w:t>
      </w:r>
      <w:r>
        <w:rPr>
          <w:b/>
          <w:bCs/>
        </w:rPr>
        <w:t>concentration</w:t>
      </w:r>
      <w:r>
        <w:t xml:space="preserve">. It evaluates the dominance of specific models and the level of homogeneity of the environment. </w:t>
      </w:r>
    </w:p>
    <w:p w14:paraId="7A65A501" w14:textId="1EE1C8F3" w:rsidR="001300E2" w:rsidRDefault="00000000" w:rsidP="00216E9B">
      <w:pPr>
        <w:pStyle w:val="FirstParagraph"/>
        <w:numPr>
          <w:ilvl w:val="0"/>
          <w:numId w:val="9"/>
        </w:numPr>
      </w:pPr>
      <w:r>
        <w:rPr>
          <w:b/>
          <w:bCs/>
        </w:rPr>
        <w:lastRenderedPageBreak/>
        <w:t>Principal Component Analysis (PCA)</w:t>
      </w:r>
      <w:r>
        <w:t xml:space="preserve">: Projects the </w:t>
      </w:r>
      <w:r>
        <w:rPr>
          <w:b/>
          <w:bCs/>
        </w:rPr>
        <w:t>joint configuration</w:t>
      </w:r>
      <w:r>
        <w:t xml:space="preserve"> (the simultaneous proportions of all ownership models) into a low-dimensional space (2D) to classify leagues, track historical trajectories, and visualize the configurational distance between them.</w:t>
      </w:r>
    </w:p>
    <w:p w14:paraId="2877FE51" w14:textId="77777777" w:rsidR="001300E2" w:rsidRDefault="00000000">
      <w:pPr>
        <w:pStyle w:val="Textoindependiente"/>
      </w:pPr>
      <w:r>
        <w:t xml:space="preserve">This design has a strictly </w:t>
      </w:r>
      <w:r>
        <w:rPr>
          <w:b/>
          <w:bCs/>
        </w:rPr>
        <w:t>methodological and descriptive</w:t>
      </w:r>
      <w:r>
        <w:t xml:space="preserve"> purpose. It does not seek to establish definitive causal relationships or conclusively validate complex predictive hypotheses, but rather to propose a standardized and reproducible framework to measure, compare, and historicize the ownership structures of contemporary football.</w:t>
      </w:r>
    </w:p>
    <w:p w14:paraId="1E643315" w14:textId="77777777" w:rsidR="001300E2" w:rsidRDefault="00000000">
      <w:r>
        <w:pict w14:anchorId="7E425883">
          <v:rect id="_x0000_i1026" style="width:0;height:1.5pt" o:hralign="center" o:hrstd="t" o:hr="t"/>
        </w:pict>
      </w:r>
    </w:p>
    <w:p w14:paraId="05087550" w14:textId="77777777" w:rsidR="001300E2" w:rsidRDefault="00000000">
      <w:pPr>
        <w:pStyle w:val="Ttulo2"/>
      </w:pPr>
      <w:bookmarkStart w:id="4" w:name="X31094c1251b9a4eae71ad1c23e8369c124855e2"/>
      <w:bookmarkEnd w:id="1"/>
      <w:bookmarkEnd w:id="3"/>
      <w:r>
        <w:t>2. Empirical Context and Sample Construction</w:t>
      </w:r>
    </w:p>
    <w:p w14:paraId="308938E2" w14:textId="77777777" w:rsidR="001300E2" w:rsidRDefault="00000000">
      <w:pPr>
        <w:pStyle w:val="Ttulo3"/>
      </w:pPr>
      <w:bookmarkStart w:id="5" w:name="league-selection-criteria"/>
      <w:r>
        <w:t>League Selection Criteria</w:t>
      </w:r>
    </w:p>
    <w:p w14:paraId="32DA4637" w14:textId="77777777" w:rsidR="00216E9B" w:rsidRDefault="00000000">
      <w:pPr>
        <w:pStyle w:val="FirstParagraph"/>
      </w:pPr>
      <w:r>
        <w:t xml:space="preserve">The empirical sample comprises the first divisions of the five major European football leagues (the “Big Five”): </w:t>
      </w:r>
      <w:r>
        <w:rPr>
          <w:b/>
          <w:bCs/>
        </w:rPr>
        <w:t>Bundesliga</w:t>
      </w:r>
      <w:r>
        <w:t xml:space="preserve"> (Germany), </w:t>
      </w:r>
      <w:r>
        <w:rPr>
          <w:b/>
          <w:bCs/>
        </w:rPr>
        <w:t>LaLiga</w:t>
      </w:r>
      <w:r>
        <w:t xml:space="preserve"> (Spain), </w:t>
      </w:r>
      <w:r>
        <w:rPr>
          <w:b/>
          <w:bCs/>
        </w:rPr>
        <w:t>Ligue 1</w:t>
      </w:r>
      <w:r>
        <w:t xml:space="preserve"> (France), </w:t>
      </w:r>
      <w:r>
        <w:rPr>
          <w:b/>
          <w:bCs/>
        </w:rPr>
        <w:t>Premier League</w:t>
      </w:r>
      <w:r>
        <w:t xml:space="preserve"> (England), and </w:t>
      </w:r>
      <w:r>
        <w:rPr>
          <w:b/>
          <w:bCs/>
        </w:rPr>
        <w:t>Serie A</w:t>
      </w:r>
      <w:r>
        <w:t xml:space="preserve"> (Italy). The selection of these settings is justified under two criteria: </w:t>
      </w:r>
    </w:p>
    <w:p w14:paraId="0CBED423" w14:textId="77777777" w:rsidR="00216E9B" w:rsidRDefault="00000000" w:rsidP="00216E9B">
      <w:pPr>
        <w:pStyle w:val="FirstParagraph"/>
        <w:numPr>
          <w:ilvl w:val="0"/>
          <w:numId w:val="11"/>
        </w:numPr>
      </w:pPr>
      <w:r>
        <w:rPr>
          <w:b/>
          <w:bCs/>
        </w:rPr>
        <w:t>Economic and institutional relevance</w:t>
      </w:r>
      <w:r>
        <w:t xml:space="preserve">: They represent the financial and sporting core of global football. </w:t>
      </w:r>
    </w:p>
    <w:p w14:paraId="1B580022" w14:textId="415248C7" w:rsidR="001300E2" w:rsidRDefault="00000000" w:rsidP="00216E9B">
      <w:pPr>
        <w:pStyle w:val="FirstParagraph"/>
        <w:numPr>
          <w:ilvl w:val="0"/>
          <w:numId w:val="11"/>
        </w:numPr>
      </w:pPr>
      <w:r>
        <w:rPr>
          <w:b/>
          <w:bCs/>
        </w:rPr>
        <w:t>Configurational variation</w:t>
      </w:r>
      <w:r>
        <w:t>: Disparate regulatory and traditional frameworks coexist, from the protectionism of the “50+1” rule in Germany to the extreme deregulation and financialization of the Premier League.</w:t>
      </w:r>
    </w:p>
    <w:p w14:paraId="1A09DD83" w14:textId="77777777" w:rsidR="001300E2" w:rsidRDefault="00000000">
      <w:pPr>
        <w:pStyle w:val="Ttulo3"/>
      </w:pPr>
      <w:bookmarkStart w:id="6" w:name="temporal-window-2019-2024"/>
      <w:bookmarkEnd w:id="5"/>
      <w:r>
        <w:t>Temporal Window (2019-2024)</w:t>
      </w:r>
    </w:p>
    <w:p w14:paraId="14B92C75" w14:textId="77777777" w:rsidR="00216E9B" w:rsidRDefault="00000000">
      <w:pPr>
        <w:pStyle w:val="FirstParagraph"/>
      </w:pPr>
      <w:r>
        <w:t xml:space="preserve">The study analyzes a period of </w:t>
      </w:r>
      <w:r>
        <w:rPr>
          <w:b/>
          <w:bCs/>
        </w:rPr>
        <w:t>6 complete seasons</w:t>
      </w:r>
      <w:r>
        <w:t xml:space="preserve"> spanning from the </w:t>
      </w:r>
      <w:r>
        <w:rPr>
          <w:b/>
          <w:bCs/>
        </w:rPr>
        <w:t>2019-2020</w:t>
      </w:r>
      <w:r>
        <w:t xml:space="preserve"> to the </w:t>
      </w:r>
      <w:r>
        <w:rPr>
          <w:b/>
          <w:bCs/>
        </w:rPr>
        <w:t>2024-2025</w:t>
      </w:r>
      <w:r>
        <w:t xml:space="preserve"> seasons (identified in the study by their start years as 2019 and 2024, respectively). This temporal window is ideal because it captures: </w:t>
      </w:r>
    </w:p>
    <w:p w14:paraId="7175A557" w14:textId="77777777" w:rsidR="00216E9B" w:rsidRDefault="00000000" w:rsidP="00216E9B">
      <w:pPr>
        <w:pStyle w:val="FirstParagraph"/>
        <w:numPr>
          <w:ilvl w:val="0"/>
          <w:numId w:val="12"/>
        </w:numPr>
      </w:pPr>
      <w:r>
        <w:t xml:space="preserve">The stability and resilience of traditional models against external shocks (COVID-19). </w:t>
      </w:r>
    </w:p>
    <w:p w14:paraId="0783B72C" w14:textId="6D3DA87D" w:rsidR="001300E2" w:rsidRDefault="00000000" w:rsidP="00216E9B">
      <w:pPr>
        <w:pStyle w:val="FirstParagraph"/>
        <w:numPr>
          <w:ilvl w:val="0"/>
          <w:numId w:val="12"/>
        </w:numPr>
      </w:pPr>
      <w:r>
        <w:t>The acceleration of institutional transformation processes, such as the penetration of international private investment funds and the consolidation of multi-club ownership (MCO) networks.</w:t>
      </w:r>
    </w:p>
    <w:p w14:paraId="6316B886" w14:textId="77777777" w:rsidR="001300E2" w:rsidRDefault="00000000">
      <w:pPr>
        <w:pStyle w:val="Ttulo3"/>
      </w:pPr>
      <w:bookmarkStart w:id="7" w:name="dynamic-panel-construction"/>
      <w:bookmarkEnd w:id="6"/>
      <w:r>
        <w:t>Dynamic Panel Construction</w:t>
      </w:r>
    </w:p>
    <w:p w14:paraId="58BCD043" w14:textId="77777777" w:rsidR="00216E9B" w:rsidRDefault="00000000">
      <w:pPr>
        <w:pStyle w:val="FirstParagraph"/>
      </w:pPr>
      <w:r>
        <w:t xml:space="preserve">To accurately reflect the real market structure of each season, the panel is constructed </w:t>
      </w:r>
      <w:r>
        <w:rPr>
          <w:b/>
          <w:bCs/>
        </w:rPr>
        <w:t>dynamically</w:t>
      </w:r>
      <w:r>
        <w:t xml:space="preserve"> rather than statically. The clubs that actually participated in the first division of each league in each specific season are identified. This implies: </w:t>
      </w:r>
    </w:p>
    <w:p w14:paraId="3A2563CC" w14:textId="77777777" w:rsidR="00216E9B" w:rsidRDefault="00000000" w:rsidP="00216E9B">
      <w:pPr>
        <w:pStyle w:val="FirstParagraph"/>
        <w:numPr>
          <w:ilvl w:val="0"/>
          <w:numId w:val="14"/>
        </w:numPr>
      </w:pPr>
      <w:r>
        <w:rPr>
          <w:b/>
          <w:bCs/>
        </w:rPr>
        <w:lastRenderedPageBreak/>
        <w:t>Inclusion of promotions and exclusion of relegations</w:t>
      </w:r>
      <w:r>
        <w:t xml:space="preserve">: Each year, the club sample varies for each league, reflecting the impact of sporting rotation on the macro landscape. </w:t>
      </w:r>
    </w:p>
    <w:p w14:paraId="1273A283" w14:textId="77777777" w:rsidR="00216E9B" w:rsidRDefault="00000000" w:rsidP="00216E9B">
      <w:pPr>
        <w:pStyle w:val="FirstParagraph"/>
        <w:numPr>
          <w:ilvl w:val="0"/>
          <w:numId w:val="14"/>
        </w:numPr>
      </w:pPr>
      <w:r>
        <w:rPr>
          <w:b/>
          <w:bCs/>
        </w:rPr>
        <w:t>Record harmonization</w:t>
      </w:r>
      <w:r>
        <w:t xml:space="preserve">: An algorithmic and manual matching of club names from official league match databases with their respective financial identifiers and corporate registries is performed. </w:t>
      </w:r>
    </w:p>
    <w:p w14:paraId="79B1C697" w14:textId="49D52EDD" w:rsidR="001300E2" w:rsidRDefault="00000000" w:rsidP="00216E9B">
      <w:pPr>
        <w:pStyle w:val="FirstParagraph"/>
        <w:numPr>
          <w:ilvl w:val="0"/>
          <w:numId w:val="14"/>
        </w:numPr>
      </w:pPr>
      <w:r>
        <w:rPr>
          <w:b/>
          <w:bCs/>
        </w:rPr>
        <w:t>Integration</w:t>
      </w:r>
      <w:r>
        <w:t>: Each club-season observation is associated with its corresponding ownership classification for that year.</w:t>
      </w:r>
    </w:p>
    <w:p w14:paraId="0C77B073" w14:textId="77777777" w:rsidR="00216E9B" w:rsidRDefault="00000000">
      <w:pPr>
        <w:pStyle w:val="Textoindependiente"/>
      </w:pPr>
      <w:r>
        <w:t xml:space="preserve">The resulting final sample of the panel comprises: </w:t>
      </w:r>
    </w:p>
    <w:p w14:paraId="201343DB" w14:textId="77777777" w:rsidR="00216E9B" w:rsidRDefault="00000000" w:rsidP="00216E9B">
      <w:pPr>
        <w:pStyle w:val="Textoindependiente"/>
        <w:numPr>
          <w:ilvl w:val="0"/>
          <w:numId w:val="15"/>
        </w:numPr>
      </w:pPr>
      <w:r>
        <w:rPr>
          <w:b/>
          <w:bCs/>
        </w:rPr>
        <w:t>176 unique clubs</w:t>
      </w:r>
      <w:r>
        <w:t xml:space="preserve">. </w:t>
      </w:r>
    </w:p>
    <w:p w14:paraId="530F6EA7" w14:textId="77777777" w:rsidR="00216E9B" w:rsidRDefault="00000000" w:rsidP="00216E9B">
      <w:pPr>
        <w:pStyle w:val="Textoindependiente"/>
        <w:numPr>
          <w:ilvl w:val="0"/>
          <w:numId w:val="15"/>
        </w:numPr>
      </w:pPr>
      <w:r>
        <w:rPr>
          <w:b/>
          <w:bCs/>
        </w:rPr>
        <w:t>584 club-season observations</w:t>
      </w:r>
      <w:r>
        <w:t xml:space="preserve"> (used to characterize micro behavior and baseline distributions). </w:t>
      </w:r>
    </w:p>
    <w:p w14:paraId="341C8DDC" w14:textId="1F1787CA" w:rsidR="001300E2" w:rsidRDefault="00000000" w:rsidP="00216E9B">
      <w:pPr>
        <w:pStyle w:val="Textoindependiente"/>
        <w:numPr>
          <w:ilvl w:val="0"/>
          <w:numId w:val="15"/>
        </w:numPr>
      </w:pPr>
      <w:r>
        <w:rPr>
          <w:b/>
          <w:bCs/>
        </w:rPr>
        <w:t>30 league-season observations</w:t>
      </w:r>
      <w:r>
        <w:t xml:space="preserve"> (the 30 macro configurations analyzed: 5 leagues </w:t>
      </w:r>
      <m:oMath>
        <m:r>
          <m:rPr>
            <m:sty m:val="p"/>
          </m:rPr>
          <w:rPr>
            <w:rFonts w:ascii="Cambria Math" w:hAnsi="Cambria Math"/>
          </w:rPr>
          <m:t>×</m:t>
        </m:r>
      </m:oMath>
      <w:r>
        <w:t xml:space="preserve"> 6 transition years/seasons between 2019 and 2024).</w:t>
      </w:r>
    </w:p>
    <w:p w14:paraId="467B0644" w14:textId="77777777" w:rsidR="001300E2" w:rsidRDefault="00000000">
      <w:pPr>
        <w:pStyle w:val="Textoindependiente"/>
      </w:pPr>
      <w:r>
        <w:rPr>
          <w:i/>
          <w:iCs/>
        </w:rPr>
        <w:t>Note on temporal reference</w:t>
      </w:r>
      <w:r>
        <w:t xml:space="preserve">: The reference point to determine the ownership structure of a club in a given season is the </w:t>
      </w:r>
      <w:r>
        <w:rPr>
          <w:b/>
          <w:bCs/>
        </w:rPr>
        <w:t>closing of the summer transfer market</w:t>
      </w:r>
      <w:r>
        <w:t xml:space="preserve"> (August/September) of the corresponding season, as this milestone sets the planning and capital available for the annual competitive cycle.</w:t>
      </w:r>
    </w:p>
    <w:p w14:paraId="78AC3445" w14:textId="77777777" w:rsidR="001300E2" w:rsidRDefault="00000000">
      <w:r>
        <w:pict w14:anchorId="524A9ED0">
          <v:rect id="_x0000_i1027" style="width:0;height:1.5pt" o:hralign="center" o:hrstd="t" o:hr="t"/>
        </w:pict>
      </w:r>
    </w:p>
    <w:p w14:paraId="015E258B" w14:textId="77777777" w:rsidR="001300E2" w:rsidRDefault="00000000">
      <w:pPr>
        <w:pStyle w:val="Ttulo2"/>
      </w:pPr>
      <w:bookmarkStart w:id="8" w:name="X6d53f08c6ef0be035f29126e2ff05c82275e7db"/>
      <w:bookmarkEnd w:id="4"/>
      <w:bookmarkEnd w:id="7"/>
      <w:r>
        <w:t>3. Data Sources and Ownership Classification</w:t>
      </w:r>
    </w:p>
    <w:p w14:paraId="13D2FD52" w14:textId="77777777" w:rsidR="001300E2" w:rsidRDefault="00000000">
      <w:pPr>
        <w:pStyle w:val="Ttulo3"/>
      </w:pPr>
      <w:bookmarkStart w:id="9" w:name="corporate-information-sources"/>
      <w:r>
        <w:t>Corporate Information Sources</w:t>
      </w:r>
    </w:p>
    <w:p w14:paraId="680D24CF" w14:textId="77777777" w:rsidR="00216E9B" w:rsidRDefault="00000000">
      <w:pPr>
        <w:pStyle w:val="FirstParagraph"/>
      </w:pPr>
      <w:r>
        <w:t xml:space="preserve">To identify the Ultimate Beneficial Owner (UBO) or the legal entity exercising effective voting control (greater than 50% or agreed management control) in each club-season observation, data was collected and triangulated from the following sources: </w:t>
      </w:r>
    </w:p>
    <w:p w14:paraId="3FC1EED9" w14:textId="77777777" w:rsidR="00216E9B" w:rsidRDefault="00000000" w:rsidP="00216E9B">
      <w:pPr>
        <w:pStyle w:val="FirstParagraph"/>
        <w:numPr>
          <w:ilvl w:val="0"/>
          <w:numId w:val="16"/>
        </w:numPr>
      </w:pPr>
      <w:r>
        <w:t xml:space="preserve">Official corporate documents and national business registries (e.g., </w:t>
      </w:r>
      <w:r>
        <w:rPr>
          <w:i/>
          <w:iCs/>
        </w:rPr>
        <w:t>Companies House</w:t>
      </w:r>
      <w:r>
        <w:t xml:space="preserve"> in the UK, </w:t>
      </w:r>
      <w:r>
        <w:rPr>
          <w:i/>
          <w:iCs/>
        </w:rPr>
        <w:t>Infogreffe</w:t>
      </w:r>
      <w:r>
        <w:t xml:space="preserve"> in France). </w:t>
      </w:r>
    </w:p>
    <w:p w14:paraId="584E24F8" w14:textId="77777777" w:rsidR="00216E9B" w:rsidRDefault="00000000" w:rsidP="00216E9B">
      <w:pPr>
        <w:pStyle w:val="FirstParagraph"/>
        <w:numPr>
          <w:ilvl w:val="0"/>
          <w:numId w:val="16"/>
        </w:numPr>
      </w:pPr>
      <w:r>
        <w:t xml:space="preserve">Club annual financial reports and national association governance reports (e.g., reports from the DNCG in France, resolutions of the Consejo Superior de Deportes in Spain). </w:t>
      </w:r>
    </w:p>
    <w:p w14:paraId="336D17D2" w14:textId="77777777" w:rsidR="00216E9B" w:rsidRDefault="00000000" w:rsidP="00216E9B">
      <w:pPr>
        <w:pStyle w:val="FirstParagraph"/>
        <w:numPr>
          <w:ilvl w:val="0"/>
          <w:numId w:val="16"/>
        </w:numPr>
      </w:pPr>
      <w:r>
        <w:t xml:space="preserve">Official club websites and corporate press releases from investment groups. </w:t>
      </w:r>
    </w:p>
    <w:p w14:paraId="204CF2A2" w14:textId="564BC262" w:rsidR="001300E2" w:rsidRDefault="00000000" w:rsidP="00216E9B">
      <w:pPr>
        <w:pStyle w:val="FirstParagraph"/>
        <w:numPr>
          <w:ilvl w:val="0"/>
          <w:numId w:val="16"/>
        </w:numPr>
      </w:pPr>
      <w:r>
        <w:t xml:space="preserve">Specialized football finance databases (e.g., </w:t>
      </w:r>
      <w:r>
        <w:rPr>
          <w:i/>
          <w:iCs/>
        </w:rPr>
        <w:t>UEFA Club Licensing reports</w:t>
      </w:r>
      <w:r>
        <w:t xml:space="preserve">) and reputable journalistic outlets (e.g., </w:t>
      </w:r>
      <w:r>
        <w:rPr>
          <w:i/>
          <w:iCs/>
        </w:rPr>
        <w:t>The Athletic</w:t>
      </w:r>
      <w:r>
        <w:t xml:space="preserve">, </w:t>
      </w:r>
      <w:r>
        <w:rPr>
          <w:i/>
          <w:iCs/>
        </w:rPr>
        <w:t>Off The Pitch</w:t>
      </w:r>
      <w:r>
        <w:t xml:space="preserve">, </w:t>
      </w:r>
      <w:r>
        <w:rPr>
          <w:i/>
          <w:iCs/>
        </w:rPr>
        <w:t>Bloomberg</w:t>
      </w:r>
      <w:r>
        <w:t>).</w:t>
      </w:r>
    </w:p>
    <w:p w14:paraId="4304E68A" w14:textId="77777777" w:rsidR="001300E2" w:rsidRDefault="00000000">
      <w:pPr>
        <w:pStyle w:val="Ttulo3"/>
      </w:pPr>
      <w:bookmarkStart w:id="10" w:name="taxonomy-of-ownership-models"/>
      <w:bookmarkEnd w:id="9"/>
      <w:r>
        <w:lastRenderedPageBreak/>
        <w:t>Taxonomy of Ownership Models</w:t>
      </w:r>
    </w:p>
    <w:p w14:paraId="2E0D0860" w14:textId="77777777" w:rsidR="001300E2" w:rsidRDefault="00000000">
      <w:pPr>
        <w:pStyle w:val="FirstParagraph"/>
      </w:pPr>
      <w:r>
        <w:t xml:space="preserve">To classify and analyze ownership models in contemporary football, a taxonomy adapted from UEFA (2024) financial reports and sports economics and governance literature (e.g., Nauright &amp; Ramfjord, 2010; Storm &amp; Nielsen, 2012) is adopted. A classification of </w:t>
      </w:r>
      <w:r>
        <w:rPr>
          <w:b/>
          <w:bCs/>
        </w:rPr>
        <w:t>7 substantive categories</w:t>
      </w:r>
      <w:r>
        <w:t xml:space="preserve"> based on majority or decisive control is employed:</w:t>
      </w:r>
    </w:p>
    <w:p w14:paraId="45070A90" w14:textId="77777777" w:rsidR="001300E2" w:rsidRDefault="00000000">
      <w:pPr>
        <w:pStyle w:val="Compact"/>
        <w:numPr>
          <w:ilvl w:val="0"/>
          <w:numId w:val="2"/>
        </w:numPr>
      </w:pPr>
      <w:r>
        <w:rPr>
          <w:b/>
          <w:bCs/>
        </w:rPr>
        <w:t>Member-owned (Democratic/Socios)</w:t>
      </w:r>
      <w:r>
        <w:t>: Clubs democratically controlled by their members under the “one member, one vote” principle (e.g., Real Madrid, FC Bayern München).</w:t>
      </w:r>
    </w:p>
    <w:p w14:paraId="3A2D1F4A" w14:textId="77777777" w:rsidR="001300E2" w:rsidRDefault="00000000">
      <w:pPr>
        <w:pStyle w:val="Compact"/>
        <w:numPr>
          <w:ilvl w:val="0"/>
          <w:numId w:val="2"/>
        </w:numPr>
      </w:pPr>
      <w:r>
        <w:rPr>
          <w:b/>
          <w:bCs/>
        </w:rPr>
        <w:t>Domestic private (Private Local)</w:t>
      </w:r>
      <w:r>
        <w:t>: Controlled by a natural person, family, or company of local/national origin (e.g., the traditional local businessman model).</w:t>
      </w:r>
    </w:p>
    <w:p w14:paraId="70161FB7" w14:textId="77777777" w:rsidR="001300E2" w:rsidRDefault="00000000">
      <w:pPr>
        <w:pStyle w:val="Compact"/>
        <w:numPr>
          <w:ilvl w:val="0"/>
          <w:numId w:val="2"/>
        </w:numPr>
      </w:pPr>
      <w:r>
        <w:rPr>
          <w:b/>
          <w:bCs/>
        </w:rPr>
        <w:t>Foreign private (Private Foreign)</w:t>
      </w:r>
      <w:r>
        <w:t>: Controlled by a foreign entrepreneur or family consortium not classified as a financial fund (e.g., the Glazer family at Manchester United pre-2024).</w:t>
      </w:r>
    </w:p>
    <w:p w14:paraId="1BCB9469" w14:textId="77777777" w:rsidR="001300E2" w:rsidRDefault="00000000">
      <w:pPr>
        <w:pStyle w:val="Compact"/>
        <w:numPr>
          <w:ilvl w:val="0"/>
          <w:numId w:val="2"/>
        </w:numPr>
      </w:pPr>
      <w:r>
        <w:rPr>
          <w:b/>
          <w:bCs/>
        </w:rPr>
        <w:t>Investment fund (Institutional/Financial)</w:t>
      </w:r>
      <w:r>
        <w:t>: Controlled by venture capital firms, hedge funds, pension funds, or institutional financial investment vehicles whose primary goal is financial return or asset appreciation (e.g., RedBird Capital at AC Milan, Oaktree at Inter).</w:t>
      </w:r>
    </w:p>
    <w:p w14:paraId="6C094D65" w14:textId="77777777" w:rsidR="001300E2" w:rsidRDefault="00000000">
      <w:pPr>
        <w:pStyle w:val="Compact"/>
        <w:numPr>
          <w:ilvl w:val="0"/>
          <w:numId w:val="2"/>
        </w:numPr>
      </w:pPr>
      <w:r>
        <w:rPr>
          <w:b/>
          <w:bCs/>
        </w:rPr>
        <w:t>Hybrid (Mixed)</w:t>
      </w:r>
      <w:r>
        <w:t>: Structures with public listing or statutory division where democratic member control and the investment of influential but minority commercial partners formally coexist (e.g., Borussia Dortmund, where the members’ club and sponsors like Evonik or Puma coexist).</w:t>
      </w:r>
    </w:p>
    <w:p w14:paraId="3BEAFFF2" w14:textId="77777777" w:rsidR="001300E2" w:rsidRDefault="00000000">
      <w:pPr>
        <w:pStyle w:val="Compact"/>
        <w:numPr>
          <w:ilvl w:val="0"/>
          <w:numId w:val="2"/>
        </w:numPr>
      </w:pPr>
      <w:r>
        <w:rPr>
          <w:b/>
          <w:bCs/>
        </w:rPr>
        <w:t>Corporate-MCO (Multi-Club Networks)</w:t>
      </w:r>
      <w:r>
        <w:t>: Clubs formally integrated within trans-national corporate networks specializing in sports multi-club ownership, where the club operates under group synergies (e.g., Manchester City under City Football Group, RB Leipzig under Red Bull).</w:t>
      </w:r>
    </w:p>
    <w:p w14:paraId="4169C240" w14:textId="77777777" w:rsidR="001300E2" w:rsidRDefault="00000000">
      <w:pPr>
        <w:pStyle w:val="Compact"/>
        <w:numPr>
          <w:ilvl w:val="0"/>
          <w:numId w:val="2"/>
        </w:numPr>
      </w:pPr>
      <w:r>
        <w:rPr>
          <w:b/>
          <w:bCs/>
        </w:rPr>
        <w:t>State-linked (Sovereign/Geopolitical)</w:t>
      </w:r>
      <w:r>
        <w:t>: Clubs under the effective control of state corporations, sovereign wealth funds, or investment vehicles directly linked to national governments (e.g., Paris Saint-Germain under Qatar Sports Investments, Newcastle United under the Saudi PIF).</w:t>
      </w:r>
    </w:p>
    <w:p w14:paraId="114DFB34" w14:textId="77777777" w:rsidR="001300E2" w:rsidRDefault="00000000">
      <w:pPr>
        <w:pStyle w:val="Ttulo3"/>
      </w:pPr>
      <w:bookmarkStart w:id="11" w:name="treatment-of-special-cases-and-codebook"/>
      <w:bookmarkEnd w:id="10"/>
      <w:r>
        <w:t>Treatment of Special Cases and Codebook</w:t>
      </w:r>
    </w:p>
    <w:p w14:paraId="423E4930" w14:textId="77777777" w:rsidR="00216E9B" w:rsidRDefault="00000000">
      <w:pPr>
        <w:pStyle w:val="FirstParagraph"/>
      </w:pPr>
      <w:r>
        <w:t xml:space="preserve">To ensure consistency, classification is governed by a </w:t>
      </w:r>
      <w:r>
        <w:rPr>
          <w:b/>
          <w:bCs/>
        </w:rPr>
        <w:t>methodological codebook</w:t>
      </w:r>
      <w:r>
        <w:t xml:space="preserve"> that defines clear rules for ambiguities: </w:t>
      </w:r>
    </w:p>
    <w:p w14:paraId="5BE09A07" w14:textId="77777777" w:rsidR="00216E9B" w:rsidRDefault="00000000" w:rsidP="00216E9B">
      <w:pPr>
        <w:pStyle w:val="FirstParagraph"/>
        <w:numPr>
          <w:ilvl w:val="0"/>
          <w:numId w:val="17"/>
        </w:numPr>
      </w:pPr>
      <w:r>
        <w:rPr>
          <w:b/>
          <w:bCs/>
        </w:rPr>
        <w:t>Consortia and multiple investors</w:t>
      </w:r>
      <w:r>
        <w:t xml:space="preserve">: Classified according to the majority controlling partner or leading management vehicle. </w:t>
      </w:r>
    </w:p>
    <w:p w14:paraId="6CB46E15" w14:textId="77777777" w:rsidR="00216E9B" w:rsidRDefault="00000000" w:rsidP="00216E9B">
      <w:pPr>
        <w:pStyle w:val="FirstParagraph"/>
        <w:numPr>
          <w:ilvl w:val="0"/>
          <w:numId w:val="17"/>
        </w:numPr>
      </w:pPr>
      <w:r>
        <w:rPr>
          <w:b/>
          <w:bCs/>
        </w:rPr>
        <w:t>Dispersed ownership / Listed companies</w:t>
      </w:r>
      <w:r>
        <w:t xml:space="preserve">: Classified as </w:t>
      </w:r>
      <w:r>
        <w:rPr>
          <w:i/>
          <w:iCs/>
        </w:rPr>
        <w:t>domestic/foreign private</w:t>
      </w:r>
      <w:r>
        <w:t xml:space="preserve"> or </w:t>
      </w:r>
      <w:r>
        <w:rPr>
          <w:i/>
          <w:iCs/>
        </w:rPr>
        <w:t>investment fund</w:t>
      </w:r>
      <w:r>
        <w:t xml:space="preserve"> based on the nature of the controlling block that dominates the board of directors. </w:t>
      </w:r>
    </w:p>
    <w:p w14:paraId="77AAA738" w14:textId="04633351" w:rsidR="001300E2" w:rsidRDefault="00000000" w:rsidP="00216E9B">
      <w:pPr>
        <w:pStyle w:val="FirstParagraph"/>
        <w:numPr>
          <w:ilvl w:val="0"/>
          <w:numId w:val="17"/>
        </w:numPr>
      </w:pPr>
      <w:r>
        <w:rPr>
          <w:b/>
          <w:bCs/>
        </w:rPr>
        <w:lastRenderedPageBreak/>
        <w:t>Static nature of the model by club</w:t>
      </w:r>
      <w:r>
        <w:t>: In the analyzed panel, the ownership classification of each club is kept constant across the seasons of the study (representing their consolidated control model). Therefore, the interannual variation of the macro Ownership Landscape is driven exclusively by sporting rotation (promotions and relegations of teams between the first and second division), and not by transactional changes of owner within a club during the analyzed period.</w:t>
      </w:r>
    </w:p>
    <w:p w14:paraId="68DE0B6C" w14:textId="77777777" w:rsidR="001300E2" w:rsidRDefault="00000000">
      <w:pPr>
        <w:pStyle w:val="Ttulo3"/>
      </w:pPr>
      <w:bookmarkStart w:id="12" w:name="treatment-of-the-unknown-category"/>
      <w:bookmarkEnd w:id="11"/>
      <w:r>
        <w:t>Treatment of the “Unknown” Category</w:t>
      </w:r>
    </w:p>
    <w:p w14:paraId="3DFF74EC" w14:textId="77777777" w:rsidR="00216E9B" w:rsidRDefault="00000000">
      <w:pPr>
        <w:pStyle w:val="FirstParagraph"/>
      </w:pPr>
      <w:r>
        <w:t xml:space="preserve">The </w:t>
      </w:r>
      <w:r>
        <w:rPr>
          <w:b/>
          <w:bCs/>
        </w:rPr>
        <w:t>Unknown</w:t>
      </w:r>
      <w:r>
        <w:t xml:space="preserve"> category represents unresolved cases of information (e.g., opaque trust structures, undeclared shell companies, or missing data). Methodologically: </w:t>
      </w:r>
    </w:p>
    <w:p w14:paraId="7D17B4D9" w14:textId="77777777" w:rsidR="00216E9B" w:rsidRDefault="00000000" w:rsidP="00216E9B">
      <w:pPr>
        <w:pStyle w:val="FirstParagraph"/>
        <w:numPr>
          <w:ilvl w:val="0"/>
          <w:numId w:val="18"/>
        </w:numPr>
      </w:pPr>
      <w:r>
        <w:rPr>
          <w:b/>
          <w:bCs/>
        </w:rPr>
        <w:t>It is not treated as a substantive ownership model</w:t>
      </w:r>
      <w:r>
        <w:t>, but as information noise.</w:t>
      </w:r>
    </w:p>
    <w:p w14:paraId="6BB6804E" w14:textId="77777777" w:rsidR="00216E9B" w:rsidRDefault="00000000" w:rsidP="00216E9B">
      <w:pPr>
        <w:pStyle w:val="FirstParagraph"/>
        <w:numPr>
          <w:ilvl w:val="0"/>
          <w:numId w:val="18"/>
        </w:numPr>
      </w:pPr>
      <w:r>
        <w:t xml:space="preserve">For the landscape analysis, its proportion is transparently recorded at the descriptive level. </w:t>
      </w:r>
    </w:p>
    <w:p w14:paraId="296926A5" w14:textId="08D84407" w:rsidR="001300E2" w:rsidRDefault="00000000" w:rsidP="00216E9B">
      <w:pPr>
        <w:pStyle w:val="FirstParagraph"/>
        <w:numPr>
          <w:ilvl w:val="0"/>
          <w:numId w:val="18"/>
        </w:numPr>
      </w:pPr>
      <w:r>
        <w:t xml:space="preserve">In the configurational (PCA) and diversity (Shannon and HHI) analyses, the sensitivity of the model is evaluated through two pathways: exclusion and re-normalization versus direct inclusion. In our sample, its prevalence is marginal (averaging </w:t>
      </w:r>
      <m:oMath>
        <m:r>
          <w:rPr>
            <w:rFonts w:ascii="Cambria Math" w:hAnsi="Cambria Math"/>
          </w:rPr>
          <m:t>1.74</m:t>
        </m:r>
        <m:r>
          <m:rPr>
            <m:sty m:val="p"/>
          </m:rPr>
          <w:rPr>
            <w:rFonts w:ascii="Cambria Math" w:hAnsi="Cambria Math"/>
          </w:rPr>
          <m:t>%</m:t>
        </m:r>
      </m:oMath>
      <w:r>
        <w:t xml:space="preserve"> of the sample, with a maximum of </w:t>
      </w:r>
      <m:oMath>
        <m:r>
          <w:rPr>
            <w:rFonts w:ascii="Cambria Math" w:hAnsi="Cambria Math"/>
          </w:rPr>
          <m:t>10</m:t>
        </m:r>
        <m:r>
          <m:rPr>
            <m:sty m:val="p"/>
          </m:rPr>
          <w:rPr>
            <w:rFonts w:ascii="Cambria Math" w:hAnsi="Cambria Math"/>
          </w:rPr>
          <m:t>%</m:t>
        </m:r>
      </m:oMath>
      <w:r>
        <w:t xml:space="preserve"> in isolated observations), so its inclusion does not distort the substantive components.</w:t>
      </w:r>
    </w:p>
    <w:p w14:paraId="41FC5DCF" w14:textId="77777777" w:rsidR="001300E2" w:rsidRDefault="00000000">
      <w:r>
        <w:pict w14:anchorId="13BB69E8">
          <v:rect id="_x0000_i1028" style="width:0;height:1.5pt" o:hralign="center" o:hrstd="t" o:hr="t"/>
        </w:pict>
      </w:r>
    </w:p>
    <w:p w14:paraId="09A7AE30" w14:textId="77777777" w:rsidR="001300E2" w:rsidRDefault="00000000">
      <w:pPr>
        <w:pStyle w:val="Ttulo2"/>
      </w:pPr>
      <w:bookmarkStart w:id="13" w:name="Xe8e39cfe30d2ec58b172598973162c6e97dda08"/>
      <w:bookmarkEnd w:id="8"/>
      <w:bookmarkEnd w:id="12"/>
      <w:r>
        <w:t>4. Construction of the Ownership Landscape (OL)</w:t>
      </w:r>
    </w:p>
    <w:p w14:paraId="00D20EB4" w14:textId="77777777" w:rsidR="001300E2" w:rsidRDefault="00000000">
      <w:pPr>
        <w:pStyle w:val="FirstParagraph"/>
      </w:pPr>
      <w:r>
        <w:t xml:space="preserve">The step from individual club classification to the aggregate scale of the league is performed by calculating </w:t>
      </w:r>
      <w:r>
        <w:rPr>
          <w:b/>
          <w:bCs/>
        </w:rPr>
        <w:t>compositional proportions</w:t>
      </w:r>
      <w:r>
        <w:t>.</w:t>
      </w:r>
    </w:p>
    <w:p w14:paraId="158AC9C3" w14:textId="77777777" w:rsidR="001300E2" w:rsidRDefault="00000000">
      <w:pPr>
        <w:pStyle w:val="Textoindependiente"/>
      </w:pPr>
      <w:r>
        <w:t xml:space="preserve">For each ownership model </w:t>
      </w:r>
      <m:oMath>
        <m:r>
          <w:rPr>
            <w:rFonts w:ascii="Cambria Math" w:hAnsi="Cambria Math"/>
          </w:rPr>
          <m:t>i</m:t>
        </m:r>
      </m:oMath>
      <w:r>
        <w:t xml:space="preserv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league </w:t>
      </w:r>
      <m:oMath>
        <m:r>
          <w:rPr>
            <w:rFonts w:ascii="Cambria Math" w:hAnsi="Cambria Math"/>
          </w:rPr>
          <m:t>l</m:t>
        </m:r>
      </m:oMath>
      <w:r>
        <w:t xml:space="preserve">, and season </w:t>
      </w:r>
      <m:oMath>
        <m:r>
          <w:rPr>
            <w:rFonts w:ascii="Cambria Math" w:hAnsi="Cambria Math"/>
          </w:rPr>
          <m:t>t</m:t>
        </m:r>
      </m:oMath>
      <w:r>
        <w:t xml:space="preserve">, its representation proportion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oMath>
      <w:r>
        <w:t xml:space="preserve"> is calculated:</w:t>
      </w:r>
    </w:p>
    <w:p w14:paraId="086B046D" w14:textId="77777777" w:rsidR="001300E2"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rac</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t</m:t>
              </m:r>
            </m:sub>
          </m:sSub>
        </m:oMath>
      </m:oMathPara>
    </w:p>
    <w:p w14:paraId="746988B1" w14:textId="77777777" w:rsidR="00216E9B" w:rsidRDefault="00000000">
      <w:pPr>
        <w:pStyle w:val="FirstParagraph"/>
      </w:pPr>
      <w:r>
        <w:t xml:space="preserve">Where: </w:t>
      </w:r>
    </w:p>
    <w:p w14:paraId="6314D868" w14:textId="77777777" w:rsidR="00216E9B" w:rsidRDefault="00000000" w:rsidP="00216E9B">
      <w:pPr>
        <w:pStyle w:val="FirstParagraph"/>
        <w:numPr>
          <w:ilvl w:val="0"/>
          <w:numId w:val="19"/>
        </w:numPr>
      </w:pP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oMath>
      <w:r>
        <w:t xml:space="preserve"> is the number of clubs in the first division of league </w:t>
      </w:r>
      <m:oMath>
        <m:r>
          <w:rPr>
            <w:rFonts w:ascii="Cambria Math" w:hAnsi="Cambria Math"/>
          </w:rPr>
          <m:t>l</m:t>
        </m:r>
      </m:oMath>
      <w:r>
        <w:t xml:space="preserve"> during season </w:t>
      </w:r>
      <m:oMath>
        <m:r>
          <w:rPr>
            <w:rFonts w:ascii="Cambria Math" w:hAnsi="Cambria Math"/>
          </w:rPr>
          <m:t>t</m:t>
        </m:r>
      </m:oMath>
      <w:r>
        <w:t xml:space="preserve"> classified under ownership model </w:t>
      </w:r>
      <m:oMath>
        <m:r>
          <w:rPr>
            <w:rFonts w:ascii="Cambria Math" w:hAnsi="Cambria Math"/>
          </w:rPr>
          <m:t>i</m:t>
        </m:r>
      </m:oMath>
      <w:r>
        <w:t xml:space="preserve">. </w:t>
      </w:r>
    </w:p>
    <w:p w14:paraId="0C958CA0" w14:textId="316DF9CC" w:rsidR="001300E2" w:rsidRDefault="00000000" w:rsidP="00216E9B">
      <w:pPr>
        <w:pStyle w:val="FirstParagraph"/>
        <w:numPr>
          <w:ilvl w:val="0"/>
          <w:numId w:val="19"/>
        </w:numPr>
      </w:pPr>
      <m:oMath>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t</m:t>
            </m:r>
          </m:sub>
        </m:sSub>
      </m:oMath>
      <w:r>
        <w:t xml:space="preserve"> is the total number of active clubs analyzed in that league-season.</w:t>
      </w:r>
    </w:p>
    <w:p w14:paraId="604088BD" w14:textId="4AD7349B" w:rsidR="001300E2" w:rsidRDefault="00000000">
      <w:pPr>
        <w:pStyle w:val="Textoindependiente"/>
      </w:pPr>
      <w:r>
        <w:t xml:space="preserve">The resulting matrix </w:t>
      </w:r>
      <m:oMath>
        <m:r>
          <m:rPr>
            <m:sty m:val="b"/>
          </m:rPr>
          <w:rPr>
            <w:rFonts w:ascii="Cambria Math" w:hAnsi="Cambria Math"/>
          </w:rPr>
          <m:t>P</m:t>
        </m:r>
      </m:oMath>
      <w:r>
        <w:t xml:space="preserve"> of dimensions </w:t>
      </w:r>
      <m:oMath>
        <m:r>
          <w:rPr>
            <w:rFonts w:ascii="Cambria Math" w:hAnsi="Cambria Math"/>
          </w:rPr>
          <m:t>30</m:t>
        </m:r>
        <m:r>
          <m:rPr>
            <m:sty m:val="p"/>
          </m:rPr>
          <w:rPr>
            <w:rFonts w:ascii="Cambria Math" w:hAnsi="Cambria Math"/>
          </w:rPr>
          <m:t>×</m:t>
        </m:r>
        <m:r>
          <w:rPr>
            <w:rFonts w:ascii="Cambria Math" w:hAnsi="Cambria Math"/>
          </w:rPr>
          <m:t>8</m:t>
        </m:r>
      </m:oMath>
      <w:r>
        <w:t xml:space="preserve"> (or </w:t>
      </w:r>
      <m:oMath>
        <m:r>
          <w:rPr>
            <w:rFonts w:ascii="Cambria Math" w:hAnsi="Cambria Math"/>
          </w:rPr>
          <m:t>30</m:t>
        </m:r>
        <m:r>
          <m:rPr>
            <m:sty m:val="p"/>
          </m:rPr>
          <w:rPr>
            <w:rFonts w:ascii="Cambria Math" w:hAnsi="Cambria Math"/>
          </w:rPr>
          <m:t>×</m:t>
        </m:r>
        <m:r>
          <w:rPr>
            <w:rFonts w:ascii="Cambria Math" w:hAnsi="Cambria Math"/>
          </w:rPr>
          <m:t>7</m:t>
        </m:r>
      </m:oMath>
      <w:r>
        <w:t xml:space="preserve"> if </w:t>
      </w:r>
      <w:r>
        <w:rPr>
          <w:i/>
          <w:iCs/>
        </w:rPr>
        <w:t>unknown</w:t>
      </w:r>
      <w:r>
        <w:t xml:space="preserve"> is excluded) completely and continuously describes the composition of each Ownership Landscape. The rows correspond to league-season observations and the columns to the proportions of the ownership models, satisfying the unit-sum constraint:</w:t>
      </w:r>
    </w:p>
    <w:p w14:paraId="26CA9C1B" w14:textId="77777777" w:rsidR="001300E2" w:rsidRDefault="00000000">
      <w:pPr>
        <w:pStyle w:val="Textoindependiente"/>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nary>
          <m:r>
            <m:rPr>
              <m:sty m:val="p"/>
            </m:rPr>
            <w:rPr>
              <w:rFonts w:ascii="Cambria Math" w:hAnsi="Cambria Math"/>
            </w:rPr>
            <m:t>=</m:t>
          </m:r>
          <m:r>
            <w:rPr>
              <w:rFonts w:ascii="Cambria Math" w:hAnsi="Cambria Math"/>
            </w:rPr>
            <m:t>1.0</m:t>
          </m:r>
        </m:oMath>
      </m:oMathPara>
    </w:p>
    <w:p w14:paraId="45D38715" w14:textId="77777777" w:rsidR="001300E2" w:rsidRDefault="00000000">
      <w:pPr>
        <w:pStyle w:val="Ttulo3"/>
      </w:pPr>
      <w:bookmarkStart w:id="14" w:name="X8fd52e16956d3f4cc58545947b8fd04b767e9b8"/>
      <w:r>
        <w:t>Methodological Distinction of the Indicators</w:t>
      </w:r>
    </w:p>
    <w:p w14:paraId="6CDEF840" w14:textId="77777777" w:rsidR="00216E9B" w:rsidRDefault="00000000">
      <w:pPr>
        <w:pStyle w:val="FirstParagraph"/>
      </w:pPr>
      <w:r>
        <w:t xml:space="preserve">It is essential to highlight the difference in the treatment of the information in matrix </w:t>
      </w:r>
      <m:oMath>
        <m:r>
          <m:rPr>
            <m:sty m:val="b"/>
          </m:rPr>
          <w:rPr>
            <w:rFonts w:ascii="Cambria Math" w:hAnsi="Cambria Math"/>
          </w:rPr>
          <m:t>P</m:t>
        </m:r>
      </m:oMath>
      <w:r>
        <w:t xml:space="preserve">: </w:t>
      </w:r>
    </w:p>
    <w:p w14:paraId="7A70F050" w14:textId="77777777" w:rsidR="00216E9B" w:rsidRDefault="00000000" w:rsidP="00216E9B">
      <w:pPr>
        <w:pStyle w:val="FirstParagraph"/>
        <w:numPr>
          <w:ilvl w:val="0"/>
          <w:numId w:val="20"/>
        </w:numPr>
      </w:pPr>
      <w:r>
        <w:rPr>
          <w:b/>
          <w:bCs/>
        </w:rPr>
        <w:t>Shannon and HHI</w:t>
      </w:r>
      <w:r>
        <w:t xml:space="preserve"> are one-dimensional summary measures. They collapse the distribution of proportions into a single scalar indicator, losing information about </w:t>
      </w:r>
      <w:r>
        <w:rPr>
          <w:i/>
          <w:iCs/>
        </w:rPr>
        <w:t>which</w:t>
      </w:r>
      <w:r>
        <w:t xml:space="preserve"> specific models generate that diversity or concentration. </w:t>
      </w:r>
    </w:p>
    <w:p w14:paraId="5EF21136" w14:textId="1AA3012E" w:rsidR="001300E2" w:rsidRDefault="00000000" w:rsidP="00216E9B">
      <w:pPr>
        <w:pStyle w:val="FirstParagraph"/>
        <w:numPr>
          <w:ilvl w:val="0"/>
          <w:numId w:val="20"/>
        </w:numPr>
      </w:pPr>
      <w:r>
        <w:rPr>
          <w:b/>
          <w:bCs/>
        </w:rPr>
        <w:t>PCA</w:t>
      </w:r>
      <w:r>
        <w:t xml:space="preserve"> preserves the configurational and multidimensional nature of the data. It does not reduce the landscape to a single balance figure, but rather projects the similarities and differences between specific combinations of ownership models, allowing the identification of clusters and specific evolutionary trajectories.</w:t>
      </w:r>
    </w:p>
    <w:p w14:paraId="078B23A1" w14:textId="77777777" w:rsidR="001300E2" w:rsidRDefault="00000000">
      <w:pPr>
        <w:pStyle w:val="Ttulo3"/>
      </w:pPr>
      <w:bookmarkStart w:id="15" w:name="X768c55128236be47068bafed8ac21b42d5cdfac"/>
      <w:bookmarkEnd w:id="14"/>
      <w:r>
        <w:t>Ownership Profile Structure (Composition Example)</w:t>
      </w:r>
    </w:p>
    <w:p w14:paraId="7FE29740" w14:textId="77777777" w:rsidR="001300E2" w:rsidRDefault="00000000">
      <w:pPr>
        <w:pStyle w:val="FirstParagraph"/>
      </w:pPr>
      <w:r>
        <w:t xml:space="preserve">As a graphical representation of the composition of matrix </w:t>
      </w:r>
      <m:oMath>
        <m:r>
          <m:rPr>
            <m:sty m:val="b"/>
          </m:rPr>
          <w:rPr>
            <w:rFonts w:ascii="Cambria Math" w:hAnsi="Cambria Math"/>
          </w:rPr>
          <m:t>P</m:t>
        </m:r>
      </m:oMath>
      <w:r>
        <w:t>, the following figure shows the structural composition of the Ownership Landscape of the five analyzed leagues at the close of the 2024 reference season:</w:t>
      </w:r>
    </w:p>
    <w:p w14:paraId="32D16232" w14:textId="77777777" w:rsidR="001300E2" w:rsidRDefault="00000000">
      <w:pPr>
        <w:pStyle w:val="CaptionedFigure"/>
      </w:pPr>
      <w:r>
        <w:rPr>
          <w:noProof/>
        </w:rPr>
        <w:drawing>
          <wp:inline distT="0" distB="0" distL="0" distR="0" wp14:anchorId="17DAA2AE" wp14:editId="399FA5EF">
            <wp:extent cx="5334000" cy="3097161"/>
            <wp:effectExtent l="0" t="0" r="0" b="0"/>
            <wp:docPr id="34" name="Picture" descr="Configurational Structure of the Ownership Landscape by League (2024 Season)"/>
            <wp:cNvGraphicFramePr/>
            <a:graphic xmlns:a="http://schemas.openxmlformats.org/drawingml/2006/main">
              <a:graphicData uri="http://schemas.openxmlformats.org/drawingml/2006/picture">
                <pic:pic xmlns:pic="http://schemas.openxmlformats.org/drawingml/2006/picture">
                  <pic:nvPicPr>
                    <pic:cNvPr id="35" name="Picture" descr="../images/ownership_profiles_2024.png"/>
                    <pic:cNvPicPr>
                      <a:picLocks noChangeAspect="1" noChangeArrowheads="1"/>
                    </pic:cNvPicPr>
                  </pic:nvPicPr>
                  <pic:blipFill>
                    <a:blip r:embed="rId5"/>
                    <a:stretch>
                      <a:fillRect/>
                    </a:stretch>
                  </pic:blipFill>
                  <pic:spPr bwMode="auto">
                    <a:xfrm>
                      <a:off x="0" y="0"/>
                      <a:ext cx="5334000" cy="3097161"/>
                    </a:xfrm>
                    <a:prstGeom prst="rect">
                      <a:avLst/>
                    </a:prstGeom>
                    <a:noFill/>
                    <a:ln w="9525">
                      <a:noFill/>
                      <a:headEnd/>
                      <a:tailEnd/>
                    </a:ln>
                  </pic:spPr>
                </pic:pic>
              </a:graphicData>
            </a:graphic>
          </wp:inline>
        </w:drawing>
      </w:r>
    </w:p>
    <w:p w14:paraId="25B0DA07" w14:textId="77777777" w:rsidR="001300E2" w:rsidRDefault="00000000">
      <w:pPr>
        <w:pStyle w:val="ImageCaption"/>
      </w:pPr>
      <w:r>
        <w:t>Configurational Structure of the Ownership Landscape by League (2024 Season)</w:t>
      </w:r>
    </w:p>
    <w:p w14:paraId="0CA90B6C" w14:textId="77777777" w:rsidR="001300E2" w:rsidRDefault="00000000">
      <w:pPr>
        <w:pStyle w:val="Ttulo3"/>
      </w:pPr>
      <w:bookmarkStart w:id="16" w:name="X161c5c3ee9d44386d02eefd483ec82bcca1169b"/>
      <w:bookmarkEnd w:id="15"/>
      <w:r>
        <w:lastRenderedPageBreak/>
        <w:t>Configurational Analysis of the Profiles (2024 Snapshot)</w:t>
      </w:r>
    </w:p>
    <w:p w14:paraId="23F385CE" w14:textId="77777777" w:rsidR="00216E9B" w:rsidRDefault="00000000">
      <w:pPr>
        <w:pStyle w:val="FirstParagraph"/>
      </w:pPr>
      <w:r>
        <w:t xml:space="preserve">The detailed composition of ownership at the close of the 2024-2025 season reveals three distinct structural configurations in European football: </w:t>
      </w:r>
    </w:p>
    <w:p w14:paraId="300C85D2" w14:textId="77777777" w:rsidR="00216E9B" w:rsidRDefault="00000000" w:rsidP="00216E9B">
      <w:pPr>
        <w:pStyle w:val="FirstParagraph"/>
        <w:numPr>
          <w:ilvl w:val="1"/>
          <w:numId w:val="2"/>
        </w:numPr>
      </w:pPr>
      <w:r>
        <w:rPr>
          <w:b/>
          <w:bCs/>
        </w:rPr>
        <w:t>The Traditional-Associative Model (Germany)</w:t>
      </w:r>
      <w:r>
        <w:t>: The Bundesliga exhibits exceptional structural homogeneity dominated by the democratic member-owned model (</w:t>
      </w:r>
      <w:r>
        <w:rPr>
          <w:rStyle w:val="VerbatimChar"/>
        </w:rPr>
        <w:t>member-owned</w:t>
      </w:r>
      <w:r>
        <w:t xml:space="preserve">, </w:t>
      </w:r>
      <m:oMath>
        <m:r>
          <w:rPr>
            <w:rFonts w:ascii="Cambria Math" w:hAnsi="Cambria Math"/>
          </w:rPr>
          <m:t>66.7</m:t>
        </m:r>
        <m:r>
          <m:rPr>
            <m:sty m:val="p"/>
          </m:rPr>
          <w:rPr>
            <w:rFonts w:ascii="Cambria Math" w:hAnsi="Cambria Math"/>
          </w:rPr>
          <m:t>%</m:t>
        </m:r>
      </m:oMath>
      <w:r>
        <w:t xml:space="preserve">), shielded by the “50+1” regulatory rule. It is the only setting where trans-national multi-club ownership and investment funds lack significant penetration. </w:t>
      </w:r>
    </w:p>
    <w:p w14:paraId="013D8ACF" w14:textId="77777777" w:rsidR="00216E9B" w:rsidRDefault="00000000" w:rsidP="00216E9B">
      <w:pPr>
        <w:pStyle w:val="FirstParagraph"/>
        <w:numPr>
          <w:ilvl w:val="1"/>
          <w:numId w:val="2"/>
        </w:numPr>
      </w:pPr>
      <w:r>
        <w:rPr>
          <w:b/>
          <w:bCs/>
        </w:rPr>
        <w:t>The Global and Financialized Ecosystem (England)</w:t>
      </w:r>
      <w:r>
        <w:t>: The Premier League represents the opposite extreme, with a massive penetration of corporate multi-club ownership (</w:t>
      </w:r>
      <w:r>
        <w:rPr>
          <w:rStyle w:val="VerbatimChar"/>
        </w:rPr>
        <w:t>corporate-MCO</w:t>
      </w:r>
      <w:r>
        <w:t xml:space="preserve">, </w:t>
      </w:r>
      <m:oMath>
        <m:r>
          <w:rPr>
            <w:rFonts w:ascii="Cambria Math" w:hAnsi="Cambria Math"/>
          </w:rPr>
          <m:t>30</m:t>
        </m:r>
        <m:r>
          <m:rPr>
            <m:sty m:val="p"/>
          </m:rPr>
          <w:rPr>
            <w:rFonts w:ascii="Cambria Math" w:hAnsi="Cambria Math"/>
          </w:rPr>
          <m:t>%</m:t>
        </m:r>
      </m:oMath>
      <w:r>
        <w:t>) and foreign private capital (</w:t>
      </w:r>
      <w:r>
        <w:rPr>
          <w:rStyle w:val="VerbatimChar"/>
        </w:rPr>
        <w:t>foreign private</w:t>
      </w:r>
      <w:r>
        <w:t xml:space="preserve">, </w:t>
      </w:r>
      <m:oMath>
        <m:r>
          <w:rPr>
            <w:rFonts w:ascii="Cambria Math" w:hAnsi="Cambria Math"/>
          </w:rPr>
          <m:t>25</m:t>
        </m:r>
        <m:r>
          <m:rPr>
            <m:sty m:val="p"/>
          </m:rPr>
          <w:rPr>
            <w:rFonts w:ascii="Cambria Math" w:hAnsi="Cambria Math"/>
          </w:rPr>
          <m:t>%</m:t>
        </m:r>
      </m:oMath>
      <w:r>
        <w:t xml:space="preserve">). The MCO rate reaches a record </w:t>
      </w:r>
      <m:oMath>
        <m:r>
          <w:rPr>
            <w:rFonts w:ascii="Cambria Math" w:hAnsi="Cambria Math"/>
          </w:rPr>
          <m:t>65.0</m:t>
        </m:r>
        <m:r>
          <m:rPr>
            <m:sty m:val="p"/>
          </m:rPr>
          <w:rPr>
            <w:rFonts w:ascii="Cambria Math" w:hAnsi="Cambria Math"/>
          </w:rPr>
          <m:t>%</m:t>
        </m:r>
      </m:oMath>
      <w:r>
        <w:t xml:space="preserve"> (13 out of 20 clubs), showcasing the colonization of the league by trans-national networks and venture capital vehicles. </w:t>
      </w:r>
    </w:p>
    <w:p w14:paraId="4C27EFA5" w14:textId="4D4F9615" w:rsidR="001300E2" w:rsidRDefault="00000000" w:rsidP="00216E9B">
      <w:pPr>
        <w:pStyle w:val="FirstParagraph"/>
        <w:numPr>
          <w:ilvl w:val="1"/>
          <w:numId w:val="2"/>
        </w:numPr>
      </w:pPr>
      <w:r>
        <w:rPr>
          <w:b/>
          <w:bCs/>
        </w:rPr>
        <w:t>Hybrid and Transition Landscapes (Spain, Italy, and France)</w:t>
      </w:r>
      <w:r>
        <w:t>: Spanish LaLiga shows a balanced coexistence of logics where democratic clubs (</w:t>
      </w:r>
      <m:oMath>
        <m:r>
          <w:rPr>
            <w:rFonts w:ascii="Cambria Math" w:hAnsi="Cambria Math"/>
          </w:rPr>
          <m:t>20</m:t>
        </m:r>
        <m:r>
          <m:rPr>
            <m:sty m:val="p"/>
          </m:rPr>
          <w:rPr>
            <w:rFonts w:ascii="Cambria Math" w:hAnsi="Cambria Math"/>
          </w:rPr>
          <m:t>%</m:t>
        </m:r>
      </m:oMath>
      <w:r>
        <w:t>), domestic private ownership (</w:t>
      </w:r>
      <m:oMath>
        <m:r>
          <w:rPr>
            <w:rFonts w:ascii="Cambria Math" w:hAnsi="Cambria Math"/>
          </w:rPr>
          <m:t>25</m:t>
        </m:r>
        <m:r>
          <m:rPr>
            <m:sty m:val="p"/>
          </m:rPr>
          <w:rPr>
            <w:rFonts w:ascii="Cambria Math" w:hAnsi="Cambria Math"/>
          </w:rPr>
          <m:t>%</m:t>
        </m:r>
      </m:oMath>
      <w:r>
        <w:t>), foreign capital (</w:t>
      </w:r>
      <m:oMath>
        <m:r>
          <w:rPr>
            <w:rFonts w:ascii="Cambria Math" w:hAnsi="Cambria Math"/>
          </w:rPr>
          <m:t>15</m:t>
        </m:r>
        <m:r>
          <m:rPr>
            <m:sty m:val="p"/>
          </m:rPr>
          <w:rPr>
            <w:rFonts w:ascii="Cambria Math" w:hAnsi="Cambria Math"/>
          </w:rPr>
          <m:t>%</m:t>
        </m:r>
      </m:oMath>
      <w:r>
        <w:t>), and hybrid models (</w:t>
      </w:r>
      <m:oMath>
        <m:r>
          <w:rPr>
            <w:rFonts w:ascii="Cambria Math" w:hAnsi="Cambria Math"/>
          </w:rPr>
          <m:t>15</m:t>
        </m:r>
        <m:r>
          <m:rPr>
            <m:sty m:val="p"/>
          </m:rPr>
          <w:rPr>
            <w:rFonts w:ascii="Cambria Math" w:hAnsi="Cambria Math"/>
          </w:rPr>
          <m:t>%</m:t>
        </m:r>
      </m:oMath>
      <w:r>
        <w:t>) coexist. Meanwhile, Italian Serie A and French Ligue 1 show extreme fragmentation marked by the progressive retreat of traditional local families in the face of the entry of investment funds (</w:t>
      </w:r>
      <w:r>
        <w:rPr>
          <w:rStyle w:val="VerbatimChar"/>
        </w:rPr>
        <w:t>investment fund</w:t>
      </w:r>
      <w:r>
        <w:t>, such as at AC Milan or Inter) and MCO networks.</w:t>
      </w:r>
    </w:p>
    <w:p w14:paraId="33217CBC" w14:textId="77777777" w:rsidR="001300E2" w:rsidRDefault="00000000">
      <w:r>
        <w:pict w14:anchorId="3CAD888F">
          <v:rect id="_x0000_i1029" style="width:0;height:1.5pt" o:hralign="center" o:hrstd="t" o:hr="t"/>
        </w:pict>
      </w:r>
    </w:p>
    <w:p w14:paraId="26BB1270" w14:textId="77777777" w:rsidR="001300E2" w:rsidRDefault="00000000">
      <w:pPr>
        <w:pStyle w:val="Ttulo2"/>
      </w:pPr>
      <w:bookmarkStart w:id="17" w:name="X4122e21d93bf03d5cfff07ac67c793a366f0295"/>
      <w:bookmarkEnd w:id="13"/>
      <w:bookmarkEnd w:id="16"/>
      <w:r>
        <w:t>5. Shannon Entropy and Herfindahl-Hirschman Index (HHI)</w:t>
      </w:r>
    </w:p>
    <w:p w14:paraId="71BF19DE" w14:textId="77777777" w:rsidR="001300E2" w:rsidRDefault="00000000">
      <w:pPr>
        <w:pStyle w:val="FirstParagraph"/>
      </w:pPr>
      <w:r>
        <w:t xml:space="preserve">We present diversity and concentration as </w:t>
      </w:r>
      <w:r>
        <w:rPr>
          <w:b/>
          <w:bCs/>
        </w:rPr>
        <w:t>complementary but analytically distinct</w:t>
      </w:r>
      <w:r>
        <w:t xml:space="preserve"> dimensions.</w:t>
      </w:r>
    </w:p>
    <w:p w14:paraId="4B5048EB" w14:textId="77777777" w:rsidR="001300E2" w:rsidRDefault="00000000">
      <w:pPr>
        <w:pStyle w:val="Ttulo3"/>
      </w:pPr>
      <w:bookmarkStart w:id="18" w:name="shannon-entropy"/>
      <w:r>
        <w:t>Shannon Entropy</w:t>
      </w:r>
    </w:p>
    <w:p w14:paraId="620A2F2B" w14:textId="77777777" w:rsidR="001300E2" w:rsidRDefault="00000000">
      <w:pPr>
        <w:pStyle w:val="FirstParagraph"/>
      </w:pPr>
      <w:r>
        <w:t>To measure the variety of ownership models and the degree of balance in their distribution within the league-season, the Shannon Entropy (</w:t>
      </w:r>
      <m:oMath>
        <m:sSub>
          <m:sSubPr>
            <m:ctrlPr>
              <w:rPr>
                <w:rFonts w:ascii="Cambria Math" w:hAnsi="Cambria Math"/>
              </w:rPr>
            </m:ctrlPr>
          </m:sSubPr>
          <m:e>
            <m:r>
              <w:rPr>
                <w:rFonts w:ascii="Cambria Math" w:hAnsi="Cambria Math"/>
              </w:rPr>
              <m:t>H</m:t>
            </m:r>
          </m:e>
          <m:sub>
            <m:r>
              <w:rPr>
                <w:rFonts w:ascii="Cambria Math" w:hAnsi="Cambria Math"/>
              </w:rPr>
              <m:t>l</m:t>
            </m:r>
            <m:r>
              <m:rPr>
                <m:sty m:val="p"/>
              </m:rPr>
              <w:rPr>
                <w:rFonts w:ascii="Cambria Math" w:hAnsi="Cambria Math"/>
              </w:rPr>
              <m:t>,</m:t>
            </m:r>
            <m:r>
              <w:rPr>
                <w:rFonts w:ascii="Cambria Math" w:hAnsi="Cambria Math"/>
              </w:rPr>
              <m:t>t</m:t>
            </m:r>
          </m:sub>
        </m:sSub>
      </m:oMath>
      <w:r>
        <w:t>) is calculated, based on mathematical information theory (Shannon, 1948) and its subsequent conceptual adaptation to characterize diversity in ecological and social systems (Jost, 2006):</w:t>
      </w:r>
    </w:p>
    <w:p w14:paraId="3BC06F9F" w14:textId="77777777" w:rsidR="001300E2"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oMath>
      </m:oMathPara>
    </w:p>
    <w:p w14:paraId="6CA6BDC8" w14:textId="77777777" w:rsidR="00216E9B" w:rsidRDefault="00000000">
      <w:pPr>
        <w:pStyle w:val="FirstParagraph"/>
      </w:pPr>
      <w:r>
        <w:rPr>
          <w:i/>
          <w:iCs/>
        </w:rPr>
        <w:t xml:space="preserve">Where by definition </w:t>
      </w:r>
      <m:oMath>
        <m:r>
          <w:rPr>
            <w:rFonts w:ascii="Cambria Math" w:hAnsi="Cambria Math"/>
          </w:rPr>
          <m:t>0</m:t>
        </m:r>
        <m:r>
          <m:rPr>
            <m:sty m:val="p"/>
          </m:rPr>
          <w:rPr>
            <w:rFonts w:ascii="Cambria Math" w:hAnsi="Cambria Math"/>
          </w:rPr>
          <m:t>ln</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rPr>
          <w:i/>
          <w:iCs/>
        </w:rPr>
        <w:t>.</w:t>
      </w:r>
      <w:r>
        <w:t xml:space="preserve"> </w:t>
      </w:r>
    </w:p>
    <w:p w14:paraId="6086E8EC" w14:textId="3B815BAD" w:rsidR="001300E2" w:rsidRDefault="00000000">
      <w:pPr>
        <w:pStyle w:val="FirstParagraph"/>
      </w:pPr>
      <w:r>
        <w:lastRenderedPageBreak/>
        <w:t>The Shannon Entropy (</w:t>
      </w:r>
      <m:oMath>
        <m:sSub>
          <m:sSubPr>
            <m:ctrlPr>
              <w:rPr>
                <w:rFonts w:ascii="Cambria Math" w:hAnsi="Cambria Math"/>
              </w:rPr>
            </m:ctrlPr>
          </m:sSubPr>
          <m:e>
            <m:r>
              <w:rPr>
                <w:rFonts w:ascii="Cambria Math" w:hAnsi="Cambria Math"/>
              </w:rPr>
              <m:t>H</m:t>
            </m:r>
          </m:e>
          <m:sub>
            <m:r>
              <w:rPr>
                <w:rFonts w:ascii="Cambria Math" w:hAnsi="Cambria Math"/>
              </w:rPr>
              <m:t>l</m:t>
            </m:r>
            <m:r>
              <m:rPr>
                <m:sty m:val="p"/>
              </m:rPr>
              <w:rPr>
                <w:rFonts w:ascii="Cambria Math" w:hAnsi="Cambria Math"/>
              </w:rPr>
              <m:t>,</m:t>
            </m:r>
            <m:r>
              <w:rPr>
                <w:rFonts w:ascii="Cambria Math" w:hAnsi="Cambria Math"/>
              </w:rPr>
              <m:t>t</m:t>
            </m:r>
          </m:sub>
        </m:sSub>
      </m:oMath>
      <w:r>
        <w:t xml:space="preserve">) takes values in the interval </w:t>
      </w:r>
      <m:oMath>
        <m:d>
          <m:dPr>
            <m:begChr m:val="["/>
            <m:endChr m:val="]"/>
            <m:ctrlPr>
              <w:rPr>
                <w:rFonts w:ascii="Cambria Math" w:hAnsi="Cambria Math"/>
              </w:rPr>
            </m:ctrlPr>
          </m:dPr>
          <m:e>
            <m:r>
              <w:rPr>
                <w:rFonts w:ascii="Cambria Math" w:hAnsi="Cambria Math"/>
              </w:rPr>
              <m:t>0</m:t>
            </m:r>
            <m:r>
              <m:rPr>
                <m:sty m:val="p"/>
              </m:rPr>
              <w:rPr>
                <w:rFonts w:ascii="Cambria Math" w:hAnsi="Cambria Math"/>
              </w:rPr>
              <m:t>,ln</m:t>
            </m:r>
            <m:d>
              <m:dPr>
                <m:ctrlPr>
                  <w:rPr>
                    <w:rFonts w:ascii="Cambria Math" w:hAnsi="Cambria Math"/>
                  </w:rPr>
                </m:ctrlPr>
              </m:dPr>
              <m:e>
                <m:r>
                  <w:rPr>
                    <w:rFonts w:ascii="Cambria Math" w:hAnsi="Cambria Math"/>
                  </w:rPr>
                  <m:t>K</m:t>
                </m:r>
              </m:e>
            </m:d>
          </m:e>
        </m:d>
      </m:oMath>
      <w:r>
        <w:t xml:space="preserve">, where </w:t>
      </w:r>
      <m:oMath>
        <m:r>
          <w:rPr>
            <w:rFonts w:ascii="Cambria Math" w:hAnsi="Cambria Math"/>
          </w:rPr>
          <m:t>K</m:t>
        </m:r>
      </m:oMath>
      <w:r>
        <w:t xml:space="preserve"> is the maximum number of possible ownership categories (</w:t>
      </w:r>
      <m:oMath>
        <m:r>
          <w:rPr>
            <w:rFonts w:ascii="Cambria Math" w:hAnsi="Cambria Math"/>
          </w:rPr>
          <m:t>K</m:t>
        </m:r>
        <m:r>
          <m:rPr>
            <m:sty m:val="p"/>
          </m:rPr>
          <w:rPr>
            <w:rFonts w:ascii="Cambria Math" w:hAnsi="Cambria Math"/>
          </w:rPr>
          <m:t>=</m:t>
        </m:r>
        <m:r>
          <w:rPr>
            <w:rFonts w:ascii="Cambria Math" w:hAnsi="Cambria Math"/>
          </w:rPr>
          <m:t>7</m:t>
        </m:r>
      </m:oMath>
      <w:r>
        <w:t xml:space="preserve"> substantive models in our analysis). A value of </w:t>
      </w:r>
      <m:oMath>
        <m:r>
          <w:rPr>
            <w:rFonts w:ascii="Cambria Math" w:hAnsi="Cambria Math"/>
          </w:rPr>
          <m:t>0</m:t>
        </m:r>
      </m:oMath>
      <w:r>
        <w:t xml:space="preserve"> represents absolute homogeneity (the entire league under a single ownership model) and the maximum value of </w:t>
      </w:r>
      <m:oMath>
        <m:r>
          <m:rPr>
            <m:sty m:val="p"/>
          </m:rPr>
          <w:rPr>
            <w:rFonts w:ascii="Cambria Math" w:hAnsi="Cambria Math"/>
          </w:rPr>
          <m:t>ln</m:t>
        </m:r>
        <m:d>
          <m:dPr>
            <m:ctrlPr>
              <w:rPr>
                <w:rFonts w:ascii="Cambria Math" w:hAnsi="Cambria Math"/>
              </w:rPr>
            </m:ctrlPr>
          </m:dPr>
          <m:e>
            <m:r>
              <w:rPr>
                <w:rFonts w:ascii="Cambria Math" w:hAnsi="Cambria Math"/>
              </w:rPr>
              <m:t>K</m:t>
            </m:r>
          </m:e>
        </m:d>
      </m:oMath>
      <w:r>
        <w:t xml:space="preserve"> represents perfect balance (an identical distribution of clubs among all ownership categories). Since the catalog of categories is constant for all observations in the panel, the indicator is directly comparable across leagues.</w:t>
      </w:r>
    </w:p>
    <w:p w14:paraId="32A28E7C" w14:textId="77777777" w:rsidR="001300E2" w:rsidRDefault="00000000">
      <w:pPr>
        <w:pStyle w:val="Ttulo3"/>
      </w:pPr>
      <w:bookmarkStart w:id="19" w:name="herfindahl-hirschman-index-hhi"/>
      <w:bookmarkEnd w:id="18"/>
      <w:r>
        <w:t>Herfindahl-Hirschman Index (HHI)</w:t>
      </w:r>
    </w:p>
    <w:p w14:paraId="21410257" w14:textId="77777777" w:rsidR="001300E2" w:rsidRDefault="00000000">
      <w:pPr>
        <w:pStyle w:val="FirstParagraph"/>
      </w:pPr>
      <w:r>
        <w:t>To measure the dominance of one or a few categories over the total of the league-season, the Herfindahl-Hirschman Index (</w:t>
      </w:r>
      <m:oMath>
        <m:r>
          <w:rPr>
            <w:rFonts w:ascii="Cambria Math" w:hAnsi="Cambria Math"/>
          </w:rPr>
          <m:t>HH</m:t>
        </m:r>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t</m:t>
            </m:r>
          </m:sub>
        </m:sSub>
      </m:oMath>
      <w:r>
        <w:t>) is calculated, which constitutes the classical standard for evaluating market concentration and assessing the degree of competition sector (U.S. DOJ &amp; FTC, 2023):</w:t>
      </w:r>
    </w:p>
    <w:p w14:paraId="56038E88" w14:textId="77777777" w:rsidR="001300E2" w:rsidRDefault="00000000">
      <w:pPr>
        <w:pStyle w:val="Textoindependiente"/>
      </w:pPr>
      <m:oMathPara>
        <m:oMathParaPr>
          <m:jc m:val="center"/>
        </m:oMathParaPr>
        <m:oMath>
          <m:r>
            <w:rPr>
              <w:rFonts w:ascii="Cambria Math" w:hAnsi="Cambria Math"/>
            </w:rPr>
            <m:t>HH</m:t>
          </m:r>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up>
                  <m:r>
                    <w:rPr>
                      <w:rFonts w:ascii="Cambria Math" w:hAnsi="Cambria Math"/>
                    </w:rPr>
                    <m:t>2</m:t>
                  </m:r>
                </m:sup>
              </m:sSubSup>
            </m:e>
          </m:nary>
        </m:oMath>
      </m:oMathPara>
    </w:p>
    <w:p w14:paraId="617FE9D2" w14:textId="77777777" w:rsidR="001300E2" w:rsidRDefault="00000000">
      <w:pPr>
        <w:pStyle w:val="FirstParagraph"/>
      </w:pPr>
      <w:r>
        <w:t xml:space="preserve">The HHI ranges in the interval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1.0</m:t>
            </m:r>
          </m:e>
        </m:d>
      </m:oMath>
      <w:r>
        <w:t>. A high HHI value denotes high concentration (one model clearly dominates), while low values indicate a fragmented landscape.</w:t>
      </w:r>
    </w:p>
    <w:p w14:paraId="033A0525" w14:textId="77777777" w:rsidR="001300E2" w:rsidRDefault="00000000">
      <w:pPr>
        <w:pStyle w:val="Ttulo3"/>
      </w:pPr>
      <w:bookmarkStart w:id="20" w:name="non-equivalent-relationship"/>
      <w:bookmarkEnd w:id="19"/>
      <w:r>
        <w:t>Non-Equivalent Relationship</w:t>
      </w:r>
    </w:p>
    <w:p w14:paraId="2E5C9E91" w14:textId="77777777" w:rsidR="00216E9B" w:rsidRDefault="00000000">
      <w:pPr>
        <w:pStyle w:val="FirstParagraph"/>
      </w:pPr>
      <w:r>
        <w:t xml:space="preserve">Although entropy and HHI strongly correlate in general terms, </w:t>
      </w:r>
      <w:r>
        <w:rPr>
          <w:b/>
          <w:bCs/>
        </w:rPr>
        <w:t>they are not interchangeable</w:t>
      </w:r>
      <w:r>
        <w:t xml:space="preserve">: </w:t>
      </w:r>
    </w:p>
    <w:p w14:paraId="6DC0CFD0" w14:textId="77777777" w:rsidR="00216E9B" w:rsidRDefault="00000000" w:rsidP="00216E9B">
      <w:pPr>
        <w:pStyle w:val="FirstParagraph"/>
        <w:numPr>
          <w:ilvl w:val="0"/>
          <w:numId w:val="22"/>
        </w:numPr>
      </w:pPr>
      <w:r>
        <w:rPr>
          <w:b/>
          <w:bCs/>
        </w:rPr>
        <w:t>Shannon Entropy</w:t>
      </w:r>
      <w:r>
        <w:t xml:space="preserve"> is more sensitive to the presence of minority categories and the overall evenness of the distribution (uniform distribution). </w:t>
      </w:r>
    </w:p>
    <w:p w14:paraId="63E40679" w14:textId="75E85990" w:rsidR="001300E2" w:rsidRDefault="00000000" w:rsidP="00216E9B">
      <w:pPr>
        <w:pStyle w:val="FirstParagraph"/>
        <w:numPr>
          <w:ilvl w:val="0"/>
          <w:numId w:val="22"/>
        </w:numPr>
      </w:pPr>
      <w:r>
        <w:rPr>
          <w:b/>
          <w:bCs/>
        </w:rPr>
        <w:t>HHI</w:t>
      </w:r>
      <w:r>
        <w:t xml:space="preserve"> penalizes deviations from balance quadratically, giving much more weight and importance to the dominant categories of the landscape. Therefore, the evolution of both indicators is not symmetrical in the face of changes in minority models, providing complementary information for structural analysis.</w:t>
      </w:r>
    </w:p>
    <w:p w14:paraId="3DD94C57" w14:textId="77777777" w:rsidR="001300E2" w:rsidRDefault="00000000">
      <w:pPr>
        <w:pStyle w:val="Ttulo3"/>
      </w:pPr>
      <w:bookmarkStart w:id="21" w:name="X555252fd63d0e99db7d46f3ece936ea7f3a3887"/>
      <w:bookmarkEnd w:id="20"/>
      <w:r>
        <w:t>Historical Trends in Diversity and Concentration Indices</w:t>
      </w:r>
    </w:p>
    <w:p w14:paraId="5452842A" w14:textId="77777777" w:rsidR="001300E2" w:rsidRDefault="00000000">
      <w:pPr>
        <w:pStyle w:val="FirstParagraph"/>
      </w:pPr>
      <w:r>
        <w:t>The evolution of these two one-dimensional indicators (</w:t>
      </w:r>
      <m:oMath>
        <m:sSub>
          <m:sSubPr>
            <m:ctrlPr>
              <w:rPr>
                <w:rFonts w:ascii="Cambria Math" w:hAnsi="Cambria Math"/>
              </w:rPr>
            </m:ctrlPr>
          </m:sSubPr>
          <m:e>
            <m:r>
              <w:rPr>
                <w:rFonts w:ascii="Cambria Math" w:hAnsi="Cambria Math"/>
              </w:rPr>
              <m:t>H</m:t>
            </m:r>
          </m:e>
          <m:sub>
            <m:r>
              <w:rPr>
                <w:rFonts w:ascii="Cambria Math" w:hAnsi="Cambria Math"/>
              </w:rPr>
              <m:t>l</m:t>
            </m:r>
            <m:r>
              <m:rPr>
                <m:sty m:val="p"/>
              </m:rPr>
              <w:rPr>
                <w:rFonts w:ascii="Cambria Math" w:hAnsi="Cambria Math"/>
              </w:rPr>
              <m:t>,</m:t>
            </m:r>
            <m:r>
              <w:rPr>
                <w:rFonts w:ascii="Cambria Math" w:hAnsi="Cambria Math"/>
              </w:rPr>
              <m:t>t</m:t>
            </m:r>
          </m:sub>
        </m:sSub>
      </m:oMath>
      <w:r>
        <w:t xml:space="preserve"> and </w:t>
      </w:r>
      <m:oMath>
        <m:r>
          <w:rPr>
            <w:rFonts w:ascii="Cambria Math" w:hAnsi="Cambria Math"/>
          </w:rPr>
          <m:t>HH</m:t>
        </m:r>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t</m:t>
            </m:r>
          </m:sub>
        </m:sSub>
      </m:oMath>
      <w:r>
        <w:t>), along with the multi-club ownership (MCO) rate, is visualized in the three panels below for the 2019-2024 temporal window:</w:t>
      </w:r>
    </w:p>
    <w:p w14:paraId="7CA521EF" w14:textId="77777777" w:rsidR="001300E2" w:rsidRDefault="00000000">
      <w:pPr>
        <w:pStyle w:val="CaptionedFigure"/>
      </w:pPr>
      <w:r>
        <w:rPr>
          <w:noProof/>
        </w:rPr>
        <w:lastRenderedPageBreak/>
        <w:drawing>
          <wp:inline distT="0" distB="0" distL="0" distR="0" wp14:anchorId="685C9B68" wp14:editId="43C2CD3B">
            <wp:extent cx="5334000" cy="1534460"/>
            <wp:effectExtent l="0" t="0" r="0" b="0"/>
            <wp:docPr id="43" name="Picture" descr="Evolution of Ownership Diversity, Concentration, and Multi-Club Ownership (2019-2024)"/>
            <wp:cNvGraphicFramePr/>
            <a:graphic xmlns:a="http://schemas.openxmlformats.org/drawingml/2006/main">
              <a:graphicData uri="http://schemas.openxmlformats.org/drawingml/2006/picture">
                <pic:pic xmlns:pic="http://schemas.openxmlformats.org/drawingml/2006/picture">
                  <pic:nvPicPr>
                    <pic:cNvPr id="44" name="Picture" descr="../images/temporal_indices.png"/>
                    <pic:cNvPicPr>
                      <a:picLocks noChangeAspect="1" noChangeArrowheads="1"/>
                    </pic:cNvPicPr>
                  </pic:nvPicPr>
                  <pic:blipFill>
                    <a:blip r:embed="rId6"/>
                    <a:stretch>
                      <a:fillRect/>
                    </a:stretch>
                  </pic:blipFill>
                  <pic:spPr bwMode="auto">
                    <a:xfrm>
                      <a:off x="0" y="0"/>
                      <a:ext cx="5334000" cy="1534460"/>
                    </a:xfrm>
                    <a:prstGeom prst="rect">
                      <a:avLst/>
                    </a:prstGeom>
                    <a:noFill/>
                    <a:ln w="9525">
                      <a:noFill/>
                      <a:headEnd/>
                      <a:tailEnd/>
                    </a:ln>
                  </pic:spPr>
                </pic:pic>
              </a:graphicData>
            </a:graphic>
          </wp:inline>
        </w:drawing>
      </w:r>
    </w:p>
    <w:p w14:paraId="6613D67E" w14:textId="77777777" w:rsidR="001300E2" w:rsidRDefault="00000000">
      <w:pPr>
        <w:pStyle w:val="ImageCaption"/>
      </w:pPr>
      <w:r>
        <w:t>Evolution of Ownership Diversity, Concentration, and Multi-Club Ownership (2019-2024)</w:t>
      </w:r>
    </w:p>
    <w:p w14:paraId="2218859A" w14:textId="77777777" w:rsidR="001300E2" w:rsidRDefault="00000000">
      <w:pPr>
        <w:pStyle w:val="Ttulo3"/>
      </w:pPr>
      <w:bookmarkStart w:id="22" w:name="Xc17ae2c357b15d7b91aeae8b5e2311a2f91230d"/>
      <w:bookmarkEnd w:id="21"/>
      <w:r>
        <w:t>Trajectories of Diversity and Concentration (2019-2024)</w:t>
      </w:r>
    </w:p>
    <w:p w14:paraId="380CE9F0" w14:textId="77777777" w:rsidR="00216E9B" w:rsidRDefault="00000000">
      <w:pPr>
        <w:pStyle w:val="FirstParagraph"/>
      </w:pPr>
      <w:r>
        <w:t>The longitudinal evolution of diversity (</w:t>
      </w:r>
      <m:oMath>
        <m:r>
          <w:rPr>
            <w:rFonts w:ascii="Cambria Math" w:hAnsi="Cambria Math"/>
          </w:rPr>
          <m:t>H</m:t>
        </m:r>
      </m:oMath>
      <w:r>
        <w:t>) and concentration (</w:t>
      </w:r>
      <m:oMath>
        <m:r>
          <w:rPr>
            <w:rFonts w:ascii="Cambria Math" w:hAnsi="Cambria Math"/>
          </w:rPr>
          <m:t>HHI</m:t>
        </m:r>
      </m:oMath>
      <w:r>
        <w:t xml:space="preserve">) metrics over the last six seasons confirms three dynamics of change: </w:t>
      </w:r>
    </w:p>
    <w:p w14:paraId="4DED60DE" w14:textId="77777777" w:rsidR="00216E9B" w:rsidRDefault="00000000" w:rsidP="00216E9B">
      <w:pPr>
        <w:pStyle w:val="FirstParagraph"/>
        <w:numPr>
          <w:ilvl w:val="0"/>
          <w:numId w:val="23"/>
        </w:numPr>
      </w:pPr>
      <w:r>
        <w:rPr>
          <w:b/>
          <w:bCs/>
        </w:rPr>
        <w:t>Indicator Symmetry (The Mathematical Mirror)</w:t>
      </w:r>
      <w:r>
        <w:t xml:space="preserve">: The longitudinal panels show perfectly inverted curves between Entropy and HHI. The Bundesliga remains motionless at the lower extreme of diversity (Entropy </w:t>
      </w:r>
      <m:oMath>
        <m:r>
          <m:rPr>
            <m:sty m:val="p"/>
          </m:rPr>
          <w:rPr>
            <w:rFonts w:ascii="Cambria Math" w:hAnsi="Cambria Math"/>
          </w:rPr>
          <m:t>≈</m:t>
        </m:r>
        <m:r>
          <w:rPr>
            <w:rFonts w:ascii="Cambria Math" w:hAnsi="Cambria Math"/>
          </w:rPr>
          <m:t>1.05</m:t>
        </m:r>
      </m:oMath>
      <w:r>
        <w:t xml:space="preserve">) and upper extreme of concentration (HHI </w:t>
      </w:r>
      <m:oMath>
        <m:r>
          <m:rPr>
            <m:sty m:val="p"/>
          </m:rPr>
          <w:rPr>
            <w:rFonts w:ascii="Cambria Math" w:hAnsi="Cambria Math"/>
          </w:rPr>
          <m:t>≈</m:t>
        </m:r>
        <m:r>
          <w:rPr>
            <w:rFonts w:ascii="Cambria Math" w:hAnsi="Cambria Math"/>
          </w:rPr>
          <m:t>0.48</m:t>
        </m:r>
      </m:oMath>
      <w:r>
        <w:t xml:space="preserve">), while LaLiga and the Premier League constantly lead the diversity index (Entropy </w:t>
      </w:r>
      <m:oMath>
        <m:r>
          <m:rPr>
            <m:sty m:val="p"/>
          </m:rPr>
          <w:rPr>
            <w:rFonts w:ascii="Cambria Math" w:hAnsi="Cambria Math"/>
          </w:rPr>
          <m:t>&gt;</m:t>
        </m:r>
        <m:r>
          <w:rPr>
            <w:rFonts w:ascii="Cambria Math" w:hAnsi="Cambria Math"/>
          </w:rPr>
          <m:t>1.70</m:t>
        </m:r>
      </m:oMath>
      <w:r>
        <w:t xml:space="preserve">, HHI </w:t>
      </w:r>
      <m:oMath>
        <m:r>
          <m:rPr>
            <m:sty m:val="p"/>
          </m:rPr>
          <w:rPr>
            <w:rFonts w:ascii="Cambria Math" w:hAnsi="Cambria Math"/>
          </w:rPr>
          <m:t>&lt;</m:t>
        </m:r>
        <m:r>
          <w:rPr>
            <w:rFonts w:ascii="Cambria Math" w:hAnsi="Cambria Math"/>
          </w:rPr>
          <m:t>0.19</m:t>
        </m:r>
      </m:oMath>
      <w:r>
        <w:t xml:space="preserve">). </w:t>
      </w:r>
    </w:p>
    <w:p w14:paraId="43423FB6" w14:textId="77777777" w:rsidR="00216E9B" w:rsidRDefault="00000000" w:rsidP="00216E9B">
      <w:pPr>
        <w:pStyle w:val="FirstParagraph"/>
        <w:numPr>
          <w:ilvl w:val="0"/>
          <w:numId w:val="23"/>
        </w:numPr>
      </w:pPr>
      <w:r>
        <w:rPr>
          <w:b/>
          <w:bCs/>
        </w:rPr>
        <w:t>Volatility in Serie A and Ligue 1</w:t>
      </w:r>
      <w:r>
        <w:t xml:space="preserve">: Both environments exhibit the largest annual oscillations. In Serie A, the sharp drop in entropy to a minimum of </w:t>
      </w:r>
      <m:oMath>
        <m:r>
          <w:rPr>
            <w:rFonts w:ascii="Cambria Math" w:hAnsi="Cambria Math"/>
          </w:rPr>
          <m:t>1.290</m:t>
        </m:r>
      </m:oMath>
      <w:r>
        <w:t xml:space="preserve"> in 2023 reflects the process of financial colonization of Italian football, where foreign investment funds and international consortia absorbed and concentrated control of historic clubs. </w:t>
      </w:r>
    </w:p>
    <w:p w14:paraId="21CA3904" w14:textId="4B20C56A" w:rsidR="001300E2" w:rsidRDefault="00000000" w:rsidP="00216E9B">
      <w:pPr>
        <w:pStyle w:val="FirstParagraph"/>
        <w:numPr>
          <w:ilvl w:val="0"/>
          <w:numId w:val="23"/>
        </w:numPr>
      </w:pPr>
      <w:r>
        <w:rPr>
          <w:b/>
          <w:bCs/>
        </w:rPr>
        <w:t>The Expansion of Multi-Club Ownership (MCO)</w:t>
      </w:r>
      <w:r>
        <w:t xml:space="preserve">: The MCO rate (right panel) is a global rising phenomenon. fluctuates at high levels (between </w:t>
      </w:r>
      <m:oMath>
        <m:r>
          <w:rPr>
            <w:rFonts w:ascii="Cambria Math" w:hAnsi="Cambria Math"/>
          </w:rPr>
          <m:t>60</m:t>
        </m:r>
        <m:r>
          <m:rPr>
            <m:sty m:val="p"/>
          </m:rPr>
          <w:rPr>
            <w:rFonts w:ascii="Cambria Math" w:hAnsi="Cambria Math"/>
          </w:rPr>
          <m:t>%</m:t>
        </m:r>
      </m:oMath>
      <w:r>
        <w:t xml:space="preserve"> and </w:t>
      </w:r>
      <m:oMath>
        <m:r>
          <w:rPr>
            <w:rFonts w:ascii="Cambria Math" w:hAnsi="Cambria Math"/>
          </w:rPr>
          <m:t>70</m:t>
        </m:r>
        <m:r>
          <m:rPr>
            <m:sty m:val="p"/>
          </m:rPr>
          <w:rPr>
            <w:rFonts w:ascii="Cambria Math" w:hAnsi="Cambria Math"/>
          </w:rPr>
          <m:t>%</m:t>
        </m:r>
      </m:oMath>
      <w:r>
        <w:t xml:space="preserve">) in the Premier League, ending at </w:t>
      </w:r>
      <m:oMath>
        <m:r>
          <w:rPr>
            <w:rFonts w:ascii="Cambria Math" w:hAnsi="Cambria Math"/>
          </w:rPr>
          <m:t>65</m:t>
        </m:r>
        <m:r>
          <m:rPr>
            <m:sty m:val="p"/>
          </m:rPr>
          <w:rPr>
            <w:rFonts w:ascii="Cambria Math" w:hAnsi="Cambria Math"/>
          </w:rPr>
          <m:t>%</m:t>
        </m:r>
      </m:oMath>
      <w:r>
        <w:t xml:space="preserve"> in 2024, reaches </w:t>
      </w:r>
      <m:oMath>
        <m:r>
          <w:rPr>
            <w:rFonts w:ascii="Cambria Math" w:hAnsi="Cambria Math"/>
          </w:rPr>
          <m:t>30</m:t>
        </m:r>
        <m:r>
          <m:rPr>
            <m:sty m:val="p"/>
          </m:rPr>
          <w:rPr>
            <w:rFonts w:ascii="Cambria Math" w:hAnsi="Cambria Math"/>
          </w:rPr>
          <m:t>%</m:t>
        </m:r>
      </m:oMath>
      <w:r>
        <w:t xml:space="preserve"> in Serie A, and </w:t>
      </w:r>
      <m:oMath>
        <m:r>
          <w:rPr>
            <w:rFonts w:ascii="Cambria Math" w:hAnsi="Cambria Math"/>
          </w:rPr>
          <m:t>27.8</m:t>
        </m:r>
        <m:r>
          <m:rPr>
            <m:sty m:val="p"/>
          </m:rPr>
          <w:rPr>
            <w:rFonts w:ascii="Cambria Math" w:hAnsi="Cambria Math"/>
          </w:rPr>
          <m:t>%</m:t>
        </m:r>
      </m:oMath>
      <w:r>
        <w:t xml:space="preserve"> in Ligue 1. The Bundesliga remains unchanged at its minimum level (</w:t>
      </w:r>
      <m:oMath>
        <m:r>
          <w:rPr>
            <w:rFonts w:ascii="Cambria Math" w:hAnsi="Cambria Math"/>
          </w:rPr>
          <m:t>5.6</m:t>
        </m:r>
        <m:r>
          <m:rPr>
            <m:sty m:val="p"/>
          </m:rPr>
          <w:rPr>
            <w:rFonts w:ascii="Cambria Math" w:hAnsi="Cambria Math"/>
          </w:rPr>
          <m:t>%</m:t>
        </m:r>
      </m:oMath>
      <w:r>
        <w:t>), acting as a regulatory anomaly on the continent.</w:t>
      </w:r>
    </w:p>
    <w:p w14:paraId="65FA20A6" w14:textId="77777777" w:rsidR="001300E2" w:rsidRDefault="00000000">
      <w:r>
        <w:pict w14:anchorId="23483238">
          <v:rect id="_x0000_i1030" style="width:0;height:1.5pt" o:hralign="center" o:hrstd="t" o:hr="t"/>
        </w:pict>
      </w:r>
    </w:p>
    <w:p w14:paraId="47C3641C" w14:textId="77777777" w:rsidR="001300E2" w:rsidRDefault="00000000">
      <w:pPr>
        <w:pStyle w:val="Ttulo2"/>
      </w:pPr>
      <w:bookmarkStart w:id="23" w:name="principal-component-analysis-pca"/>
      <w:bookmarkEnd w:id="17"/>
      <w:bookmarkEnd w:id="22"/>
      <w:r>
        <w:t>6. Principal Component Analysis (PCA)</w:t>
      </w:r>
    </w:p>
    <w:p w14:paraId="2DE45DEA" w14:textId="77777777" w:rsidR="001300E2" w:rsidRDefault="00000000">
      <w:pPr>
        <w:pStyle w:val="FirstParagraph"/>
      </w:pPr>
      <w:r>
        <w:t xml:space="preserve">PCA is used to reduce the dimensionality of the proportion matrix </w:t>
      </w:r>
      <m:oMath>
        <m:r>
          <m:rPr>
            <m:sty m:val="b"/>
          </m:rPr>
          <w:rPr>
            <w:rFonts w:ascii="Cambria Math" w:hAnsi="Cambria Math"/>
          </w:rPr>
          <m:t>P</m:t>
        </m:r>
      </m:oMath>
      <w:r>
        <w:t xml:space="preserve"> and represent the configurational differences of the 30 league-season observations in a two-dimensional plane.</w:t>
      </w:r>
    </w:p>
    <w:p w14:paraId="2CF3A862" w14:textId="77777777" w:rsidR="001300E2" w:rsidRDefault="00000000">
      <w:pPr>
        <w:pStyle w:val="Ttulo3"/>
      </w:pPr>
      <w:bookmarkStart w:id="24" w:name="principal-component-loadings"/>
      <w:r>
        <w:t>6.1. Principal Component Loadings</w:t>
      </w:r>
    </w:p>
    <w:p w14:paraId="1A8F914B" w14:textId="77777777" w:rsidR="001300E2" w:rsidRDefault="00000000">
      <w:pPr>
        <w:pStyle w:val="FirstParagraph"/>
      </w:pPr>
      <w:r>
        <w:t xml:space="preserve">To understand the geometric structure of the configurational space, the loadings of the variables on the first two principal components (PC1 and PC2) are calculated. </w:t>
      </w:r>
      <w:r>
        <w:lastRenderedPageBreak/>
        <w:t xml:space="preserve">Together, these components explain </w:t>
      </w:r>
      <m:oMath>
        <m:r>
          <w:rPr>
            <w:rFonts w:ascii="Cambria Math" w:hAnsi="Cambria Math"/>
          </w:rPr>
          <m:t>72.5</m:t>
        </m:r>
        <m:r>
          <m:rPr>
            <m:sty m:val="p"/>
          </m:rPr>
          <w:rPr>
            <w:rFonts w:ascii="Cambria Math" w:hAnsi="Cambria Math"/>
          </w:rPr>
          <m:t>%</m:t>
        </m:r>
      </m:oMath>
      <w:r>
        <w:t xml:space="preserve"> of the accumulated variance of the ownership structure:</w:t>
      </w:r>
    </w:p>
    <w:tbl>
      <w:tblPr>
        <w:tblStyle w:val="Table"/>
        <w:tblW w:w="0" w:type="auto"/>
        <w:tblLook w:val="0020" w:firstRow="1" w:lastRow="0" w:firstColumn="0" w:lastColumn="0" w:noHBand="0" w:noVBand="0"/>
      </w:tblPr>
      <w:tblGrid>
        <w:gridCol w:w="4564"/>
        <w:gridCol w:w="2245"/>
        <w:gridCol w:w="2245"/>
      </w:tblGrid>
      <w:tr w:rsidR="001300E2" w14:paraId="046CD438" w14:textId="77777777" w:rsidTr="001300E2">
        <w:trPr>
          <w:cnfStyle w:val="100000000000" w:firstRow="1" w:lastRow="0" w:firstColumn="0" w:lastColumn="0" w:oddVBand="0" w:evenVBand="0" w:oddHBand="0" w:evenHBand="0" w:firstRowFirstColumn="0" w:firstRowLastColumn="0" w:lastRowFirstColumn="0" w:lastRowLastColumn="0"/>
          <w:tblHeader/>
        </w:trPr>
        <w:tc>
          <w:tcPr>
            <w:tcW w:w="0" w:type="auto"/>
          </w:tcPr>
          <w:p w14:paraId="10C5ADFC" w14:textId="77777777" w:rsidR="001300E2" w:rsidRDefault="00000000">
            <w:pPr>
              <w:pStyle w:val="Compact"/>
            </w:pPr>
            <w:r>
              <w:t>Ownership Model</w:t>
            </w:r>
          </w:p>
        </w:tc>
        <w:tc>
          <w:tcPr>
            <w:tcW w:w="0" w:type="auto"/>
          </w:tcPr>
          <w:p w14:paraId="0AB057D2" w14:textId="77777777" w:rsidR="001300E2" w:rsidRDefault="00000000">
            <w:pPr>
              <w:pStyle w:val="Compact"/>
              <w:jc w:val="center"/>
            </w:pPr>
            <w:r>
              <w:t>PC1 Loading (</w:t>
            </w:r>
            <m:oMath>
              <m:r>
                <w:rPr>
                  <w:rFonts w:ascii="Cambria Math" w:hAnsi="Cambria Math"/>
                </w:rPr>
                <m:t>48.0</m:t>
              </m:r>
              <m:r>
                <m:rPr>
                  <m:sty m:val="p"/>
                </m:rPr>
                <w:rPr>
                  <w:rFonts w:ascii="Cambria Math" w:hAnsi="Cambria Math"/>
                </w:rPr>
                <m:t>%</m:t>
              </m:r>
            </m:oMath>
            <w:r>
              <w:t>)</w:t>
            </w:r>
          </w:p>
        </w:tc>
        <w:tc>
          <w:tcPr>
            <w:tcW w:w="0" w:type="auto"/>
          </w:tcPr>
          <w:p w14:paraId="2A25BA67" w14:textId="77777777" w:rsidR="001300E2" w:rsidRDefault="00000000">
            <w:pPr>
              <w:pStyle w:val="Compact"/>
              <w:jc w:val="center"/>
            </w:pPr>
            <w:r>
              <w:t>PC2 Loading (</w:t>
            </w:r>
            <m:oMath>
              <m:r>
                <w:rPr>
                  <w:rFonts w:ascii="Cambria Math" w:hAnsi="Cambria Math"/>
                </w:rPr>
                <m:t>24.5</m:t>
              </m:r>
              <m:r>
                <m:rPr>
                  <m:sty m:val="p"/>
                </m:rPr>
                <w:rPr>
                  <w:rFonts w:ascii="Cambria Math" w:hAnsi="Cambria Math"/>
                </w:rPr>
                <m:t>%</m:t>
              </m:r>
            </m:oMath>
            <w:r>
              <w:t>)</w:t>
            </w:r>
          </w:p>
        </w:tc>
      </w:tr>
      <w:tr w:rsidR="001300E2" w14:paraId="539BC8E5" w14:textId="77777777">
        <w:tc>
          <w:tcPr>
            <w:tcW w:w="0" w:type="auto"/>
          </w:tcPr>
          <w:p w14:paraId="5E1610CE" w14:textId="77777777" w:rsidR="001300E2" w:rsidRDefault="00000000">
            <w:pPr>
              <w:pStyle w:val="Compact"/>
            </w:pPr>
            <w:r>
              <w:rPr>
                <w:b/>
                <w:bCs/>
              </w:rPr>
              <w:t>Member-owned</w:t>
            </w:r>
            <w:r>
              <w:t xml:space="preserve"> (</w:t>
            </w:r>
            <w:r>
              <w:rPr>
                <w:rStyle w:val="VerbatimChar"/>
              </w:rPr>
              <w:t>prop_member-owned</w:t>
            </w:r>
            <w:r>
              <w:t>)</w:t>
            </w:r>
          </w:p>
        </w:tc>
        <w:tc>
          <w:tcPr>
            <w:tcW w:w="0" w:type="auto"/>
          </w:tcPr>
          <w:p w14:paraId="0F8F8BFA" w14:textId="77777777" w:rsidR="001300E2" w:rsidRDefault="00000000">
            <w:pPr>
              <w:pStyle w:val="Compact"/>
              <w:jc w:val="center"/>
            </w:pPr>
            <m:oMathPara>
              <m:oMath>
                <m:r>
                  <m:rPr>
                    <m:sty m:val="p"/>
                  </m:rPr>
                  <w:rPr>
                    <w:rFonts w:ascii="Cambria Math" w:hAnsi="Cambria Math"/>
                  </w:rPr>
                  <m:t>-</m:t>
                </m:r>
                <m:r>
                  <w:rPr>
                    <w:rFonts w:ascii="Cambria Math" w:hAnsi="Cambria Math"/>
                  </w:rPr>
                  <m:t>0.463</m:t>
                </m:r>
              </m:oMath>
            </m:oMathPara>
          </w:p>
        </w:tc>
        <w:tc>
          <w:tcPr>
            <w:tcW w:w="0" w:type="auto"/>
          </w:tcPr>
          <w:p w14:paraId="10F9A0D5" w14:textId="77777777" w:rsidR="001300E2" w:rsidRDefault="00000000">
            <w:pPr>
              <w:pStyle w:val="Compact"/>
              <w:jc w:val="center"/>
            </w:pPr>
            <m:oMathPara>
              <m:oMath>
                <m:r>
                  <m:rPr>
                    <m:sty m:val="p"/>
                  </m:rPr>
                  <w:rPr>
                    <w:rFonts w:ascii="Cambria Math" w:hAnsi="Cambria Math"/>
                  </w:rPr>
                  <m:t>-</m:t>
                </m:r>
                <m:r>
                  <w:rPr>
                    <w:rFonts w:ascii="Cambria Math" w:hAnsi="Cambria Math"/>
                  </w:rPr>
                  <m:t>0.247</m:t>
                </m:r>
              </m:oMath>
            </m:oMathPara>
          </w:p>
        </w:tc>
      </w:tr>
      <w:tr w:rsidR="001300E2" w14:paraId="5555F7EF" w14:textId="77777777">
        <w:tc>
          <w:tcPr>
            <w:tcW w:w="0" w:type="auto"/>
          </w:tcPr>
          <w:p w14:paraId="1A76D7E7" w14:textId="77777777" w:rsidR="001300E2" w:rsidRDefault="00000000">
            <w:pPr>
              <w:pStyle w:val="Compact"/>
            </w:pPr>
            <w:r>
              <w:rPr>
                <w:b/>
                <w:bCs/>
              </w:rPr>
              <w:t>Domestic private</w:t>
            </w:r>
            <w:r>
              <w:t xml:space="preserve"> (</w:t>
            </w:r>
            <w:r>
              <w:rPr>
                <w:rStyle w:val="VerbatimChar"/>
              </w:rPr>
              <w:t>prop_domestic private</w:t>
            </w:r>
            <w:r>
              <w:t>)</w:t>
            </w:r>
          </w:p>
        </w:tc>
        <w:tc>
          <w:tcPr>
            <w:tcW w:w="0" w:type="auto"/>
          </w:tcPr>
          <w:p w14:paraId="5C45832C" w14:textId="77777777" w:rsidR="001300E2" w:rsidRDefault="00000000">
            <w:pPr>
              <w:pStyle w:val="Compact"/>
              <w:jc w:val="center"/>
            </w:pPr>
            <m:oMathPara>
              <m:oMath>
                <m:r>
                  <m:rPr>
                    <m:sty m:val="p"/>
                  </m:rPr>
                  <w:rPr>
                    <w:rFonts w:ascii="Cambria Math" w:hAnsi="Cambria Math"/>
                  </w:rPr>
                  <m:t>+</m:t>
                </m:r>
                <m:r>
                  <w:rPr>
                    <w:rFonts w:ascii="Cambria Math" w:hAnsi="Cambria Math"/>
                  </w:rPr>
                  <m:t>0.448</m:t>
                </m:r>
              </m:oMath>
            </m:oMathPara>
          </w:p>
        </w:tc>
        <w:tc>
          <w:tcPr>
            <w:tcW w:w="0" w:type="auto"/>
          </w:tcPr>
          <w:p w14:paraId="71C6090C" w14:textId="77777777" w:rsidR="001300E2" w:rsidRDefault="00000000">
            <w:pPr>
              <w:pStyle w:val="Compact"/>
              <w:jc w:val="center"/>
            </w:pPr>
            <m:oMathPara>
              <m:oMath>
                <m:r>
                  <m:rPr>
                    <m:sty m:val="p"/>
                  </m:rPr>
                  <w:rPr>
                    <w:rFonts w:ascii="Cambria Math" w:hAnsi="Cambria Math"/>
                  </w:rPr>
                  <m:t>-</m:t>
                </m:r>
                <m:r>
                  <w:rPr>
                    <w:rFonts w:ascii="Cambria Math" w:hAnsi="Cambria Math"/>
                  </w:rPr>
                  <m:t>0.270</m:t>
                </m:r>
              </m:oMath>
            </m:oMathPara>
          </w:p>
        </w:tc>
      </w:tr>
      <w:tr w:rsidR="001300E2" w14:paraId="0F162D58" w14:textId="77777777">
        <w:tc>
          <w:tcPr>
            <w:tcW w:w="0" w:type="auto"/>
          </w:tcPr>
          <w:p w14:paraId="5E157F4A" w14:textId="77777777" w:rsidR="001300E2" w:rsidRDefault="00000000">
            <w:pPr>
              <w:pStyle w:val="Compact"/>
            </w:pPr>
            <w:r>
              <w:rPr>
                <w:b/>
                <w:bCs/>
              </w:rPr>
              <w:t>Foreign private</w:t>
            </w:r>
            <w:r>
              <w:t xml:space="preserve"> (</w:t>
            </w:r>
            <w:r>
              <w:rPr>
                <w:rStyle w:val="VerbatimChar"/>
              </w:rPr>
              <w:t>prop_foreign private</w:t>
            </w:r>
            <w:r>
              <w:t>)</w:t>
            </w:r>
          </w:p>
        </w:tc>
        <w:tc>
          <w:tcPr>
            <w:tcW w:w="0" w:type="auto"/>
          </w:tcPr>
          <w:p w14:paraId="79C11032" w14:textId="77777777" w:rsidR="001300E2" w:rsidRDefault="00000000">
            <w:pPr>
              <w:pStyle w:val="Compact"/>
              <w:jc w:val="center"/>
            </w:pPr>
            <m:oMathPara>
              <m:oMath>
                <m:r>
                  <m:rPr>
                    <m:sty m:val="p"/>
                  </m:rPr>
                  <w:rPr>
                    <w:rFonts w:ascii="Cambria Math" w:hAnsi="Cambria Math"/>
                  </w:rPr>
                  <m:t>+</m:t>
                </m:r>
                <m:r>
                  <w:rPr>
                    <w:rFonts w:ascii="Cambria Math" w:hAnsi="Cambria Math"/>
                  </w:rPr>
                  <m:t>0.441</m:t>
                </m:r>
              </m:oMath>
            </m:oMathPara>
          </w:p>
        </w:tc>
        <w:tc>
          <w:tcPr>
            <w:tcW w:w="0" w:type="auto"/>
          </w:tcPr>
          <w:p w14:paraId="7E9757F4" w14:textId="77777777" w:rsidR="001300E2" w:rsidRDefault="00000000">
            <w:pPr>
              <w:pStyle w:val="Compact"/>
              <w:jc w:val="center"/>
            </w:pPr>
            <m:oMathPara>
              <m:oMath>
                <m:r>
                  <m:rPr>
                    <m:sty m:val="p"/>
                  </m:rPr>
                  <w:rPr>
                    <w:rFonts w:ascii="Cambria Math" w:hAnsi="Cambria Math"/>
                  </w:rPr>
                  <m:t>+</m:t>
                </m:r>
                <m:r>
                  <w:rPr>
                    <w:rFonts w:ascii="Cambria Math" w:hAnsi="Cambria Math"/>
                  </w:rPr>
                  <m:t>0.143</m:t>
                </m:r>
              </m:oMath>
            </m:oMathPara>
          </w:p>
        </w:tc>
      </w:tr>
      <w:tr w:rsidR="001300E2" w14:paraId="0BEF25A1" w14:textId="77777777">
        <w:tc>
          <w:tcPr>
            <w:tcW w:w="0" w:type="auto"/>
          </w:tcPr>
          <w:p w14:paraId="60D64CA1" w14:textId="77777777" w:rsidR="001300E2" w:rsidRDefault="00000000">
            <w:pPr>
              <w:pStyle w:val="Compact"/>
            </w:pPr>
            <w:r>
              <w:rPr>
                <w:b/>
                <w:bCs/>
              </w:rPr>
              <w:t>Investment fund</w:t>
            </w:r>
            <w:r>
              <w:t xml:space="preserve"> (</w:t>
            </w:r>
            <w:r>
              <w:rPr>
                <w:rStyle w:val="VerbatimChar"/>
              </w:rPr>
              <w:t>prop_investment fund</w:t>
            </w:r>
            <w:r>
              <w:t>)</w:t>
            </w:r>
          </w:p>
        </w:tc>
        <w:tc>
          <w:tcPr>
            <w:tcW w:w="0" w:type="auto"/>
          </w:tcPr>
          <w:p w14:paraId="18469727" w14:textId="77777777" w:rsidR="001300E2" w:rsidRDefault="00000000">
            <w:pPr>
              <w:pStyle w:val="Compact"/>
              <w:jc w:val="center"/>
            </w:pPr>
            <m:oMathPara>
              <m:oMath>
                <m:r>
                  <m:rPr>
                    <m:sty m:val="p"/>
                  </m:rPr>
                  <w:rPr>
                    <w:rFonts w:ascii="Cambria Math" w:hAnsi="Cambria Math"/>
                  </w:rPr>
                  <m:t>+</m:t>
                </m:r>
                <m:r>
                  <w:rPr>
                    <w:rFonts w:ascii="Cambria Math" w:hAnsi="Cambria Math"/>
                  </w:rPr>
                  <m:t>0.484</m:t>
                </m:r>
              </m:oMath>
            </m:oMathPara>
          </w:p>
        </w:tc>
        <w:tc>
          <w:tcPr>
            <w:tcW w:w="0" w:type="auto"/>
          </w:tcPr>
          <w:p w14:paraId="672184C3" w14:textId="77777777" w:rsidR="001300E2" w:rsidRDefault="00000000">
            <w:pPr>
              <w:pStyle w:val="Compact"/>
              <w:jc w:val="center"/>
            </w:pPr>
            <m:oMathPara>
              <m:oMath>
                <m:r>
                  <m:rPr>
                    <m:sty m:val="p"/>
                  </m:rPr>
                  <w:rPr>
                    <w:rFonts w:ascii="Cambria Math" w:hAnsi="Cambria Math"/>
                  </w:rPr>
                  <m:t>+</m:t>
                </m:r>
                <m:r>
                  <w:rPr>
                    <w:rFonts w:ascii="Cambria Math" w:hAnsi="Cambria Math"/>
                  </w:rPr>
                  <m:t>0.086</m:t>
                </m:r>
              </m:oMath>
            </m:oMathPara>
          </w:p>
        </w:tc>
      </w:tr>
      <w:tr w:rsidR="001300E2" w14:paraId="3869F7F7" w14:textId="77777777">
        <w:tc>
          <w:tcPr>
            <w:tcW w:w="0" w:type="auto"/>
          </w:tcPr>
          <w:p w14:paraId="70833D78" w14:textId="77777777" w:rsidR="001300E2" w:rsidRDefault="00000000">
            <w:pPr>
              <w:pStyle w:val="Compact"/>
            </w:pPr>
            <w:r>
              <w:rPr>
                <w:b/>
                <w:bCs/>
              </w:rPr>
              <w:t>Hybrid</w:t>
            </w:r>
            <w:r>
              <w:t xml:space="preserve"> (</w:t>
            </w:r>
            <w:r>
              <w:rPr>
                <w:rStyle w:val="VerbatimChar"/>
              </w:rPr>
              <w:t>prop_hybrid</w:t>
            </w:r>
            <w:r>
              <w:t>)</w:t>
            </w:r>
          </w:p>
        </w:tc>
        <w:tc>
          <w:tcPr>
            <w:tcW w:w="0" w:type="auto"/>
          </w:tcPr>
          <w:p w14:paraId="75DA1655" w14:textId="77777777" w:rsidR="001300E2" w:rsidRDefault="00000000">
            <w:pPr>
              <w:pStyle w:val="Compact"/>
              <w:jc w:val="center"/>
            </w:pPr>
            <m:oMathPara>
              <m:oMath>
                <m:r>
                  <m:rPr>
                    <m:sty m:val="p"/>
                  </m:rPr>
                  <w:rPr>
                    <w:rFonts w:ascii="Cambria Math" w:hAnsi="Cambria Math"/>
                  </w:rPr>
                  <m:t>-</m:t>
                </m:r>
                <m:r>
                  <w:rPr>
                    <w:rFonts w:ascii="Cambria Math" w:hAnsi="Cambria Math"/>
                  </w:rPr>
                  <m:t>0.359</m:t>
                </m:r>
              </m:oMath>
            </m:oMathPara>
          </w:p>
        </w:tc>
        <w:tc>
          <w:tcPr>
            <w:tcW w:w="0" w:type="auto"/>
          </w:tcPr>
          <w:p w14:paraId="4A97B0E4" w14:textId="77777777" w:rsidR="001300E2" w:rsidRDefault="00000000">
            <w:pPr>
              <w:pStyle w:val="Compact"/>
              <w:jc w:val="center"/>
            </w:pPr>
            <m:oMathPara>
              <m:oMath>
                <m:r>
                  <m:rPr>
                    <m:sty m:val="p"/>
                  </m:rPr>
                  <w:rPr>
                    <w:rFonts w:ascii="Cambria Math" w:hAnsi="Cambria Math"/>
                  </w:rPr>
                  <m:t>+</m:t>
                </m:r>
                <m:r>
                  <w:rPr>
                    <w:rFonts w:ascii="Cambria Math" w:hAnsi="Cambria Math"/>
                  </w:rPr>
                  <m:t>0.279</m:t>
                </m:r>
              </m:oMath>
            </m:oMathPara>
          </w:p>
        </w:tc>
      </w:tr>
      <w:tr w:rsidR="001300E2" w14:paraId="66CADF89" w14:textId="77777777">
        <w:tc>
          <w:tcPr>
            <w:tcW w:w="0" w:type="auto"/>
          </w:tcPr>
          <w:p w14:paraId="545A901A" w14:textId="77777777" w:rsidR="001300E2" w:rsidRDefault="00000000">
            <w:pPr>
              <w:pStyle w:val="Compact"/>
            </w:pPr>
            <w:r>
              <w:rPr>
                <w:b/>
                <w:bCs/>
              </w:rPr>
              <w:t>Corporate-MCO</w:t>
            </w:r>
            <w:r>
              <w:t xml:space="preserve"> (</w:t>
            </w:r>
            <w:r>
              <w:rPr>
                <w:rStyle w:val="VerbatimChar"/>
              </w:rPr>
              <w:t>prop_corporate-MCO</w:t>
            </w:r>
            <w:r>
              <w:t>)</w:t>
            </w:r>
          </w:p>
        </w:tc>
        <w:tc>
          <w:tcPr>
            <w:tcW w:w="0" w:type="auto"/>
          </w:tcPr>
          <w:p w14:paraId="31571953" w14:textId="77777777" w:rsidR="001300E2" w:rsidRDefault="00000000">
            <w:pPr>
              <w:pStyle w:val="Compact"/>
              <w:jc w:val="center"/>
            </w:pPr>
            <m:oMathPara>
              <m:oMath>
                <m:r>
                  <m:rPr>
                    <m:sty m:val="p"/>
                  </m:rPr>
                  <w:rPr>
                    <w:rFonts w:ascii="Cambria Math" w:hAnsi="Cambria Math"/>
                  </w:rPr>
                  <m:t>+</m:t>
                </m:r>
                <m:r>
                  <w:rPr>
                    <w:rFonts w:ascii="Cambria Math" w:hAnsi="Cambria Math"/>
                  </w:rPr>
                  <m:t>0.040</m:t>
                </m:r>
              </m:oMath>
            </m:oMathPara>
          </w:p>
        </w:tc>
        <w:tc>
          <w:tcPr>
            <w:tcW w:w="0" w:type="auto"/>
          </w:tcPr>
          <w:p w14:paraId="757363DC" w14:textId="77777777" w:rsidR="001300E2" w:rsidRDefault="00000000">
            <w:pPr>
              <w:pStyle w:val="Compact"/>
              <w:jc w:val="center"/>
            </w:pPr>
            <m:oMathPara>
              <m:oMath>
                <m:r>
                  <m:rPr>
                    <m:sty m:val="p"/>
                  </m:rPr>
                  <w:rPr>
                    <w:rFonts w:ascii="Cambria Math" w:hAnsi="Cambria Math"/>
                  </w:rPr>
                  <m:t>+</m:t>
                </m:r>
                <m:r>
                  <w:rPr>
                    <w:rFonts w:ascii="Cambria Math" w:hAnsi="Cambria Math"/>
                  </w:rPr>
                  <m:t>0.630</m:t>
                </m:r>
              </m:oMath>
            </m:oMathPara>
          </w:p>
        </w:tc>
      </w:tr>
      <w:tr w:rsidR="001300E2" w14:paraId="46D4BB46" w14:textId="77777777">
        <w:tc>
          <w:tcPr>
            <w:tcW w:w="0" w:type="auto"/>
          </w:tcPr>
          <w:p w14:paraId="0FEE8B46" w14:textId="77777777" w:rsidR="001300E2" w:rsidRDefault="00000000">
            <w:pPr>
              <w:pStyle w:val="Compact"/>
            </w:pPr>
            <w:r>
              <w:rPr>
                <w:b/>
                <w:bCs/>
              </w:rPr>
              <w:t>State-linked</w:t>
            </w:r>
            <w:r>
              <w:t xml:space="preserve"> (</w:t>
            </w:r>
            <w:r>
              <w:rPr>
                <w:rStyle w:val="VerbatimChar"/>
              </w:rPr>
              <w:t>prop_state-linked</w:t>
            </w:r>
            <w:r>
              <w:t>)</w:t>
            </w:r>
          </w:p>
        </w:tc>
        <w:tc>
          <w:tcPr>
            <w:tcW w:w="0" w:type="auto"/>
          </w:tcPr>
          <w:p w14:paraId="4D61C39C" w14:textId="77777777" w:rsidR="001300E2" w:rsidRDefault="00000000">
            <w:pPr>
              <w:pStyle w:val="Compact"/>
              <w:jc w:val="center"/>
            </w:pPr>
            <m:oMathPara>
              <m:oMath>
                <m:r>
                  <m:rPr>
                    <m:sty m:val="p"/>
                  </m:rPr>
                  <w:rPr>
                    <w:rFonts w:ascii="Cambria Math" w:hAnsi="Cambria Math"/>
                  </w:rPr>
                  <m:t>-</m:t>
                </m:r>
                <m:r>
                  <w:rPr>
                    <w:rFonts w:ascii="Cambria Math" w:hAnsi="Cambria Math"/>
                  </w:rPr>
                  <m:t>0.134</m:t>
                </m:r>
              </m:oMath>
            </m:oMathPara>
          </w:p>
        </w:tc>
        <w:tc>
          <w:tcPr>
            <w:tcW w:w="0" w:type="auto"/>
          </w:tcPr>
          <w:p w14:paraId="3A9A26F1" w14:textId="77777777" w:rsidR="001300E2" w:rsidRDefault="00000000">
            <w:pPr>
              <w:pStyle w:val="Compact"/>
              <w:jc w:val="center"/>
            </w:pPr>
            <m:oMathPara>
              <m:oMath>
                <m:r>
                  <m:rPr>
                    <m:sty m:val="p"/>
                  </m:rPr>
                  <w:rPr>
                    <w:rFonts w:ascii="Cambria Math" w:hAnsi="Cambria Math"/>
                  </w:rPr>
                  <m:t>+</m:t>
                </m:r>
                <m:r>
                  <w:rPr>
                    <w:rFonts w:ascii="Cambria Math" w:hAnsi="Cambria Math"/>
                  </w:rPr>
                  <m:t>0.445</m:t>
                </m:r>
              </m:oMath>
            </m:oMathPara>
          </w:p>
        </w:tc>
      </w:tr>
      <w:tr w:rsidR="001300E2" w14:paraId="4F231E86" w14:textId="77777777">
        <w:tc>
          <w:tcPr>
            <w:tcW w:w="0" w:type="auto"/>
          </w:tcPr>
          <w:p w14:paraId="6A215075" w14:textId="77777777" w:rsidR="001300E2" w:rsidRDefault="00000000">
            <w:pPr>
              <w:pStyle w:val="Compact"/>
            </w:pPr>
            <w:r>
              <w:rPr>
                <w:b/>
                <w:bCs/>
              </w:rPr>
              <w:t>Unknown</w:t>
            </w:r>
            <w:r>
              <w:t xml:space="preserve"> (</w:t>
            </w:r>
            <w:r>
              <w:rPr>
                <w:rStyle w:val="VerbatimChar"/>
              </w:rPr>
              <w:t>prop_unknown</w:t>
            </w:r>
            <w:r>
              <w:t>)</w:t>
            </w:r>
          </w:p>
        </w:tc>
        <w:tc>
          <w:tcPr>
            <w:tcW w:w="0" w:type="auto"/>
          </w:tcPr>
          <w:p w14:paraId="1B188527" w14:textId="77777777" w:rsidR="001300E2" w:rsidRDefault="00000000">
            <w:pPr>
              <w:pStyle w:val="Compact"/>
              <w:jc w:val="center"/>
            </w:pPr>
            <m:oMathPara>
              <m:oMath>
                <m:r>
                  <m:rPr>
                    <m:sty m:val="p"/>
                  </m:rPr>
                  <w:rPr>
                    <w:rFonts w:ascii="Cambria Math" w:hAnsi="Cambria Math"/>
                  </w:rPr>
                  <m:t>-</m:t>
                </m:r>
                <m:r>
                  <w:rPr>
                    <w:rFonts w:ascii="Cambria Math" w:hAnsi="Cambria Math"/>
                  </w:rPr>
                  <m:t>0.091</m:t>
                </m:r>
              </m:oMath>
            </m:oMathPara>
          </w:p>
        </w:tc>
        <w:tc>
          <w:tcPr>
            <w:tcW w:w="0" w:type="auto"/>
          </w:tcPr>
          <w:p w14:paraId="16B8EB2F" w14:textId="77777777" w:rsidR="001300E2" w:rsidRDefault="00000000">
            <w:pPr>
              <w:pStyle w:val="Compact"/>
              <w:jc w:val="center"/>
            </w:pPr>
            <m:oMathPara>
              <m:oMath>
                <m:r>
                  <m:rPr>
                    <m:sty m:val="p"/>
                  </m:rPr>
                  <w:rPr>
                    <w:rFonts w:ascii="Cambria Math" w:hAnsi="Cambria Math"/>
                  </w:rPr>
                  <m:t>-</m:t>
                </m:r>
                <m:r>
                  <w:rPr>
                    <w:rFonts w:ascii="Cambria Math" w:hAnsi="Cambria Math"/>
                  </w:rPr>
                  <m:t>0.406</m:t>
                </m:r>
              </m:oMath>
            </m:oMathPara>
          </w:p>
        </w:tc>
      </w:tr>
    </w:tbl>
    <w:p w14:paraId="1156DA37" w14:textId="77777777" w:rsidR="001300E2" w:rsidRDefault="00000000">
      <w:pPr>
        <w:pStyle w:val="Ttulo4"/>
      </w:pPr>
      <w:bookmarkStart w:id="25" w:name="dimension-interpretations"/>
      <w:r>
        <w:t>Dimension Interpretations:</w:t>
      </w:r>
    </w:p>
    <w:p w14:paraId="4BFE3A29" w14:textId="77777777" w:rsidR="001300E2" w:rsidRDefault="00000000">
      <w:pPr>
        <w:pStyle w:val="Compact"/>
        <w:numPr>
          <w:ilvl w:val="0"/>
          <w:numId w:val="3"/>
        </w:numPr>
      </w:pPr>
      <w:r>
        <w:rPr>
          <w:b/>
          <w:bCs/>
        </w:rPr>
        <w:t>Principal Component 1 (PC1 - Internationalization and Financialization Axis)</w:t>
      </w:r>
      <w:r>
        <w:t xml:space="preserve">: This axis (explaining </w:t>
      </w:r>
      <m:oMath>
        <m:r>
          <w:rPr>
            <w:rFonts w:ascii="Cambria Math" w:hAnsi="Cambria Math"/>
          </w:rPr>
          <m:t>48.0</m:t>
        </m:r>
        <m:r>
          <m:rPr>
            <m:sty m:val="p"/>
          </m:rPr>
          <w:rPr>
            <w:rFonts w:ascii="Cambria Math" w:hAnsi="Cambria Math"/>
          </w:rPr>
          <m:t>%</m:t>
        </m:r>
      </m:oMath>
      <w:r>
        <w:t xml:space="preserve"> of the variance) discriminates between models based on financial and international capital and those based on traditional and social control. </w:t>
      </w:r>
      <w:r>
        <w:rPr>
          <w:b/>
          <w:bCs/>
        </w:rPr>
        <w:t>Positive</w:t>
      </w:r>
      <w:r>
        <w:t xml:space="preserve"> values on this axis are determined by advanced commercial logics: investment funds (</w:t>
      </w:r>
      <m:oMath>
        <m:r>
          <m:rPr>
            <m:sty m:val="p"/>
          </m:rPr>
          <w:rPr>
            <w:rFonts w:ascii="Cambria Math" w:hAnsi="Cambria Math"/>
          </w:rPr>
          <m:t>+</m:t>
        </m:r>
        <m:r>
          <w:rPr>
            <w:rFonts w:ascii="Cambria Math" w:hAnsi="Cambria Math"/>
          </w:rPr>
          <m:t>0.484</m:t>
        </m:r>
      </m:oMath>
      <w:r>
        <w:t>), domestic private ownership (</w:t>
      </w:r>
      <m:oMath>
        <m:r>
          <m:rPr>
            <m:sty m:val="p"/>
          </m:rPr>
          <w:rPr>
            <w:rFonts w:ascii="Cambria Math" w:hAnsi="Cambria Math"/>
          </w:rPr>
          <m:t>+</m:t>
        </m:r>
        <m:r>
          <w:rPr>
            <w:rFonts w:ascii="Cambria Math" w:hAnsi="Cambria Math"/>
          </w:rPr>
          <m:t>0.448</m:t>
        </m:r>
      </m:oMath>
      <w:r>
        <w:t>), and foreign private ownership (</w:t>
      </w:r>
      <m:oMath>
        <m:r>
          <m:rPr>
            <m:sty m:val="p"/>
          </m:rPr>
          <w:rPr>
            <w:rFonts w:ascii="Cambria Math" w:hAnsi="Cambria Math"/>
          </w:rPr>
          <m:t>+</m:t>
        </m:r>
        <m:r>
          <w:rPr>
            <w:rFonts w:ascii="Cambria Math" w:hAnsi="Cambria Math"/>
          </w:rPr>
          <m:t>0.441</m:t>
        </m:r>
      </m:oMath>
      <w:r>
        <w:t xml:space="preserve">). Conversely, </w:t>
      </w:r>
      <w:r>
        <w:rPr>
          <w:b/>
          <w:bCs/>
        </w:rPr>
        <w:t>negative</w:t>
      </w:r>
      <w:r>
        <w:t xml:space="preserve"> values represent the shielding of associative governance: member-owned clubs (</w:t>
      </w:r>
      <m:oMath>
        <m:r>
          <m:rPr>
            <m:sty m:val="p"/>
          </m:rPr>
          <w:rPr>
            <w:rFonts w:ascii="Cambria Math" w:hAnsi="Cambria Math"/>
          </w:rPr>
          <m:t>-</m:t>
        </m:r>
        <m:r>
          <w:rPr>
            <w:rFonts w:ascii="Cambria Math" w:hAnsi="Cambria Math"/>
          </w:rPr>
          <m:t>0.463</m:t>
        </m:r>
      </m:oMath>
      <w:r>
        <w:t>) and mixed hybrid models (</w:t>
      </w:r>
      <m:oMath>
        <m:r>
          <m:rPr>
            <m:sty m:val="p"/>
          </m:rPr>
          <w:rPr>
            <w:rFonts w:ascii="Cambria Math" w:hAnsi="Cambria Math"/>
          </w:rPr>
          <m:t>-</m:t>
        </m:r>
        <m:r>
          <w:rPr>
            <w:rFonts w:ascii="Cambria Math" w:hAnsi="Cambria Math"/>
          </w:rPr>
          <m:t>0.359</m:t>
        </m:r>
      </m:oMath>
      <w:r>
        <w:t>).</w:t>
      </w:r>
    </w:p>
    <w:p w14:paraId="730A09FD" w14:textId="77777777" w:rsidR="001300E2" w:rsidRDefault="00000000">
      <w:pPr>
        <w:pStyle w:val="Compact"/>
        <w:numPr>
          <w:ilvl w:val="0"/>
          <w:numId w:val="3"/>
        </w:numPr>
      </w:pPr>
      <w:r>
        <w:rPr>
          <w:b/>
          <w:bCs/>
        </w:rPr>
        <w:t>Principal Component 2 (PC2 - Transnational and Geopolitical Axis)</w:t>
      </w:r>
      <w:r>
        <w:t xml:space="preserve">: This axis (explaining </w:t>
      </w:r>
      <m:oMath>
        <m:r>
          <w:rPr>
            <w:rFonts w:ascii="Cambria Math" w:hAnsi="Cambria Math"/>
          </w:rPr>
          <m:t>24.5</m:t>
        </m:r>
        <m:r>
          <m:rPr>
            <m:sty m:val="p"/>
          </m:rPr>
          <w:rPr>
            <w:rFonts w:ascii="Cambria Math" w:hAnsi="Cambria Math"/>
          </w:rPr>
          <m:t>%</m:t>
        </m:r>
      </m:oMath>
      <w:r>
        <w:t xml:space="preserve"> of the variance) separates leagues housing complex ownership structures integrated into supra-club networks from those composed of traditional independent clubs. </w:t>
      </w:r>
      <w:r>
        <w:rPr>
          <w:b/>
          <w:bCs/>
        </w:rPr>
        <w:t>Positive</w:t>
      </w:r>
      <w:r>
        <w:t xml:space="preserve"> values correspond to corporate multi-club networks (</w:t>
      </w:r>
      <w:r>
        <w:rPr>
          <w:rStyle w:val="VerbatimChar"/>
        </w:rPr>
        <w:t>corporate-MCO</w:t>
      </w:r>
      <w:r>
        <w:t xml:space="preserve">: </w:t>
      </w:r>
      <m:oMath>
        <m:r>
          <m:rPr>
            <m:sty m:val="p"/>
          </m:rPr>
          <w:rPr>
            <w:rFonts w:ascii="Cambria Math" w:hAnsi="Cambria Math"/>
          </w:rPr>
          <m:t>+</m:t>
        </m:r>
        <m:r>
          <w:rPr>
            <w:rFonts w:ascii="Cambria Math" w:hAnsi="Cambria Math"/>
          </w:rPr>
          <m:t>0.630</m:t>
        </m:r>
      </m:oMath>
      <w:r>
        <w:t>) and vehicles with state or geopolitical links (</w:t>
      </w:r>
      <w:r>
        <w:rPr>
          <w:rStyle w:val="VerbatimChar"/>
        </w:rPr>
        <w:t>state-linked</w:t>
      </w:r>
      <w:r>
        <w:t xml:space="preserve">: </w:t>
      </w:r>
      <m:oMath>
        <m:r>
          <m:rPr>
            <m:sty m:val="p"/>
          </m:rPr>
          <w:rPr>
            <w:rFonts w:ascii="Cambria Math" w:hAnsi="Cambria Math"/>
          </w:rPr>
          <m:t>+</m:t>
        </m:r>
        <m:r>
          <w:rPr>
            <w:rFonts w:ascii="Cambria Math" w:hAnsi="Cambria Math"/>
          </w:rPr>
          <m:t>0.445</m:t>
        </m:r>
      </m:oMath>
      <w:r>
        <w:t xml:space="preserve">). </w:t>
      </w:r>
      <w:r>
        <w:rPr>
          <w:b/>
          <w:bCs/>
        </w:rPr>
        <w:t>Negative</w:t>
      </w:r>
      <w:r>
        <w:t xml:space="preserve"> values signal the dominance of traditional, independent individual clubs (</w:t>
      </w:r>
      <w:r>
        <w:rPr>
          <w:rStyle w:val="VerbatimChar"/>
        </w:rPr>
        <w:t>unknown</w:t>
      </w:r>
      <w:r>
        <w:t xml:space="preserve">: </w:t>
      </w:r>
      <m:oMath>
        <m:r>
          <m:rPr>
            <m:sty m:val="p"/>
          </m:rPr>
          <w:rPr>
            <w:rFonts w:ascii="Cambria Math" w:hAnsi="Cambria Math"/>
          </w:rPr>
          <m:t>-</m:t>
        </m:r>
        <m:r>
          <w:rPr>
            <w:rFonts w:ascii="Cambria Math" w:hAnsi="Cambria Math"/>
          </w:rPr>
          <m:t>0.406</m:t>
        </m:r>
      </m:oMath>
      <w:r>
        <w:t xml:space="preserve">, </w:t>
      </w:r>
      <w:r>
        <w:rPr>
          <w:rStyle w:val="VerbatimChar"/>
        </w:rPr>
        <w:t>domestic private</w:t>
      </w:r>
      <w:r>
        <w:t xml:space="preserve">: </w:t>
      </w:r>
      <m:oMath>
        <m:r>
          <m:rPr>
            <m:sty m:val="p"/>
          </m:rPr>
          <w:rPr>
            <w:rFonts w:ascii="Cambria Math" w:hAnsi="Cambria Math"/>
          </w:rPr>
          <m:t>-</m:t>
        </m:r>
        <m:r>
          <w:rPr>
            <w:rFonts w:ascii="Cambria Math" w:hAnsi="Cambria Math"/>
          </w:rPr>
          <m:t>0.270</m:t>
        </m:r>
      </m:oMath>
      <w:r>
        <w:t xml:space="preserve">, and </w:t>
      </w:r>
      <w:r>
        <w:rPr>
          <w:rStyle w:val="VerbatimChar"/>
        </w:rPr>
        <w:t>member-owned</w:t>
      </w:r>
      <w:r>
        <w:t xml:space="preserve">: </w:t>
      </w:r>
      <m:oMath>
        <m:r>
          <m:rPr>
            <m:sty m:val="p"/>
          </m:rPr>
          <w:rPr>
            <w:rFonts w:ascii="Cambria Math" w:hAnsi="Cambria Math"/>
          </w:rPr>
          <m:t>-</m:t>
        </m:r>
        <m:r>
          <w:rPr>
            <w:rFonts w:ascii="Cambria Math" w:hAnsi="Cambria Math"/>
          </w:rPr>
          <m:t>0.247</m:t>
        </m:r>
      </m:oMath>
      <w:r>
        <w:t>).</w:t>
      </w:r>
    </w:p>
    <w:p w14:paraId="632E199B" w14:textId="77777777" w:rsidR="001300E2" w:rsidRDefault="00000000">
      <w:r>
        <w:pict w14:anchorId="23BB4365">
          <v:rect id="_x0000_i1031" style="width:0;height:1.5pt" o:hralign="center" o:hrstd="t" o:hr="t"/>
        </w:pict>
      </w:r>
    </w:p>
    <w:p w14:paraId="7A994252" w14:textId="77777777" w:rsidR="001300E2" w:rsidRDefault="00000000">
      <w:pPr>
        <w:pStyle w:val="Ttulo3"/>
      </w:pPr>
      <w:bookmarkStart w:id="26" w:name="Xf808d1831afaae619cdd9b731140588d2592eca"/>
      <w:bookmarkEnd w:id="24"/>
      <w:bookmarkEnd w:id="25"/>
      <w:r>
        <w:t>6.2. Configurational Space: Quadrant Definitions</w:t>
      </w:r>
    </w:p>
    <w:p w14:paraId="64923D05" w14:textId="77777777" w:rsidR="001300E2" w:rsidRDefault="00000000">
      <w:pPr>
        <w:pStyle w:val="FirstParagraph"/>
      </w:pPr>
      <w:r>
        <w:t xml:space="preserve">The intersection of the PC1 and PC2 axes defines </w:t>
      </w:r>
      <w:r>
        <w:rPr>
          <w:b/>
          <w:bCs/>
        </w:rPr>
        <w:t>four configurational quadrants</w:t>
      </w:r>
      <w:r>
        <w:t xml:space="preserve"> that represent different competitive logics and business models:</w:t>
      </w:r>
    </w:p>
    <w:p w14:paraId="593BE51F" w14:textId="77777777" w:rsidR="001300E2" w:rsidRDefault="00000000">
      <w:pPr>
        <w:pStyle w:val="Compact"/>
        <w:numPr>
          <w:ilvl w:val="0"/>
          <w:numId w:val="4"/>
        </w:numPr>
      </w:pPr>
      <w:r>
        <w:rPr>
          <w:b/>
          <w:bCs/>
        </w:rPr>
        <w:t>Quadrant I (Top Right: PC1 &gt; 0, PC2 &gt; 0) - Transnational Financial MCO</w:t>
      </w:r>
      <w:r>
        <w:t xml:space="preserve">: Represents highly financialized ownership landscapes (investment funds, foreign owners) that are also heavily integrated into multi-club ownership </w:t>
      </w:r>
      <w:r>
        <w:lastRenderedPageBreak/>
        <w:t>(MCO) networks or under the direct influence of sovereign states. It is the quadrant of corporate globalization and global brands.</w:t>
      </w:r>
    </w:p>
    <w:p w14:paraId="69D1BD36" w14:textId="77777777" w:rsidR="001300E2" w:rsidRDefault="00000000">
      <w:pPr>
        <w:pStyle w:val="Compact"/>
        <w:numPr>
          <w:ilvl w:val="0"/>
          <w:numId w:val="4"/>
        </w:numPr>
      </w:pPr>
      <w:r>
        <w:rPr>
          <w:b/>
          <w:bCs/>
        </w:rPr>
        <w:t>Quadrant II (Top Left: PC1 &lt; 0, PC2 &gt; 0) - Hybrid / Collective with Networks</w:t>
      </w:r>
      <w:r>
        <w:t>: Represents ownership landscapes that preserve a strong baseline of local social or democratic control (negative PC1 values) but incorporate higher corporate logics, hybrid participation, or moderate penetration of multi-club networks (positive PC2 values). Spanish LaLiga (due to its strong presence of hybrid and member-owned clubs, combined with controlled MCO acquisitions like Girona) and the Premier League in its years of less extreme financialization are positioned in this quadrant.</w:t>
      </w:r>
    </w:p>
    <w:p w14:paraId="2E54B07D" w14:textId="77777777" w:rsidR="001300E2" w:rsidRDefault="00000000">
      <w:pPr>
        <w:pStyle w:val="Compact"/>
        <w:numPr>
          <w:ilvl w:val="0"/>
          <w:numId w:val="4"/>
        </w:numPr>
      </w:pPr>
      <w:r>
        <w:rPr>
          <w:b/>
          <w:bCs/>
        </w:rPr>
        <w:t>Quadrant III (Bottom Left: PC1 &lt; 0, PC2 &lt; 0) - Democratic and Traditional Uniclub</w:t>
      </w:r>
      <w:r>
        <w:t>: Represents the classical model of European football: clubs democratically governed by local members operating independently as individual entities, isolated from transnational multi-club networks or sovereign investments.</w:t>
      </w:r>
    </w:p>
    <w:p w14:paraId="02036628" w14:textId="77777777" w:rsidR="001300E2" w:rsidRDefault="00000000">
      <w:pPr>
        <w:pStyle w:val="Compact"/>
        <w:numPr>
          <w:ilvl w:val="0"/>
          <w:numId w:val="4"/>
        </w:numPr>
      </w:pPr>
      <w:r>
        <w:rPr>
          <w:b/>
          <w:bCs/>
        </w:rPr>
        <w:t>Quadrant IV (Bottom Right: PC1 &gt; 0, PC2 &lt; 0) - Private Commercial Uniclub</w:t>
      </w:r>
      <w:r>
        <w:t>: Leagues dominated by private owners (domestic or foreign) and institutional financial vehicles, but structured around clubs acting as independent commercial and portfolio entities, without aggregating into large transnational MCO networks.</w:t>
      </w:r>
    </w:p>
    <w:p w14:paraId="5772CF97" w14:textId="77777777" w:rsidR="001300E2" w:rsidRDefault="00000000">
      <w:r>
        <w:pict w14:anchorId="6215443E">
          <v:rect id="_x0000_i1032" style="width:0;height:1.5pt" o:hralign="center" o:hrstd="t" o:hr="t"/>
        </w:pict>
      </w:r>
    </w:p>
    <w:p w14:paraId="6A92C380" w14:textId="77777777" w:rsidR="001300E2" w:rsidRDefault="00000000">
      <w:pPr>
        <w:pStyle w:val="Ttulo3"/>
      </w:pPr>
      <w:bookmarkStart w:id="27" w:name="X965f18a6fe08f2f9e446aae91aa55ea7debebf9"/>
      <w:bookmarkEnd w:id="26"/>
      <w:r>
        <w:t>6.3. Trajectory Analysis and Quadrant Shifts (2019-2024)</w:t>
      </w:r>
    </w:p>
    <w:p w14:paraId="1B62E8B5" w14:textId="77777777" w:rsidR="001300E2" w:rsidRDefault="00000000">
      <w:pPr>
        <w:pStyle w:val="FirstParagraph"/>
      </w:pPr>
      <w:r>
        <w:t>By projecting the coordinates (</w:t>
      </w:r>
      <w:r>
        <w:rPr>
          <w:i/>
          <w:iCs/>
        </w:rPr>
        <w:t>scores</w:t>
      </w:r>
      <w:r>
        <w:t>) of the 30 league-season observations in this plane, we visualize the longitudinal trajectories using directional vectors (arrows) from 2019 to 2024:</w:t>
      </w:r>
    </w:p>
    <w:p w14:paraId="3C862E1D" w14:textId="77777777" w:rsidR="001300E2" w:rsidRDefault="00000000">
      <w:pPr>
        <w:pStyle w:val="CaptionedFigure"/>
      </w:pPr>
      <w:r>
        <w:rPr>
          <w:noProof/>
        </w:rPr>
        <w:lastRenderedPageBreak/>
        <w:drawing>
          <wp:inline distT="0" distB="0" distL="0" distR="0" wp14:anchorId="64E7F475" wp14:editId="319A28F6">
            <wp:extent cx="5334000" cy="3615437"/>
            <wp:effectExtent l="0" t="0" r="0" b="0"/>
            <wp:docPr id="52" name="Picture" descr="Historical Configurational Trajectories of Ownership Landscapes (PCA 2019-2024)"/>
            <wp:cNvGraphicFramePr/>
            <a:graphic xmlns:a="http://schemas.openxmlformats.org/drawingml/2006/main">
              <a:graphicData uri="http://schemas.openxmlformats.org/drawingml/2006/picture">
                <pic:pic xmlns:pic="http://schemas.openxmlformats.org/drawingml/2006/picture">
                  <pic:nvPicPr>
                    <pic:cNvPr id="53" name="Picture" descr="../images/pca_trajectories.png"/>
                    <pic:cNvPicPr>
                      <a:picLocks noChangeAspect="1" noChangeArrowheads="1"/>
                    </pic:cNvPicPr>
                  </pic:nvPicPr>
                  <pic:blipFill>
                    <a:blip r:embed="rId7"/>
                    <a:stretch>
                      <a:fillRect/>
                    </a:stretch>
                  </pic:blipFill>
                  <pic:spPr bwMode="auto">
                    <a:xfrm>
                      <a:off x="0" y="0"/>
                      <a:ext cx="5334000" cy="3615437"/>
                    </a:xfrm>
                    <a:prstGeom prst="rect">
                      <a:avLst/>
                    </a:prstGeom>
                    <a:noFill/>
                    <a:ln w="9525">
                      <a:noFill/>
                      <a:headEnd/>
                      <a:tailEnd/>
                    </a:ln>
                  </pic:spPr>
                </pic:pic>
              </a:graphicData>
            </a:graphic>
          </wp:inline>
        </w:drawing>
      </w:r>
    </w:p>
    <w:p w14:paraId="02A3D785" w14:textId="77777777" w:rsidR="001300E2" w:rsidRDefault="00000000">
      <w:pPr>
        <w:pStyle w:val="ImageCaption"/>
      </w:pPr>
      <w:r>
        <w:t>Historical Configurational Trajectories of Ownership Landscapes (PCA 2019-2024)</w:t>
      </w:r>
    </w:p>
    <w:p w14:paraId="628FB9A5" w14:textId="77777777" w:rsidR="001300E2" w:rsidRDefault="00000000">
      <w:pPr>
        <w:pStyle w:val="Textoindependiente"/>
      </w:pPr>
      <w:r>
        <w:t>The two-dimensional map reveals the existence of path-dependent evolutionary paths for each league:</w:t>
      </w:r>
    </w:p>
    <w:p w14:paraId="3ED1CEDA" w14:textId="77777777" w:rsidR="001300E2" w:rsidRDefault="00000000">
      <w:pPr>
        <w:pStyle w:val="Compact"/>
        <w:numPr>
          <w:ilvl w:val="0"/>
          <w:numId w:val="5"/>
        </w:numPr>
      </w:pPr>
      <w:r>
        <w:rPr>
          <w:b/>
          <w:bCs/>
        </w:rPr>
        <w:t>Bundesliga (Absolute Stability in Quadrant III)</w:t>
      </w:r>
      <w:r>
        <w:t xml:space="preserve">: Stationary in the bottom-left corner of the plane (PC1 </w:t>
      </w:r>
      <m:oMath>
        <m:r>
          <m:rPr>
            <m:sty m:val="p"/>
          </m:rPr>
          <w:rPr>
            <w:rFonts w:ascii="Cambria Math" w:hAnsi="Cambria Math"/>
          </w:rPr>
          <m:t>≈-</m:t>
        </m:r>
        <m:r>
          <w:rPr>
            <w:rFonts w:ascii="Cambria Math" w:hAnsi="Cambria Math"/>
          </w:rPr>
          <m:t>3.3</m:t>
        </m:r>
      </m:oMath>
      <w:r>
        <w:t xml:space="preserve"> and PC2 rising slightly from </w:t>
      </w:r>
      <m:oMath>
        <m:r>
          <m:rPr>
            <m:sty m:val="p"/>
          </m:rPr>
          <w:rPr>
            <w:rFonts w:ascii="Cambria Math" w:hAnsi="Cambria Math"/>
          </w:rPr>
          <m:t>-</m:t>
        </m:r>
        <m:r>
          <w:rPr>
            <w:rFonts w:ascii="Cambria Math" w:hAnsi="Cambria Math"/>
          </w:rPr>
          <m:t>1.18</m:t>
        </m:r>
      </m:oMath>
      <w:r>
        <w:t xml:space="preserve"> to </w:t>
      </w:r>
      <m:oMath>
        <m:r>
          <m:rPr>
            <m:sty m:val="p"/>
          </m:rPr>
          <w:rPr>
            <w:rFonts w:ascii="Cambria Math" w:hAnsi="Cambria Math"/>
          </w:rPr>
          <m:t>-</m:t>
        </m:r>
        <m:r>
          <w:rPr>
            <w:rFonts w:ascii="Cambria Math" w:hAnsi="Cambria Math"/>
          </w:rPr>
          <m:t>0.51</m:t>
        </m:r>
      </m:oMath>
      <w:r>
        <w:t>). This demonstrates the extraordinary institutional effectiveness of the 50+1 rule as an absolute shield against the entry of venture capital and transnational MCO networks, keeping its landscape under the traditional democratic and uniclub model.</w:t>
      </w:r>
    </w:p>
    <w:p w14:paraId="11F95EDC" w14:textId="77777777" w:rsidR="001300E2" w:rsidRDefault="00000000">
      <w:pPr>
        <w:pStyle w:val="Compact"/>
        <w:numPr>
          <w:ilvl w:val="0"/>
          <w:numId w:val="5"/>
        </w:numPr>
      </w:pPr>
      <w:r>
        <w:rPr>
          <w:b/>
          <w:bCs/>
        </w:rPr>
        <w:t>LaLiga (Oscillation between Quadrants II and III)</w:t>
      </w:r>
      <w:r>
        <w:t>: Shifts exclusively in the left half of the plane (PC1 always negative), oscillating between Quadrant II and Quadrant III. It starts in 2019 in Quadrant II (</w:t>
      </w:r>
      <m:oMath>
        <m:r>
          <w:rPr>
            <w:rFonts w:ascii="Cambria Math" w:hAnsi="Cambria Math"/>
          </w:rPr>
          <m:t>y</m:t>
        </m:r>
        <m:r>
          <m:rPr>
            <m:sty m:val="p"/>
          </m:rPr>
          <w:rPr>
            <w:rFonts w:ascii="Cambria Math" w:hAnsi="Cambria Math"/>
          </w:rPr>
          <m:t>=+</m:t>
        </m:r>
        <m:r>
          <w:rPr>
            <w:rFonts w:ascii="Cambria Math" w:hAnsi="Cambria Math"/>
          </w:rPr>
          <m:t>0.21</m:t>
        </m:r>
      </m:oMath>
      <w:r>
        <w:t xml:space="preserve">), falls to Quadrant III in 2020-2021 (reaching its lowest point at </w:t>
      </w:r>
      <m:oMath>
        <m:r>
          <w:rPr>
            <w:rFonts w:ascii="Cambria Math" w:hAnsi="Cambria Math"/>
          </w:rPr>
          <m:t>y</m:t>
        </m:r>
        <m:r>
          <m:rPr>
            <m:sty m:val="p"/>
          </m:rPr>
          <w:rPr>
            <w:rFonts w:ascii="Cambria Math" w:hAnsi="Cambria Math"/>
          </w:rPr>
          <m:t>=-</m:t>
        </m:r>
        <m:r>
          <w:rPr>
            <w:rFonts w:ascii="Cambria Math" w:hAnsi="Cambria Math"/>
          </w:rPr>
          <m:t>0.50</m:t>
        </m:r>
      </m:oMath>
      <w:r>
        <w:t xml:space="preserve"> due to the promotion of traditional clubs), and returns to Quadrant II in 2024 (</w:t>
      </w:r>
      <m:oMath>
        <m:r>
          <w:rPr>
            <w:rFonts w:ascii="Cambria Math" w:hAnsi="Cambria Math"/>
          </w:rPr>
          <m:t>y</m:t>
        </m:r>
        <m:r>
          <m:rPr>
            <m:sty m:val="p"/>
          </m:rPr>
          <w:rPr>
            <w:rFonts w:ascii="Cambria Math" w:hAnsi="Cambria Math"/>
          </w:rPr>
          <m:t>=+</m:t>
        </m:r>
        <m:r>
          <w:rPr>
            <w:rFonts w:ascii="Cambria Math" w:hAnsi="Cambria Math"/>
          </w:rPr>
          <m:t>0.17</m:t>
        </m:r>
      </m:oMath>
      <w:r>
        <w:t>). Its member-owned clubs act as a structural anchor to the left, preserving its hybrid and socially rooted character.</w:t>
      </w:r>
    </w:p>
    <w:p w14:paraId="26B8D359" w14:textId="77777777" w:rsidR="001300E2" w:rsidRDefault="00000000">
      <w:pPr>
        <w:pStyle w:val="Compact"/>
        <w:numPr>
          <w:ilvl w:val="0"/>
          <w:numId w:val="5"/>
        </w:numPr>
      </w:pPr>
      <w:r>
        <w:rPr>
          <w:b/>
          <w:bCs/>
        </w:rPr>
        <w:t>Premier League (Trajectory in Quadrants II and I)</w:t>
      </w:r>
      <w:r>
        <w:t>: Remains persistently in the upper part of the plane (PC2 &gt; 2.1) due to its very high rate of multi-club ownership, oscillating on the vertical border (</w:t>
      </w:r>
      <m:oMath>
        <m:r>
          <w:rPr>
            <w:rFonts w:ascii="Cambria Math" w:hAnsi="Cambria Math"/>
          </w:rPr>
          <m:t>PC1</m:t>
        </m:r>
        <m:r>
          <m:rPr>
            <m:sty m:val="p"/>
          </m:rPr>
          <w:rPr>
            <w:rFonts w:ascii="Cambria Math" w:hAnsi="Cambria Math"/>
          </w:rPr>
          <m:t>=</m:t>
        </m:r>
        <m:r>
          <w:rPr>
            <w:rFonts w:ascii="Cambria Math" w:hAnsi="Cambria Math"/>
          </w:rPr>
          <m:t>0</m:t>
        </m:r>
      </m:oMath>
      <w:r>
        <w:t>) between Quadrant II and Quadrant I. It ends in 2024 consolidated in Quadrant I (</w:t>
      </w:r>
      <m:oMath>
        <m:r>
          <w:rPr>
            <w:rFonts w:ascii="Cambria Math" w:hAnsi="Cambria Math"/>
          </w:rPr>
          <m:t>x</m:t>
        </m:r>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2.62</m:t>
        </m:r>
      </m:oMath>
      <w:r>
        <w:t>). It represents globalized financialization with no return, combining transnational ownership with group corporate control.</w:t>
      </w:r>
    </w:p>
    <w:p w14:paraId="1B90C45E" w14:textId="77777777" w:rsidR="001300E2" w:rsidRDefault="00000000">
      <w:pPr>
        <w:pStyle w:val="Compact"/>
        <w:numPr>
          <w:ilvl w:val="0"/>
          <w:numId w:val="5"/>
        </w:numPr>
      </w:pPr>
      <w:r>
        <w:rPr>
          <w:b/>
          <w:bCs/>
        </w:rPr>
        <w:lastRenderedPageBreak/>
        <w:t>Serie A (Rise within Quadrant IV)</w:t>
      </w:r>
      <w:r>
        <w:t xml:space="preserve">: Positioned firmly from start to finish in Quadrant IV (PC1 &gt; 2.0, PC2 &lt; 0), but shows a clear upward trajectory (rising from </w:t>
      </w:r>
      <m:oMath>
        <m:r>
          <w:rPr>
            <w:rFonts w:ascii="Cambria Math" w:hAnsi="Cambria Math"/>
          </w:rPr>
          <m:t>y</m:t>
        </m:r>
        <m:r>
          <m:rPr>
            <m:sty m:val="p"/>
          </m:rPr>
          <w:rPr>
            <w:rFonts w:ascii="Cambria Math" w:hAnsi="Cambria Math"/>
          </w:rPr>
          <m:t>=-</m:t>
        </m:r>
        <m:r>
          <w:rPr>
            <w:rFonts w:ascii="Cambria Math" w:hAnsi="Cambria Math"/>
          </w:rPr>
          <m:t>1.55</m:t>
        </m:r>
      </m:oMath>
      <w:r>
        <w:t xml:space="preserve"> in 2019 to </w:t>
      </w:r>
      <m:oMath>
        <m:r>
          <w:rPr>
            <w:rFonts w:ascii="Cambria Math" w:hAnsi="Cambria Math"/>
          </w:rPr>
          <m:t>y</m:t>
        </m:r>
        <m:r>
          <m:rPr>
            <m:sty m:val="p"/>
          </m:rPr>
          <w:rPr>
            <w:rFonts w:ascii="Cambria Math" w:hAnsi="Cambria Math"/>
          </w:rPr>
          <m:t>=-</m:t>
        </m:r>
        <m:r>
          <w:rPr>
            <w:rFonts w:ascii="Cambria Math" w:hAnsi="Cambria Math"/>
          </w:rPr>
          <m:t>0.36</m:t>
        </m:r>
      </m:oMath>
      <w:r>
        <w:t xml:space="preserve"> in 2024). This reflects how traditional domestic capital is being progressively replaced by international investment funds (which inject commercial capital, raising the league’s PC2) and promotions of clubs under private corporate models.</w:t>
      </w:r>
    </w:p>
    <w:p w14:paraId="1BCA051F" w14:textId="77777777" w:rsidR="001300E2" w:rsidRDefault="00000000">
      <w:pPr>
        <w:pStyle w:val="Compact"/>
        <w:numPr>
          <w:ilvl w:val="0"/>
          <w:numId w:val="5"/>
        </w:numPr>
      </w:pPr>
      <w:r>
        <w:rPr>
          <w:b/>
          <w:bCs/>
        </w:rPr>
        <w:t>Ligue 1 (Dynamic Shifts between Quadrants I and IV)</w:t>
      </w:r>
      <w:r>
        <w:t>: This is the league with the most marked oscillations in the study. It starts deep in Quadrant IV in 2019 (</w:t>
      </w:r>
      <m:oMath>
        <m:r>
          <w:rPr>
            <w:rFonts w:ascii="Cambria Math" w:hAnsi="Cambria Math"/>
          </w:rPr>
          <m:t>y</m:t>
        </m:r>
        <m:r>
          <m:rPr>
            <m:sty m:val="p"/>
          </m:rPr>
          <w:rPr>
            <w:rFonts w:ascii="Cambria Math" w:hAnsi="Cambria Math"/>
          </w:rPr>
          <m:t>≈-</m:t>
        </m:r>
        <m:r>
          <w:rPr>
            <w:rFonts w:ascii="Cambria Math" w:hAnsi="Cambria Math"/>
          </w:rPr>
          <m:t>1.90</m:t>
        </m:r>
      </m:oMath>
      <w:r>
        <w:t>), rises to Quadrant I in 2022 (</w:t>
      </w:r>
      <m:oMath>
        <m:r>
          <w:rPr>
            <w:rFonts w:ascii="Cambria Math" w:hAnsi="Cambria Math"/>
          </w:rPr>
          <m:t>y</m:t>
        </m:r>
        <m:r>
          <m:rPr>
            <m:sty m:val="p"/>
          </m:rPr>
          <w:rPr>
            <w:rFonts w:ascii="Cambria Math" w:hAnsi="Cambria Math"/>
          </w:rPr>
          <m:t>=+</m:t>
        </m:r>
        <m:r>
          <w:rPr>
            <w:rFonts w:ascii="Cambria Math" w:hAnsi="Cambria Math"/>
          </w:rPr>
          <m:t>0.44</m:t>
        </m:r>
      </m:oMath>
      <w:r>
        <w:t>), falls back to Quadrant IV in 2023, and in 2024 crosses slightly into Quadrant I again (</w:t>
      </w:r>
      <m:oMath>
        <m:r>
          <w:rPr>
            <w:rFonts w:ascii="Cambria Math" w:hAnsi="Cambria Math"/>
          </w:rPr>
          <m:t>y</m:t>
        </m:r>
        <m:r>
          <m:rPr>
            <m:sty m:val="p"/>
          </m:rPr>
          <w:rPr>
            <w:rFonts w:ascii="Cambria Math" w:hAnsi="Cambria Math"/>
          </w:rPr>
          <m:t>=+</m:t>
        </m:r>
        <m:r>
          <w:rPr>
            <w:rFonts w:ascii="Cambria Math" w:hAnsi="Cambria Math"/>
          </w:rPr>
          <m:t>0.03</m:t>
        </m:r>
      </m:oMath>
      <w:r>
        <w:t>). It reflects the instability of French football finances, with recurring club buyouts and shifts between transnational MCOs and individual private ownership.</w:t>
      </w:r>
    </w:p>
    <w:p w14:paraId="303327DE" w14:textId="77777777" w:rsidR="001300E2" w:rsidRDefault="00000000">
      <w:r>
        <w:pict w14:anchorId="022233E5">
          <v:rect id="_x0000_i1033" style="width:0;height:1.5pt" o:hralign="center" o:hrstd="t" o:hr="t"/>
        </w:pict>
      </w:r>
    </w:p>
    <w:p w14:paraId="358D2C91" w14:textId="77777777" w:rsidR="001300E2" w:rsidRDefault="00000000">
      <w:pPr>
        <w:pStyle w:val="Ttulo3"/>
      </w:pPr>
      <w:bookmarkStart w:id="28" w:name="treatment-of-compositional-data-coda"/>
      <w:bookmarkEnd w:id="27"/>
      <w:r>
        <w:t>6.4. Treatment of Compositional Data (CoDa)</w:t>
      </w:r>
    </w:p>
    <w:p w14:paraId="2FDB2634" w14:textId="77777777" w:rsidR="00216E9B" w:rsidRDefault="00000000">
      <w:pPr>
        <w:pStyle w:val="FirstParagraph"/>
      </w:pPr>
      <w:r>
        <w:t xml:space="preserve">The proportions of the Ownership Landscape matrix are compositional data by definition (they sum to 1.0 and are bounded in the simplex space). Consequently, in accordance with contemporary methodological theory for compositional data analysis (Pawlowsky-Glahn et al., 2015), two methodological approaches are applied to ensure statistical robustness: </w:t>
      </w:r>
    </w:p>
    <w:p w14:paraId="5E4FAE14" w14:textId="77777777" w:rsidR="00216E9B" w:rsidRDefault="00000000" w:rsidP="00216E9B">
      <w:pPr>
        <w:pStyle w:val="FirstParagraph"/>
        <w:numPr>
          <w:ilvl w:val="0"/>
          <w:numId w:val="24"/>
        </w:numPr>
      </w:pPr>
      <w:r>
        <w:rPr>
          <w:b/>
          <w:bCs/>
        </w:rPr>
        <w:t>Reference Approach (Conventional PCA)</w:t>
      </w:r>
      <w:r>
        <w:t xml:space="preserve">: Conventional PCA is performed on the standardized proportions to maintain the direct legibility of the simple Euclidean distances of the proportions. </w:t>
      </w:r>
    </w:p>
    <w:p w14:paraId="03F38401" w14:textId="713D78C9" w:rsidR="001300E2" w:rsidRDefault="00000000" w:rsidP="00216E9B">
      <w:pPr>
        <w:pStyle w:val="FirstParagraph"/>
        <w:numPr>
          <w:ilvl w:val="0"/>
          <w:numId w:val="24"/>
        </w:numPr>
      </w:pPr>
      <w:r>
        <w:rPr>
          <w:b/>
          <w:bCs/>
        </w:rPr>
        <w:t>Sensitivity Approach (Compositional PCA)</w:t>
      </w:r>
      <w:r>
        <w:t xml:space="preserve">: A </w:t>
      </w:r>
      <w:r>
        <w:rPr>
          <w:b/>
          <w:bCs/>
        </w:rPr>
        <w:t>Centered Log-Ratio (CLR)</w:t>
      </w:r>
      <w:r>
        <w:t xml:space="preserve"> transformation is applied to the proportions (adding a residual constant of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to zero proportions to avoid mathematical indeterminacies of logarithms) before performing the PCA (Pawlowsky-Glahn et al., 2015). The CLR projects the data out of the simplex to avoid spurious correlation problems and induce true orthogonality. The results and spatial ordering of both analyses are contrasted and verified in the sensitivity tests.</w:t>
      </w:r>
    </w:p>
    <w:p w14:paraId="301BDF39" w14:textId="77777777" w:rsidR="001300E2" w:rsidRDefault="00000000">
      <w:pPr>
        <w:pStyle w:val="Ttulo2"/>
      </w:pPr>
      <w:bookmarkStart w:id="29" w:name="X5d35961d094a2efa3f5f31afe8643d89dfa10b0"/>
      <w:bookmarkEnd w:id="23"/>
      <w:bookmarkEnd w:id="28"/>
      <w:r>
        <w:t>7. Sensitivity, Robustness, and Reproducibility</w:t>
      </w:r>
    </w:p>
    <w:p w14:paraId="384F64C6" w14:textId="77777777" w:rsidR="001300E2" w:rsidRDefault="00000000">
      <w:pPr>
        <w:pStyle w:val="FirstParagraph"/>
      </w:pPr>
      <w:r>
        <w:t>To validate the methodological soundness of the descriptive and configurational results obtained, the following robustness tests were implemented:</w:t>
      </w:r>
    </w:p>
    <w:p w14:paraId="58D9DC51" w14:textId="77777777" w:rsidR="001300E2" w:rsidRDefault="00000000">
      <w:pPr>
        <w:pStyle w:val="Compact"/>
        <w:numPr>
          <w:ilvl w:val="0"/>
          <w:numId w:val="6"/>
        </w:numPr>
      </w:pPr>
      <w:r>
        <w:rPr>
          <w:b/>
          <w:bCs/>
        </w:rPr>
        <w:t>Conventional vs. Compositional PCA (CLR)</w:t>
      </w:r>
      <w:r>
        <w:t xml:space="preserve">: The scores of the 30 league-season observations obtained under both approaches were correlated. The Pearson correlation for the first principal component (PC1, the Internationalization and Financialization Axis) between both approaches exceeded </w:t>
      </w:r>
      <m:oMath>
        <m:r>
          <w:rPr>
            <w:rFonts w:ascii="Cambria Math" w:hAnsi="Cambria Math"/>
          </w:rPr>
          <m:t>0.96</m:t>
        </m:r>
      </m:oMath>
      <w:r>
        <w:t xml:space="preserve"> in absolute value (with a Spearman rank correlation of </w:t>
      </w:r>
      <m:oMath>
        <m:r>
          <w:rPr>
            <w:rFonts w:ascii="Cambria Math" w:hAnsi="Cambria Math"/>
          </w:rPr>
          <m:t>0.88</m:t>
        </m:r>
      </m:oMath>
      <w:r>
        <w:t xml:space="preserve">). This empirically confirms that the main axis of league differentiation and </w:t>
      </w:r>
      <w:r>
        <w:lastRenderedPageBreak/>
        <w:t>internationalization is highly stable and robust, and is not affected by the constant-sum constraint of the compositional simplex (Pawlowsky-Glahn et al., 2015).</w:t>
      </w:r>
    </w:p>
    <w:p w14:paraId="38E5E7D8" w14:textId="77777777" w:rsidR="001300E2" w:rsidRDefault="00000000">
      <w:pPr>
        <w:pStyle w:val="Compact"/>
        <w:numPr>
          <w:ilvl w:val="0"/>
          <w:numId w:val="6"/>
        </w:numPr>
      </w:pPr>
      <w:r>
        <w:rPr>
          <w:b/>
          <w:bCs/>
        </w:rPr>
        <w:t>Stability Without the “Unknown” Category</w:t>
      </w:r>
      <w:r>
        <w:t xml:space="preserve">: The PCA was repeated after excluding the </w:t>
      </w:r>
      <w:r>
        <w:rPr>
          <w:rStyle w:val="VerbatimChar"/>
        </w:rPr>
        <w:t>unknown</w:t>
      </w:r>
      <w:r>
        <w:t xml:space="preserve"> proportion and re-normalizing the remaining 7 substantive categories to </w:t>
      </w:r>
      <m:oMath>
        <m:r>
          <w:rPr>
            <w:rFonts w:ascii="Cambria Math" w:hAnsi="Cambria Math"/>
          </w:rPr>
          <m:t>1.0</m:t>
        </m:r>
      </m:oMath>
      <w:r>
        <w:t xml:space="preserve"> using the formula </w:t>
      </w:r>
      <m:oMath>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unknown</m:t>
                </m:r>
              </m:sub>
            </m:sSub>
          </m:e>
        </m:d>
      </m:oMath>
      <w:r>
        <w:t xml:space="preserve">. The geometric comparison of the relative position of the 30 league-season observations in the two-dimensional plane yielded a Procrustes correlation of </w:t>
      </w:r>
      <m:oMath>
        <m:r>
          <w:rPr>
            <w:rFonts w:ascii="Cambria Math" w:hAnsi="Cambria Math"/>
          </w:rPr>
          <m:t>0.985</m:t>
        </m:r>
      </m:oMath>
      <w:r>
        <w:t>, rigorously validating that the presence of unresolved data does not introduce bias or affect the configurational validity of the study.</w:t>
      </w:r>
    </w:p>
    <w:p w14:paraId="66FC09D5" w14:textId="77777777" w:rsidR="001300E2" w:rsidRDefault="00000000">
      <w:pPr>
        <w:pStyle w:val="Ttulo3"/>
      </w:pPr>
      <w:bookmarkStart w:id="30" w:name="X786bac6ca573ad088c309e85dbd657ac643de7d"/>
      <w:r>
        <w:t>Reproducibility and Software Infrastructure</w:t>
      </w:r>
    </w:p>
    <w:p w14:paraId="6866807E" w14:textId="77777777" w:rsidR="00216E9B" w:rsidRDefault="00000000">
      <w:pPr>
        <w:pStyle w:val="FirstParagraph"/>
      </w:pPr>
      <w:r>
        <w:t xml:space="preserve">The analysis was executed using </w:t>
      </w:r>
      <w:r>
        <w:rPr>
          <w:b/>
          <w:bCs/>
        </w:rPr>
        <w:t>Python 3.13</w:t>
      </w:r>
      <w:r>
        <w:t xml:space="preserve"> in a reproducible development environment with the following scientific support libraries: </w:t>
      </w:r>
    </w:p>
    <w:p w14:paraId="625C5372" w14:textId="77777777" w:rsidR="00216E9B" w:rsidRDefault="00000000" w:rsidP="00216E9B">
      <w:pPr>
        <w:pStyle w:val="FirstParagraph"/>
        <w:numPr>
          <w:ilvl w:val="0"/>
          <w:numId w:val="25"/>
        </w:numPr>
      </w:pPr>
      <w:r>
        <w:t xml:space="preserve">Data processing and matrix manipulation: </w:t>
      </w:r>
      <w:r>
        <w:rPr>
          <w:rStyle w:val="VerbatimChar"/>
        </w:rPr>
        <w:t>pandas (v2.2)</w:t>
      </w:r>
      <w:r>
        <w:t xml:space="preserve"> and </w:t>
      </w:r>
      <w:proofErr w:type="spellStart"/>
      <w:r>
        <w:rPr>
          <w:rStyle w:val="VerbatimChar"/>
        </w:rPr>
        <w:t>numpy</w:t>
      </w:r>
      <w:proofErr w:type="spellEnd"/>
      <w:r>
        <w:rPr>
          <w:rStyle w:val="VerbatimChar"/>
        </w:rPr>
        <w:t xml:space="preserve"> (v1.26)</w:t>
      </w:r>
      <w:r>
        <w:t>.</w:t>
      </w:r>
    </w:p>
    <w:p w14:paraId="34D19FA6" w14:textId="74971061" w:rsidR="00216E9B" w:rsidRDefault="00000000" w:rsidP="00216E9B">
      <w:pPr>
        <w:pStyle w:val="FirstParagraph"/>
        <w:numPr>
          <w:ilvl w:val="0"/>
          <w:numId w:val="25"/>
        </w:numPr>
      </w:pPr>
      <w:r>
        <w:t xml:space="preserve">Statistical modeling and dimensional analysis: </w:t>
      </w:r>
      <w:r>
        <w:rPr>
          <w:rStyle w:val="VerbatimChar"/>
        </w:rPr>
        <w:t>scikit-learn (v1.4)</w:t>
      </w:r>
      <w:r>
        <w:t xml:space="preserve">. </w:t>
      </w:r>
    </w:p>
    <w:p w14:paraId="6E120B57" w14:textId="452B9A77" w:rsidR="001300E2" w:rsidRDefault="00000000" w:rsidP="00216E9B">
      <w:pPr>
        <w:pStyle w:val="FirstParagraph"/>
        <w:numPr>
          <w:ilvl w:val="0"/>
          <w:numId w:val="25"/>
        </w:numPr>
      </w:pPr>
      <w:r>
        <w:t xml:space="preserve">High-quality graphical visualization: </w:t>
      </w:r>
      <w:r>
        <w:rPr>
          <w:rStyle w:val="VerbatimChar"/>
        </w:rPr>
        <w:t>matplotlib (v3.8)</w:t>
      </w:r>
      <w:r>
        <w:t xml:space="preserve"> and </w:t>
      </w:r>
      <w:r>
        <w:rPr>
          <w:rStyle w:val="VerbatimChar"/>
        </w:rPr>
        <w:t>seaborn (v0.13)</w:t>
      </w:r>
      <w:r>
        <w:t>.</w:t>
      </w:r>
    </w:p>
    <w:p w14:paraId="4549F613" w14:textId="77777777" w:rsidR="001300E2" w:rsidRDefault="00000000">
      <w:r>
        <w:pict w14:anchorId="752D9973">
          <v:rect id="_x0000_i1034" style="width:0;height:1.5pt" o:hralign="center" o:hrstd="t" o:hr="t"/>
        </w:pict>
      </w:r>
    </w:p>
    <w:p w14:paraId="41721F47" w14:textId="77777777" w:rsidR="001300E2" w:rsidRDefault="00000000">
      <w:pPr>
        <w:pStyle w:val="Ttulo2"/>
      </w:pPr>
      <w:bookmarkStart w:id="31" w:name="references"/>
      <w:bookmarkEnd w:id="29"/>
      <w:bookmarkEnd w:id="30"/>
      <w:r>
        <w:t>8. References</w:t>
      </w:r>
    </w:p>
    <w:p w14:paraId="5226C19B" w14:textId="77777777" w:rsidR="001300E2" w:rsidRDefault="00000000">
      <w:pPr>
        <w:pStyle w:val="FirstParagraph"/>
      </w:pPr>
      <w:r>
        <w:t xml:space="preserve">Fiss, P. C. (2007). A set-theoretic approach to organizational configurations. </w:t>
      </w:r>
      <w:r>
        <w:rPr>
          <w:i/>
          <w:iCs/>
        </w:rPr>
        <w:t>Academy of Management Review</w:t>
      </w:r>
      <w:r>
        <w:t>, 32(4), 1180–1198. https://doi.org/10.5465/amr.2007.26586092</w:t>
      </w:r>
    </w:p>
    <w:p w14:paraId="33DE36D8" w14:textId="77777777" w:rsidR="001300E2" w:rsidRDefault="00000000">
      <w:pPr>
        <w:pStyle w:val="Textoindependiente"/>
      </w:pPr>
      <w:r>
        <w:t xml:space="preserve">Jolliffe, I. T., &amp; Cadima, J. (2016). Principal component analysis: a review and recent developments. </w:t>
      </w:r>
      <w:r>
        <w:rPr>
          <w:i/>
          <w:iCs/>
        </w:rPr>
        <w:t>Philosophical Transactions of the Royal Society A: Mathematical, Physical and Engineering Sciences</w:t>
      </w:r>
      <w:r>
        <w:t>, 374(2065), 20150202. https://doi.org/10.1098/rsta.2015.0202</w:t>
      </w:r>
    </w:p>
    <w:p w14:paraId="6EEAC6A5" w14:textId="77777777" w:rsidR="001300E2" w:rsidRDefault="00000000">
      <w:pPr>
        <w:pStyle w:val="Textoindependiente"/>
      </w:pPr>
      <w:r>
        <w:t xml:space="preserve">Jost, L. (2006). Entropy and diversity. </w:t>
      </w:r>
      <w:r>
        <w:rPr>
          <w:i/>
          <w:iCs/>
        </w:rPr>
        <w:t>Oikos</w:t>
      </w:r>
      <w:r>
        <w:t>, 113(2), 363–375. https://doi.org/10.1111/j.2006.0030-1299.14714.x</w:t>
      </w:r>
    </w:p>
    <w:p w14:paraId="3FD3A167" w14:textId="77777777" w:rsidR="001300E2" w:rsidRPr="00216E9B" w:rsidRDefault="00000000">
      <w:pPr>
        <w:pStyle w:val="Textoindependiente"/>
        <w:rPr>
          <w:lang w:val="es-ES"/>
        </w:rPr>
      </w:pPr>
      <w:r>
        <w:t xml:space="preserve">Nauright, J., &amp; Ramfjord, J. (2010). Who owns England’s game? American professional sports ownership in the English Premier League. </w:t>
      </w:r>
      <w:r w:rsidRPr="00216E9B">
        <w:rPr>
          <w:i/>
          <w:iCs/>
          <w:lang w:val="es-ES"/>
        </w:rPr>
        <w:t xml:space="preserve">Soccer &amp; </w:t>
      </w:r>
      <w:proofErr w:type="spellStart"/>
      <w:r w:rsidRPr="00216E9B">
        <w:rPr>
          <w:i/>
          <w:iCs/>
          <w:lang w:val="es-ES"/>
        </w:rPr>
        <w:t>Society</w:t>
      </w:r>
      <w:proofErr w:type="spellEnd"/>
      <w:r w:rsidRPr="00216E9B">
        <w:rPr>
          <w:lang w:val="es-ES"/>
        </w:rPr>
        <w:t>, 11(4), 428–441. https://doi.org/10.1080/14660971003780321</w:t>
      </w:r>
    </w:p>
    <w:p w14:paraId="34E3B0D4" w14:textId="77777777" w:rsidR="001300E2" w:rsidRDefault="00000000">
      <w:pPr>
        <w:pStyle w:val="Textoindependiente"/>
      </w:pPr>
      <w:r w:rsidRPr="00216E9B">
        <w:rPr>
          <w:lang w:val="es-ES"/>
        </w:rPr>
        <w:t xml:space="preserve">Pawlowsky-Glahn, V., Egozcue, J. J., &amp; Tolosana-Delgado, R. (2015). </w:t>
      </w:r>
      <w:r>
        <w:rPr>
          <w:i/>
          <w:iCs/>
        </w:rPr>
        <w:t>Modeling and Analysis of Compositional Data</w:t>
      </w:r>
      <w:r>
        <w:t>. John Wiley &amp; Sons. https://doi.org/10.1002/9781119003144</w:t>
      </w:r>
    </w:p>
    <w:p w14:paraId="1E0388A3" w14:textId="77777777" w:rsidR="001300E2" w:rsidRDefault="00000000">
      <w:pPr>
        <w:pStyle w:val="Textoindependiente"/>
      </w:pPr>
      <w:r>
        <w:lastRenderedPageBreak/>
        <w:t xml:space="preserve">Shannon, C. E. (1948). A mathematical theory of communication. </w:t>
      </w:r>
      <w:r>
        <w:rPr>
          <w:i/>
          <w:iCs/>
        </w:rPr>
        <w:t>Bell System Technical Journal</w:t>
      </w:r>
      <w:r>
        <w:t>, 27(3), 379–423. https://doi.org/10.1002/j.1538-7305.1948.tb01338.x</w:t>
      </w:r>
    </w:p>
    <w:p w14:paraId="089DA3F8" w14:textId="77777777" w:rsidR="001300E2" w:rsidRDefault="00000000">
      <w:pPr>
        <w:pStyle w:val="Textoindependiente"/>
      </w:pPr>
      <w:r>
        <w:t xml:space="preserve">Storm, R. H., &amp; Nielsen, K. (2012). Soft budget constraints in professional football. </w:t>
      </w:r>
      <w:r>
        <w:rPr>
          <w:i/>
          <w:iCs/>
        </w:rPr>
        <w:t>European Sport Management Quarterly</w:t>
      </w:r>
      <w:r>
        <w:t>, 12(2), 183–201. https://doi.org/10.1080/16184742.2012.670660</w:t>
      </w:r>
    </w:p>
    <w:p w14:paraId="22A810E6" w14:textId="77777777" w:rsidR="001300E2" w:rsidRDefault="00000000">
      <w:pPr>
        <w:pStyle w:val="Textoindependiente"/>
      </w:pPr>
      <w:r>
        <w:t xml:space="preserve">UEFA. (2024). </w:t>
      </w:r>
      <w:r>
        <w:rPr>
          <w:i/>
          <w:iCs/>
        </w:rPr>
        <w:t>The European Club Finance and Investment Landscape Report</w:t>
      </w:r>
      <w:r>
        <w:t>. UEFA. https://ecfil.uefa.com/2024</w:t>
      </w:r>
    </w:p>
    <w:p w14:paraId="249D1D0D" w14:textId="77777777" w:rsidR="001300E2" w:rsidRDefault="00000000">
      <w:pPr>
        <w:pStyle w:val="Textoindependiente"/>
      </w:pPr>
      <w:r>
        <w:t xml:space="preserve">U.S. Department of Justice &amp; Federal Trade Commission. (2023). </w:t>
      </w:r>
      <w:r>
        <w:rPr>
          <w:i/>
          <w:iCs/>
        </w:rPr>
        <w:t>Merger Guidelines</w:t>
      </w:r>
      <w:r>
        <w:t>. U.S. DOJ &amp; FTC. https://www.ftc.gov/reports/merger-guidelines-2023</w:t>
      </w:r>
      <w:bookmarkEnd w:id="0"/>
      <w:bookmarkEnd w:id="31"/>
    </w:p>
    <w:sectPr w:rsidR="001300E2">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9CF4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B803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3587C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1C1351"/>
    <w:multiLevelType w:val="hybridMultilevel"/>
    <w:tmpl w:val="9E0CD7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137EE4"/>
    <w:multiLevelType w:val="hybridMultilevel"/>
    <w:tmpl w:val="80C8FA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E74336E"/>
    <w:multiLevelType w:val="hybridMultilevel"/>
    <w:tmpl w:val="07328A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E853B52"/>
    <w:multiLevelType w:val="hybridMultilevel"/>
    <w:tmpl w:val="D9BECB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2807B3E"/>
    <w:multiLevelType w:val="hybridMultilevel"/>
    <w:tmpl w:val="984413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D77159C"/>
    <w:multiLevelType w:val="hybridMultilevel"/>
    <w:tmpl w:val="5EA0A1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DB97963"/>
    <w:multiLevelType w:val="hybridMultilevel"/>
    <w:tmpl w:val="487E938A"/>
    <w:lvl w:ilvl="0" w:tplc="0C0A0001">
      <w:start w:val="1"/>
      <w:numFmt w:val="bullet"/>
      <w:lvlText w:val=""/>
      <w:lvlJc w:val="left"/>
      <w:pPr>
        <w:ind w:left="774" w:hanging="360"/>
      </w:pPr>
      <w:rPr>
        <w:rFonts w:ascii="Symbol" w:hAnsi="Symbol" w:hint="default"/>
      </w:rPr>
    </w:lvl>
    <w:lvl w:ilvl="1" w:tplc="0C0A0003" w:tentative="1">
      <w:start w:val="1"/>
      <w:numFmt w:val="bullet"/>
      <w:lvlText w:val="o"/>
      <w:lvlJc w:val="left"/>
      <w:pPr>
        <w:ind w:left="1494" w:hanging="360"/>
      </w:pPr>
      <w:rPr>
        <w:rFonts w:ascii="Courier New" w:hAnsi="Courier New" w:cs="Courier New" w:hint="default"/>
      </w:rPr>
    </w:lvl>
    <w:lvl w:ilvl="2" w:tplc="0C0A0005" w:tentative="1">
      <w:start w:val="1"/>
      <w:numFmt w:val="bullet"/>
      <w:lvlText w:val=""/>
      <w:lvlJc w:val="left"/>
      <w:pPr>
        <w:ind w:left="2214" w:hanging="360"/>
      </w:pPr>
      <w:rPr>
        <w:rFonts w:ascii="Wingdings" w:hAnsi="Wingdings" w:hint="default"/>
      </w:rPr>
    </w:lvl>
    <w:lvl w:ilvl="3" w:tplc="0C0A0001" w:tentative="1">
      <w:start w:val="1"/>
      <w:numFmt w:val="bullet"/>
      <w:lvlText w:val=""/>
      <w:lvlJc w:val="left"/>
      <w:pPr>
        <w:ind w:left="2934" w:hanging="360"/>
      </w:pPr>
      <w:rPr>
        <w:rFonts w:ascii="Symbol" w:hAnsi="Symbol" w:hint="default"/>
      </w:rPr>
    </w:lvl>
    <w:lvl w:ilvl="4" w:tplc="0C0A0003" w:tentative="1">
      <w:start w:val="1"/>
      <w:numFmt w:val="bullet"/>
      <w:lvlText w:val="o"/>
      <w:lvlJc w:val="left"/>
      <w:pPr>
        <w:ind w:left="3654" w:hanging="360"/>
      </w:pPr>
      <w:rPr>
        <w:rFonts w:ascii="Courier New" w:hAnsi="Courier New" w:cs="Courier New" w:hint="default"/>
      </w:rPr>
    </w:lvl>
    <w:lvl w:ilvl="5" w:tplc="0C0A0005" w:tentative="1">
      <w:start w:val="1"/>
      <w:numFmt w:val="bullet"/>
      <w:lvlText w:val=""/>
      <w:lvlJc w:val="left"/>
      <w:pPr>
        <w:ind w:left="4374" w:hanging="360"/>
      </w:pPr>
      <w:rPr>
        <w:rFonts w:ascii="Wingdings" w:hAnsi="Wingdings" w:hint="default"/>
      </w:rPr>
    </w:lvl>
    <w:lvl w:ilvl="6" w:tplc="0C0A0001" w:tentative="1">
      <w:start w:val="1"/>
      <w:numFmt w:val="bullet"/>
      <w:lvlText w:val=""/>
      <w:lvlJc w:val="left"/>
      <w:pPr>
        <w:ind w:left="5094" w:hanging="360"/>
      </w:pPr>
      <w:rPr>
        <w:rFonts w:ascii="Symbol" w:hAnsi="Symbol" w:hint="default"/>
      </w:rPr>
    </w:lvl>
    <w:lvl w:ilvl="7" w:tplc="0C0A0003" w:tentative="1">
      <w:start w:val="1"/>
      <w:numFmt w:val="bullet"/>
      <w:lvlText w:val="o"/>
      <w:lvlJc w:val="left"/>
      <w:pPr>
        <w:ind w:left="5814" w:hanging="360"/>
      </w:pPr>
      <w:rPr>
        <w:rFonts w:ascii="Courier New" w:hAnsi="Courier New" w:cs="Courier New" w:hint="default"/>
      </w:rPr>
    </w:lvl>
    <w:lvl w:ilvl="8" w:tplc="0C0A0005" w:tentative="1">
      <w:start w:val="1"/>
      <w:numFmt w:val="bullet"/>
      <w:lvlText w:val=""/>
      <w:lvlJc w:val="left"/>
      <w:pPr>
        <w:ind w:left="6534" w:hanging="360"/>
      </w:pPr>
      <w:rPr>
        <w:rFonts w:ascii="Wingdings" w:hAnsi="Wingdings" w:hint="default"/>
      </w:rPr>
    </w:lvl>
  </w:abstractNum>
  <w:abstractNum w:abstractNumId="10" w15:restartNumberingAfterBreak="0">
    <w:nsid w:val="30F61881"/>
    <w:multiLevelType w:val="hybridMultilevel"/>
    <w:tmpl w:val="702A9B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4AF4A77"/>
    <w:multiLevelType w:val="hybridMultilevel"/>
    <w:tmpl w:val="E51C22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E686805"/>
    <w:multiLevelType w:val="hybridMultilevel"/>
    <w:tmpl w:val="C5EA1AF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1C02220"/>
    <w:multiLevelType w:val="hybridMultilevel"/>
    <w:tmpl w:val="BAF841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235271E"/>
    <w:multiLevelType w:val="hybridMultilevel"/>
    <w:tmpl w:val="D438DE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6032C7A"/>
    <w:multiLevelType w:val="hybridMultilevel"/>
    <w:tmpl w:val="FD94B8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3982D85"/>
    <w:multiLevelType w:val="hybridMultilevel"/>
    <w:tmpl w:val="E26CE5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6DF51DF"/>
    <w:multiLevelType w:val="hybridMultilevel"/>
    <w:tmpl w:val="4822920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D2D2EDE"/>
    <w:multiLevelType w:val="hybridMultilevel"/>
    <w:tmpl w:val="527A6B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6230151"/>
    <w:multiLevelType w:val="hybridMultilevel"/>
    <w:tmpl w:val="6DB08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8D672CD"/>
    <w:multiLevelType w:val="hybridMultilevel"/>
    <w:tmpl w:val="F35A8A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D707D4E"/>
    <w:multiLevelType w:val="hybridMultilevel"/>
    <w:tmpl w:val="E1BA4C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55428948">
    <w:abstractNumId w:val="0"/>
  </w:num>
  <w:num w:numId="2" w16cid:durableId="360325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5170531">
    <w:abstractNumId w:val="1"/>
  </w:num>
  <w:num w:numId="4" w16cid:durableId="1117410356">
    <w:abstractNumId w:val="1"/>
  </w:num>
  <w:num w:numId="5" w16cid:durableId="1493568436">
    <w:abstractNumId w:val="1"/>
  </w:num>
  <w:num w:numId="6" w16cid:durableId="1604998580">
    <w:abstractNumId w:val="1"/>
  </w:num>
  <w:num w:numId="7" w16cid:durableId="329449815">
    <w:abstractNumId w:val="6"/>
  </w:num>
  <w:num w:numId="8" w16cid:durableId="2099321948">
    <w:abstractNumId w:val="12"/>
  </w:num>
  <w:num w:numId="9" w16cid:durableId="623924735">
    <w:abstractNumId w:val="3"/>
  </w:num>
  <w:num w:numId="10" w16cid:durableId="1749111568">
    <w:abstractNumId w:val="17"/>
  </w:num>
  <w:num w:numId="11" w16cid:durableId="509608489">
    <w:abstractNumId w:val="5"/>
  </w:num>
  <w:num w:numId="12" w16cid:durableId="1535997687">
    <w:abstractNumId w:val="11"/>
  </w:num>
  <w:num w:numId="13" w16cid:durableId="1082949376">
    <w:abstractNumId w:val="21"/>
  </w:num>
  <w:num w:numId="14" w16cid:durableId="1134179581">
    <w:abstractNumId w:val="15"/>
  </w:num>
  <w:num w:numId="15" w16cid:durableId="282155927">
    <w:abstractNumId w:val="19"/>
  </w:num>
  <w:num w:numId="16" w16cid:durableId="132336743">
    <w:abstractNumId w:val="14"/>
  </w:num>
  <w:num w:numId="17" w16cid:durableId="225144129">
    <w:abstractNumId w:val="10"/>
  </w:num>
  <w:num w:numId="18" w16cid:durableId="1753894151">
    <w:abstractNumId w:val="16"/>
  </w:num>
  <w:num w:numId="19" w16cid:durableId="675807655">
    <w:abstractNumId w:val="9"/>
  </w:num>
  <w:num w:numId="20" w16cid:durableId="30153220">
    <w:abstractNumId w:val="13"/>
  </w:num>
  <w:num w:numId="21" w16cid:durableId="1944336131">
    <w:abstractNumId w:val="8"/>
  </w:num>
  <w:num w:numId="22" w16cid:durableId="331376479">
    <w:abstractNumId w:val="18"/>
  </w:num>
  <w:num w:numId="23" w16cid:durableId="1317030479">
    <w:abstractNumId w:val="20"/>
  </w:num>
  <w:num w:numId="24" w16cid:durableId="815728730">
    <w:abstractNumId w:val="7"/>
  </w:num>
  <w:num w:numId="25" w16cid:durableId="12345059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300E2"/>
    <w:rsid w:val="001300E2"/>
    <w:rsid w:val="00216E9B"/>
    <w:rsid w:val="00D33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A3464"/>
  <w15:docId w15:val="{8B5A7544-9DDF-49DC-92AF-062D8DEB7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4258</Words>
  <Characters>23421</Characters>
  <Application>Microsoft Office Word</Application>
  <DocSecurity>0</DocSecurity>
  <Lines>195</Lines>
  <Paragraphs>55</Paragraphs>
  <ScaleCrop>false</ScaleCrop>
  <Company/>
  <LinksUpToDate>false</LinksUpToDate>
  <CharactersWithSpaces>27624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Víctor Aceña Gil</cp:lastModifiedBy>
  <cp:revision>2</cp:revision>
  <dcterms:created xsi:type="dcterms:W3CDTF">2026-07-15T15:07:00Z</dcterms:created>
  <dcterms:modified xsi:type="dcterms:W3CDTF">2026-07-15T15:15:00Z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